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sz w:val="56"/>
          <w:szCs w:val="56"/>
        </w:rPr>
        <w:t xml:space="preserve">ENERGY ANALYTICS PROJECT</w:t>
      </w:r>
    </w:p>
    <w:p>
      <w:pPr>
        <w:spacing w:after="100"/>
        <w:jc w:val="center"/>
      </w:pPr>
      <w:r>
        <w:rPr>
          <w:b/>
          <w:bCs/>
          <w:color w:val="444444"/>
          <w:sz w:val="32"/>
          <w:szCs w:val="32"/>
        </w:rPr>
        <w:t xml:space="preserve">Master Project Archive — Version 2</w:t>
      </w:r>
    </w:p>
    <w:p>
      <w:pPr>
        <w:spacing w:after="800"/>
        <w:jc w:val="center"/>
      </w:pPr>
      <w:r>
        <w:rPr>
          <w:i/>
          <w:iCs/>
          <w:color w:val="666666"/>
          <w:sz w:val="24"/>
          <w:szCs w:val="24"/>
        </w:rPr>
        <w:t xml:space="preserve">Consolidated history: original strategy session through SQL correction phase</w:t>
      </w:r>
    </w:p>
    <w:p>
      <w:pPr>
        <w:spacing w:after="2400"/>
        <w:jc w:val="center"/>
      </w:pPr>
      <w:r>
        <w:rPr>
          <w:sz w:val="22"/>
          <w:szCs w:val="22"/>
        </w:rPr>
        <w:t xml:space="preserve">This document supersedes "Energy Project Strategy Archive" (v1) as the authoritative project record. It preserves v1's history in full and extends it through all subsequent decisions, corrections, and technical work.</w:t>
      </w:r>
    </w:p>
    <w:p>
      <w:r>
        <w:br w:type="page"/>
      </w:r>
    </w:p>
    <w:p>
      <w:pPr>
        <w:pStyle w:val="Heading1"/>
        <w:spacing w:after="200" w:before="400"/>
      </w:pPr>
      <w:r>
        <w:t xml:space="preserve">Table of Contents</w:t>
      </w:r>
    </w:p>
    <w:p>
      <w:pPr>
        <w:spacing w:after="100"/>
        <w:ind w:left="0"/>
      </w:pPr>
      <w:r>
        <w:t xml:space="preserve">Section A — Project Evolution</w:t>
      </w:r>
    </w:p>
    <w:p>
      <w:pPr>
        <w:spacing w:after="100"/>
        <w:ind w:left="360"/>
      </w:pPr>
      <w:r>
        <w:t xml:space="preserve">A.1 — Original Direction and Foundational Philosophy (pre-archive)</w:t>
      </w:r>
    </w:p>
    <w:p>
      <w:pPr>
        <w:spacing w:after="100"/>
        <w:ind w:left="360"/>
      </w:pPr>
      <w:r>
        <w:t xml:space="preserve">A.2 — The First Archive Checkpoint (v1 PDF)</w:t>
      </w:r>
    </w:p>
    <w:p>
      <w:pPr>
        <w:spacing w:after="100"/>
        <w:ind w:left="360"/>
      </w:pPr>
      <w:r>
        <w:t xml:space="preserve">A.3 — Continued Work After the Archive (Conceptual Phase)</w:t>
      </w:r>
    </w:p>
    <w:p>
      <w:pPr>
        <w:spacing w:after="100"/>
        <w:ind w:left="360"/>
      </w:pPr>
      <w:r>
        <w:t xml:space="preserve">A.4 — SQL Development, Diagnostic Findings, and the Correction Phase</w:t>
      </w:r>
    </w:p>
    <w:p>
      <w:pPr>
        <w:spacing w:after="100"/>
        <w:ind w:left="0"/>
      </w:pPr>
      <w:r>
        <w:t xml:space="preserve">Section B — Rejected and Discarded Approaches Registry</w:t>
      </w:r>
    </w:p>
    <w:p>
      <w:pPr>
        <w:spacing w:after="100"/>
        <w:ind w:left="0"/>
      </w:pPr>
      <w:r>
        <w:t xml:space="preserve">Section C — Current Project Blueprint</w:t>
      </w:r>
    </w:p>
    <w:p>
      <w:pPr>
        <w:spacing w:after="100"/>
        <w:ind w:left="360"/>
      </w:pPr>
      <w:r>
        <w:t xml:space="preserve">C.1 — Ultimate Research Question (URQ)</w:t>
      </w:r>
    </w:p>
    <w:p>
      <w:pPr>
        <w:spacing w:after="100"/>
        <w:ind w:left="360"/>
      </w:pPr>
      <w:r>
        <w:t xml:space="preserve">C.2 — CQ / IQ Hierarchy and EQ Counts (Final)</w:t>
      </w:r>
    </w:p>
    <w:p>
      <w:pPr>
        <w:spacing w:after="100"/>
        <w:ind w:left="360"/>
      </w:pPr>
      <w:r>
        <w:t xml:space="preserve">C.3 — Locked Methodology and Rules</w:t>
      </w:r>
    </w:p>
    <w:p>
      <w:pPr>
        <w:spacing w:after="100"/>
        <w:ind w:left="360"/>
      </w:pPr>
      <w:r>
        <w:t xml:space="preserve">C.4 — Dataset and Final Column Set</w:t>
      </w:r>
    </w:p>
    <w:p>
      <w:pPr>
        <w:spacing w:after="100"/>
        <w:ind w:left="360"/>
      </w:pPr>
      <w:r>
        <w:t xml:space="preserve">C.5 — Completed Work</w:t>
      </w:r>
    </w:p>
    <w:p>
      <w:pPr>
        <w:spacing w:after="100"/>
        <w:ind w:left="360"/>
      </w:pPr>
      <w:r>
        <w:t xml:space="preserve">C.6 — Open Items Not Yet Resolved</w:t>
      </w:r>
    </w:p>
    <w:p>
      <w:pPr>
        <w:spacing w:after="100"/>
        <w:ind w:left="360"/>
      </w:pPr>
      <w:r>
        <w:t xml:space="preserve">C.7 — Current Handoff Point</w:t>
      </w:r>
    </w:p>
    <w:p>
      <w:r>
        <w:br w:type="page"/>
      </w:r>
    </w:p>
    <w:p>
      <w:pPr>
        <w:pStyle w:val="Heading1"/>
        <w:spacing w:after="200" w:before="400"/>
      </w:pPr>
      <w:r>
        <w:t xml:space="preserve">Section A — Project Evolution</w:t>
      </w:r>
    </w:p>
    <w:p>
      <w:pPr>
        <w:spacing w:after="160"/>
      </w:pPr>
      <w:r>
        <w:t xml:space="preserve">This section tells the project's story in order: how it started, what the original archive (v1) locked in, and everything decided or built afterward. Nothing here is invented — every stage reflects what was actually discussed and decided in the project history.</w:t>
      </w:r>
    </w:p>
    <w:p>
      <w:pPr>
        <w:pStyle w:val="Heading2"/>
        <w:spacing w:after="150" w:before="300"/>
      </w:pPr>
      <w:r>
        <w:t xml:space="preserve">A.1 — Original Direction and Foundational Philosophy (pre-archive)</w:t>
      </w:r>
    </w:p>
    <w:p>
      <w:pPr>
        <w:spacing w:after="160"/>
      </w:pPr>
      <w:r>
        <w:t xml:space="preserve">The project began as an open-ended discussion about approaching a major portfolio project with a business-first, investigation-first mindset. Chart-first / dashboard-first exploration was explicitly rejected from the outset: the working principle became problem → questions → metrics → tools, never the reverse.</w:t>
      </w:r>
    </w:p>
    <w:p>
      <w:pPr>
        <w:spacing w:after="160"/>
      </w:pPr>
      <w:r>
        <w:t xml:space="preserve">The dataset was narrowed to the Energy Consumption Dataset by Our World in Data (OWID), hosted on Kaggle. The task became finding a strong Ultimate Research Question (URQ) before building Core Questions (CQs), Investigative Questions (IQs), and Evidence Questions (EQs).</w:t>
      </w:r>
    </w:p>
    <w:p>
      <w:pPr>
        <w:spacing w:after="160"/>
      </w:pPr>
      <w:r>
        <w:t xml:space="preserve">A premature structure was proposed immediately after seeing the dataset's columns, before URQ options had even been discussed. This was corrected: the project owner (the user) would choose the direction after comparing real options, not have a structure imposed. This became the standing working method for the rest of the project: offer multiple serious options, let the owner choose, then interrogate that choice.</w:t>
      </w:r>
    </w:p>
    <w:p>
      <w:pPr>
        <w:pStyle w:val="Heading2"/>
        <w:spacing w:after="150" w:before="300"/>
      </w:pPr>
      <w:r>
        <w:t xml:space="preserve">A.2 — The First Archive Checkpoint (v1 PDF)</w:t>
      </w:r>
    </w:p>
    <w:p>
      <w:pPr>
        <w:spacing w:after="160"/>
      </w:pPr>
      <w:r>
        <w:t xml:space="preserve">By the time the first archive ("Energy Project Strategy Archive") was written, the project had reached the following locked state:</w:t>
      </w:r>
    </w:p>
    <w:p>
      <w:pPr>
        <w:pStyle w:val="ListParagraph"/>
        <w:numPr>
          <w:ilvl w:val="0"/>
          <w:numId w:val="1"/>
        </w:numPr>
        <w:spacing w:after="80"/>
      </w:pPr>
      <w:r>
        <w:t xml:space="preserve">URQ (v1 wording): “To what extent can low-carbon energy growth meet growing energy demand across countries?”</w:t>
      </w:r>
    </w:p>
    <w:p>
      <w:pPr>
        <w:pStyle w:val="ListParagraph"/>
        <w:numPr>
          <w:ilvl w:val="0"/>
          <w:numId w:val="1"/>
        </w:numPr>
        <w:spacing w:after="80"/>
      </w:pPr>
      <w:r>
        <w:t xml:space="preserve">3-CQ architecture locked: CQ1 Demand Coverage, CQ2 Fossil Response, CQ3 Performance Over Time</w:t>
      </w:r>
    </w:p>
    <w:p>
      <w:pPr>
        <w:pStyle w:val="ListParagraph"/>
        <w:numPr>
          <w:ilvl w:val="0"/>
          <w:numId w:val="1"/>
        </w:numPr>
        <w:spacing w:after="80"/>
      </w:pPr>
      <w:r>
        <w:t xml:space="preserve">8-IQ structure locked, having survived a vertical audit (each IQ generates multiple distinct EQs) and a horizontal audit (no two IQs secretly answer the same question)</w:t>
      </w:r>
    </w:p>
    <w:p>
      <w:pPr>
        <w:pStyle w:val="ListParagraph"/>
        <w:numPr>
          <w:ilvl w:val="0"/>
          <w:numId w:val="1"/>
        </w:numPr>
        <w:spacing w:after="80"/>
      </w:pPr>
      <w:r>
        <w:t xml:space="preserve">Total-energy lens locked as primary, over an alternative electricity-system lens (electricity_demand, electricity_generation, etc.) — switching lenses would silently redefine “demand”</w:t>
      </w:r>
    </w:p>
    <w:p>
      <w:pPr>
        <w:pStyle w:val="ListParagraph"/>
        <w:numPr>
          <w:ilvl w:val="0"/>
          <w:numId w:val="1"/>
        </w:numPr>
        <w:spacing w:after="80"/>
      </w:pPr>
      <w:r>
        <w:t xml:space="preserve">Central derived metric identified conceptually: coverage = change in low-carbon consumption ÷ change in total energy consumption; coverage above 100% flagged as meaningful, not an error</w:t>
      </w:r>
    </w:p>
    <w:p>
      <w:pPr>
        <w:pStyle w:val="ListParagraph"/>
        <w:numPr>
          <w:ilvl w:val="0"/>
          <w:numId w:val="1"/>
        </w:numPr>
        <w:spacing w:after="80"/>
      </w:pPr>
      <w:r>
        <w:t xml:space="preserve">A full mechanical audit was underway: EQ → exact columns → derived fields → metric → SQL operation → evidence → edge cases. At the point of the archive, all 8 IQs were marked “Audited” but each still carried unresolved edge-case questions.</w:t>
      </w:r>
    </w:p>
    <w:p>
      <w:pPr>
        <w:pStyle w:val="ListParagraph"/>
        <w:numPr>
          <w:ilvl w:val="0"/>
          <w:numId w:val="1"/>
        </w:numPr>
        <w:spacing w:after="80"/>
      </w:pPr>
      <w:r>
        <w:t xml:space="preserve">A Discarded/Demoted Concepts registry was already established (see Section B) — chart-first exploration, supply-side growth as the main story, a six-CQ architecture, standalone Growth Gap / source-level / country-difference CQs, causal-displacement language, and electricity-as-primary-lens were all rejected before the archive was written.</w:t>
      </w:r>
    </w:p>
    <w:p>
      <w:pPr>
        <w:spacing w:after="160"/>
      </w:pPr>
      <w:r>
        <w:t xml:space="preserve">The archive explicitly stated its own status: “No dataset was queried, no SQL was executed, no mock results were invented.” This is the handoff point v1 left for continuation.</w:t>
      </w:r>
    </w:p>
    <w:p>
      <w:pPr>
        <w:pStyle w:val="Heading2"/>
        <w:spacing w:after="150" w:before="300"/>
      </w:pPr>
      <w:r>
        <w:t xml:space="preserve">A.3 — Continued Work After the Archive (Conceptual Phase)</w:t>
      </w:r>
    </w:p>
    <w:p>
      <w:pPr>
        <w:spacing w:after="160"/>
      </w:pPr>
      <w:r>
        <w:t xml:space="preserve">Work resumed from the v1 handoff. Because the project owner had been a largely passive “okay, go ahead” participant in the session that produced the archive and had not absorbed most of its reasoning, an early plain-language reiteration of the whole project (URQ, coverage formula, the three CQs) was given before further technical work continued. A tightened deadline was also noted at this point, making pace a standing constraint on subsequent work.</w:t>
      </w:r>
    </w:p>
    <w:p>
      <w:pPr>
        <w:pStyle w:val="Heading3"/>
        <w:spacing w:after="100" w:before="200"/>
      </w:pPr>
      <w:r>
        <w:t xml:space="preserve">A.3.1 — Mechanical Audit Clusters Resolved (Sequential Order, by Owner's Choice)</w:t>
      </w:r>
    </w:p>
    <w:p>
      <w:pPr>
        <w:spacing w:after="160"/>
      </w:pPr>
      <w:r>
        <w:t xml:space="preserve">Four open clusters from v1's mechanical audit were resolved in strict sequential order (the owner explicitly chose sequential fidelity over batching multiple clusters together):</w:t>
      </w:r>
    </w:p>
    <w:p>
      <w:pPr>
        <w:pStyle w:val="ListParagraph"/>
        <w:numPr>
          <w:ilvl w:val="0"/>
          <w:numId w:val="1"/>
        </w:numPr>
        <w:spacing w:after="80"/>
      </w:pPr>
      <w:r>
        <w:t xml:space="preserve">Cluster 2 (resolved first, since it gated the others) — Aggregation method: totals-based ratio (sum of low-carbon change ÷ sum of total-energy change per country), not an average of yearly ratios; median kept only as a side sanity-check. Minimum valid years per country: 10.</w:t>
      </w:r>
    </w:p>
    <w:p>
      <w:pPr>
        <w:pStyle w:val="ListParagraph"/>
        <w:numPr>
          <w:ilvl w:val="0"/>
          <w:numId w:val="1"/>
        </w:numPr>
        <w:spacing w:after="80"/>
      </w:pPr>
      <w:r>
        <w:t xml:space="preserve">Cluster 1 — Years with total-energy growth ≤ 0 excluded from the primary coverage metric (tracked separately as context, not deleted). Years with negative low-carbon growth are kept in as valid “negative coverage” results — this was identified early as real signal, not noise.</w:t>
      </w:r>
    </w:p>
    <w:p>
      <w:pPr>
        <w:pStyle w:val="ListParagraph"/>
        <w:numPr>
          <w:ilvl w:val="0"/>
          <w:numId w:val="1"/>
        </w:numPr>
        <w:spacing w:after="80"/>
      </w:pPr>
      <w:r>
        <w:t xml:space="preserve">Cluster 3 — “Unusually rapid” energy-consumption growth (for the stress-test IQ) is defined relative to each country's own historical range (a per-country 90th-percentile style threshold), not a single global bar across all countries.</w:t>
      </w:r>
    </w:p>
    <w:p>
      <w:pPr>
        <w:pStyle w:val="ListParagraph"/>
        <w:numPr>
          <w:ilvl w:val="0"/>
          <w:numId w:val="1"/>
        </w:numPr>
        <w:spacing w:after="80"/>
      </w:pPr>
      <w:r>
        <w:t xml:space="preserve">Cluster 4 — The acceleration/momentum metric originally implied by IQ 3.3's wording (“is improvement gaining momentum”) was dropped as methodologically fragile (a second derivative of an already-noisy ratio). IQ 3.3 was narrowed to a straightforward trend-direction question.</w:t>
      </w:r>
    </w:p>
    <w:p>
      <w:pPr>
        <w:spacing w:after="160"/>
      </w:pPr>
      <w:r>
        <w:t xml:space="preserve">A fifth cluster was identified afterward, during a self-check of whether the EQs actually served their parent IQs:</w:t>
      </w:r>
    </w:p>
    <w:p>
      <w:pPr>
        <w:pStyle w:val="ListParagraph"/>
        <w:numPr>
          <w:ilvl w:val="0"/>
          <w:numId w:val="1"/>
        </w:numPr>
        <w:spacing w:after="80"/>
      </w:pPr>
      <w:r>
        <w:t xml:space="preserve">Cluster 5 — Coverage-band definitions (needed by several EQs that group country-years into “low / medium / high” coverage). Locked with concrete numeric cutoffs: Low = coverage ratio below 50%, Medium = 50% up to just under 100%, High = 100% or above. These are default, data-informed cutoffs, adjustable once the real distribution is fully reviewed, but they are usable now — no EQ should be built on an undefined “near 100%” band again.</w:t>
      </w:r>
    </w:p>
    <w:p>
      <w:pPr>
        <w:pStyle w:val="Heading3"/>
        <w:spacing w:after="100" w:before="200"/>
      </w:pPr>
      <w:r>
        <w:t xml:space="preserve">A.3.2 — URQ, Column Set, and Structural Revisions</w:t>
      </w:r>
    </w:p>
    <w:p>
      <w:pPr>
        <w:spacing w:after="160"/>
      </w:pPr>
      <w:r>
        <w:t xml:space="preserve">URQ revised and locked to: “To what extent can low-carbon energy growth keep pace with increases in total energy consumption across countries?” This replaced the v1 wording (“meet growing energy demand”) because “meet demand” implied a normative claim the data can't support; “keep pace with increases in total energy consumption” maps directly onto what is actually measured.</w:t>
      </w:r>
    </w:p>
    <w:p>
      <w:pPr>
        <w:spacing w:after="160"/>
      </w:pPr>
      <w:r>
        <w:t xml:space="preserve">The working dataset column set was expanded from an initial minimal 8-column proposal (only the columns strictly required by locked EQs) to a final 16-column set, at the owner's explicit insistence that 8 columns were insufficient for real analytical write-up. The final column set retains per-capita, per-GDP, and percentage-change context fields for interpretation and storytelling, while still deliberately excluding: any renewables_* aggregate (to avoid a silent second definition of “clean energy” competing with low_carbon_*), any per-fossil-source or per-clean-source breakdown (coal/gas/oil/solar/wind/etc.), and the entire electricity-system column branch.</w:t>
      </w:r>
    </w:p>
    <w:p>
      <w:pPr>
        <w:spacing w:after="160"/>
      </w:pPr>
      <w:r>
        <w:t xml:space="preserve">Final 16-column set: country, year, iso_code, primary_energy_consumption, energy_cons_change_pct, energy_cons_change_twh, energy_per_capita, energy_per_gdp, fossil_cons_change_pct, fossil_cons_change_twh, fossil_energy_per_capita, fossil_share_energy, low_carbon_cons_change_pct, low_carbon_cons_change_twh, low_carbon_energy_per_capita, low_carbon_share_energy.</w:t>
      </w:r>
    </w:p>
    <w:p>
      <w:pPr>
        <w:spacing w:after="160"/>
      </w:pPr>
      <w:r>
        <w:t xml:space="preserve">Two additional standing rules were added by the owner, beyond v1's original audit table:</w:t>
      </w:r>
    </w:p>
    <w:p>
      <w:pPr>
        <w:pStyle w:val="ListParagraph"/>
        <w:numPr>
          <w:ilvl w:val="0"/>
          <w:numId w:val="1"/>
        </w:numPr>
        <w:spacing w:after="80"/>
      </w:pPr>
      <w:r>
        <w:t xml:space="preserve">Rule 2 — The general 10-valid-year minimum (Cluster 2) governs overall eligibility only. IQ 3.1 (performance under stress) needs a separate, additional minimum: a country must also have enough “unusually rapid” years flagged to make a stress-vs-normal comparison meaningful. (This was later pinned to a minimum of 3 stress-years — see A.4.)</w:t>
      </w:r>
    </w:p>
    <w:p>
      <w:pPr>
        <w:pStyle w:val="ListParagraph"/>
        <w:numPr>
          <w:ilvl w:val="0"/>
          <w:numId w:val="1"/>
        </w:numPr>
        <w:spacing w:after="80"/>
      </w:pPr>
      <w:r>
        <w:t xml:space="preserve">Rule 3 (flagged, not yet resolved) — A country's count of “valid years” can mask a data-availability bias: renewable/low-carbon data is much sparser before roughly 2000. “Historically available observations” must eventually be distinguished from “analytically comparable observations” before any EQ spanning the full historical range is treated as fully reliable. This check is intentionally deferred to the data-inspection stage, not solved in the abstract.</w:t>
      </w:r>
    </w:p>
    <w:p>
      <w:pPr>
        <w:pStyle w:val="Heading3"/>
        <w:spacing w:after="100" w:before="200"/>
      </w:pPr>
      <w:r>
        <w:t xml:space="preserve">A.3.3 — EQ Layer: Drafting, Clarity Audit, and Final Count</w:t>
      </w:r>
    </w:p>
    <w:p>
      <w:pPr>
        <w:spacing w:after="160"/>
      </w:pPr>
      <w:r>
        <w:t xml:space="preserve">The EQ layer went through several rounds before reaching its current, final form:</w:t>
      </w:r>
    </w:p>
    <w:p>
      <w:pPr>
        <w:pStyle w:val="ListParagraph"/>
        <w:numPr>
          <w:ilvl w:val="0"/>
          <w:numId w:val="1"/>
        </w:numPr>
        <w:spacing w:after="80"/>
      </w:pPr>
      <w:r>
        <w:t xml:space="preserve">Initial draft: 16 EQs (2 per IQ), covering all 8 IQs, all traceable to exact dataset columns.</w:t>
      </w:r>
    </w:p>
    <w:p>
      <w:pPr>
        <w:pStyle w:val="ListParagraph"/>
        <w:numPr>
          <w:ilvl w:val="0"/>
          <w:numId w:val="1"/>
        </w:numPr>
        <w:spacing w:after="80"/>
      </w:pPr>
      <w:r>
        <w:t xml:space="preserve">Self-audit against the IQ ownership rules found two problems: EQ 2.2b originally leaked into Coverage Magnitude's (IQ 1.1's) territory by comparing coverage inside stacking years, violating IQ 2.2's explicit “independent of a coverage threshold” boundary — it was reframed to ask about stacking frequency over time instead. Separately, several EQs relied on “coverage bands” before any band definition existed — this is what surfaced Cluster 5 (A.3.1).</w:t>
      </w:r>
    </w:p>
    <w:p>
      <w:pPr>
        <w:pStyle w:val="ListParagraph"/>
        <w:numPr>
          <w:ilvl w:val="0"/>
          <w:numId w:val="1"/>
        </w:numPr>
        <w:spacing w:after="80"/>
      </w:pPr>
      <w:r>
        <w:t xml:space="preserve">A dedicated clarity audit (using the standard “could a basic-SQL analyst read this and know exactly what to query” test) decomposed several compound EQs into clearer, single-purpose sequences and corrected stale wording (e.g., IQ 2.1's EQs still referenced four coverage bands after Cluster 5 had locked three).</w:t>
      </w:r>
    </w:p>
    <w:p>
      <w:pPr>
        <w:pStyle w:val="ListParagraph"/>
        <w:numPr>
          <w:ilvl w:val="0"/>
          <w:numId w:val="1"/>
        </w:numPr>
        <w:spacing w:after="80"/>
      </w:pPr>
      <w:r>
        <w:t xml:space="preserve">The decomposition was judged too granular by the owner — it had turned intermediate SQL steps (raw sums, band assignment, year classification) into standalone “questions,” conflating question with operation. It was trimmed back down to 17 EQs (with SQL-ingredient steps folded silently into their parent question).</w:t>
      </w:r>
    </w:p>
    <w:p>
      <w:pPr>
        <w:pStyle w:val="ListParagraph"/>
        <w:numPr>
          <w:ilvl w:val="0"/>
          <w:numId w:val="1"/>
        </w:numPr>
        <w:spacing w:after="80"/>
      </w:pPr>
      <w:r>
        <w:t xml:space="preserve">The owner then explicitly overrode that trim and specified an exact required count per IQ, restoring several intermediate steps to their own EQ numbers: IQ1.1 = 5, IQ1.2 = 5, IQ1.3 = 4, IQ2.1 = 3, IQ2.2 = 2, IQ3.1 = 3, IQ3.2 = 2, IQ3.3 = 3 — 27 EQs total. This 27-EQ breakdown is the version that was subsequently used to build the actual SQL (Section A.4) and is the current, final EQ layer.</w:t>
      </w:r>
    </w:p>
    <w:p>
      <w:pPr>
        <w:pStyle w:val="ListParagraph"/>
        <w:numPr>
          <w:ilvl w:val="0"/>
          <w:numId w:val="1"/>
        </w:numPr>
        <w:spacing w:after="80"/>
      </w:pPr>
      <w:r>
        <w:t xml:space="preserve">A separate correction fixed a structural presentation error (not the questions themselves): CQ, IQ, and EQ each carry their own explicit question wording and must always be shown as three distinct levels — never collapsed into headers with only EQs listed underneath.</w:t>
      </w:r>
    </w:p>
    <w:p>
      <w:pPr>
        <w:pStyle w:val="ListParagraph"/>
        <w:numPr>
          <w:ilvl w:val="0"/>
          <w:numId w:val="1"/>
        </w:numPr>
        <w:spacing w:after="80"/>
      </w:pPr>
      <w:r>
        <w:t xml:space="preserve">Final wording refinements locked across this phase: EQs referencing actual dataset columns use “energy consumption,” not “demand” (the URQ alone keeps “demand” as an explicitly defined conceptual term); the shortfall-ranking EQ is calculated across each country's below-100%-coverage years only, not all valid years; a predetermined rule for IQ 3.3's “sustained” test was fixed before any data was seen — a country's positive trend only counts as sustained if it remains positive after excluding that country's single best year (chosen specifically to prevent defining “sustained” after the fact to fit whatever result looked best); IQ 3.3's own question wording was trimmed to drop the “gaining momentum” clause inherited from v1, consistent with Cluster 4.</w:t>
      </w:r>
    </w:p>
    <w:p>
      <w:pPr>
        <w:pStyle w:val="Heading2"/>
        <w:spacing w:after="150" w:before="300"/>
      </w:pPr>
      <w:r>
        <w:t xml:space="preserve">A.4 — SQL Development, Diagnostic Findings, and the Correction Phase</w:t>
      </w:r>
    </w:p>
    <w:p>
      <w:pPr>
        <w:spacing w:after="160"/>
      </w:pPr>
      <w:r>
        <w:t xml:space="preserve">This is the technical work completed after the conceptual planning phase closed. It happened in two passes: an initial SQL build (by the project owner, outside this conversation) across all 8 IQ files, followed by an audit-and-correction pass.</w:t>
      </w:r>
    </w:p>
    <w:p>
      <w:pPr>
        <w:pStyle w:val="Heading3"/>
        <w:spacing w:after="100" w:before="200"/>
      </w:pPr>
      <w:r>
        <w:t xml:space="preserve">A.4.1 — Initial SQL Audit: Structure-vs-Implementation Alignment</w:t>
      </w:r>
    </w:p>
    <w:p>
      <w:pPr>
        <w:spacing w:after="160"/>
      </w:pPr>
      <w:r>
        <w:t xml:space="preserve">The initial SQL files (one per IQ, each with embedded /* ... */ result comments) were reviewed against the locked structure and rules. Alignment findings:</w:t>
      </w:r>
    </w:p>
    <w:p>
      <w:pPr>
        <w:pStyle w:val="ListParagraph"/>
        <w:numPr>
          <w:ilvl w:val="0"/>
          <w:numId w:val="1"/>
        </w:numPr>
        <w:spacing w:after="80"/>
      </w:pPr>
      <w:r>
        <w:t xml:space="preserve">Correctly implemented from the start: the totals-based sum-then-divide approach for IQ1.1's core ratio; the 3-band (not 4-band) coverage classification; IQ 2.2's correct independence from the coverage/demand-sign threshold; the gaps-and-islands streak technique in IQ 3.2, which correctly avoids bridging a genuinely missing data year into a false streak; and IQ 3.3's predetermined “exclude best year” sustained-test, implemented exactly as locked.</w:t>
      </w:r>
    </w:p>
    <w:p>
      <w:pPr>
        <w:pStyle w:val="ListParagraph"/>
        <w:numPr>
          <w:ilvl w:val="0"/>
          <w:numId w:val="1"/>
        </w:numPr>
        <w:spacing w:after="80"/>
      </w:pPr>
      <w:r>
        <w:t xml:space="preserve">Misalignment 1 — The Cluster 1 growth floor had never been pinned to one exact number. Some queries used a &gt; 10 TWh floor; others used a bare &gt; 0. This inconsistency was directly visible in the results (see A.4.2).</w:t>
      </w:r>
    </w:p>
    <w:p>
      <w:pPr>
        <w:pStyle w:val="ListParagraph"/>
        <w:numPr>
          <w:ilvl w:val="0"/>
          <w:numId w:val="1"/>
        </w:numPr>
        <w:spacing w:after="80"/>
      </w:pPr>
      <w:r>
        <w:t xml:space="preserve">Misalignment 2 — The Cluster 2 ten-year minimum was enforced in only one query out of roughly twenty (IQ 3.3's EQ21), including missing from its own prerequisite query (EQ20).</w:t>
      </w:r>
    </w:p>
    <w:p>
      <w:pPr>
        <w:pStyle w:val="ListParagraph"/>
        <w:numPr>
          <w:ilvl w:val="0"/>
          <w:numId w:val="1"/>
        </w:numPr>
        <w:spacing w:after="80"/>
      </w:pPr>
      <w:r>
        <w:t xml:space="preserve">Misalignment 3 — IQ 3.1's “unusually rapid” threshold was computed on two different populations within the same IQ: one query used only positive-growth years to set the 90th-percentile bar, another used all non-null growth years (including negative) — so “unusually rapid” silently meant two different things inside one investigation.</w:t>
      </w:r>
    </w:p>
    <w:p>
      <w:pPr>
        <w:pStyle w:val="ListParagraph"/>
        <w:numPr>
          <w:ilvl w:val="0"/>
          <w:numId w:val="1"/>
        </w:numPr>
        <w:spacing w:after="80"/>
      </w:pPr>
      <w:r>
        <w:t xml:space="preserve">Misalignment 4 — Rule 2's stress-year minimum (A.3.2) had never actually been implemented in any query.</w:t>
      </w:r>
    </w:p>
    <w:p>
      <w:pPr>
        <w:pStyle w:val="ListParagraph"/>
        <w:numPr>
          <w:ilvl w:val="0"/>
          <w:numId w:val="1"/>
        </w:numPr>
        <w:spacing w:after="80"/>
      </w:pPr>
      <w:r>
        <w:t xml:space="preserve">Misalignment 5 — Two differently-named coverage columns (coverage_pct and coverage_ratio_twh) were in use across different files with no confirmation they were the same measure at the same scale.</w:t>
      </w:r>
    </w:p>
    <w:p>
      <w:pPr>
        <w:pStyle w:val="ListParagraph"/>
        <w:numPr>
          <w:ilvl w:val="0"/>
          <w:numId w:val="1"/>
        </w:numPr>
        <w:spacing w:after="80"/>
      </w:pPr>
      <w:r>
        <w:t xml:space="preserve">Gap — IQ 1.1's planned distribution EQ (minimum / median / maximum coverage ratio across all country-years) had been planned but never executed; the file jumped from EQ4 straight to IQ 1.2's EQ6.</w:t>
      </w:r>
    </w:p>
    <w:p>
      <w:pPr>
        <w:pStyle w:val="Heading3"/>
        <w:spacing w:after="100" w:before="200"/>
      </w:pPr>
      <w:r>
        <w:t xml:space="preserve">A.4.2 — Diagnostic Evidence: Two Different Problems Behind the Same Symptom</w:t>
      </w:r>
    </w:p>
    <w:p>
      <w:pPr>
        <w:spacing w:after="160"/>
      </w:pPr>
      <w:r>
        <w:t xml:space="preserve">A closer read of the embedded results distinguished two distinct causes behind extreme coverage percentages, which required two different fixes:</w:t>
      </w:r>
    </w:p>
    <w:p>
      <w:pPr>
        <w:pStyle w:val="ListParagraph"/>
        <w:numPr>
          <w:ilvl w:val="0"/>
          <w:numId w:val="1"/>
        </w:numPr>
        <w:spacing w:after="80"/>
      </w:pPr>
      <w:r>
        <w:t xml:space="preserve">Real signal (negative coverage from a genuine denominator): Canada 2003 (energy +17.6 TWh, low-carbon –48.8 TWh, coverage −276.7%), Spain 2017 (+19.1 / −45.5, −238.1%), UK 2021 (+19.8 / −43.9, −222.2%). In each case the denominator was a legitimate 17–30 TWh demand increase; the negative sign came entirely from low-carbon consumption genuinely falling. These are real backslide findings the URQ is built to detect, and were confirmed to stay in the dataset, per Cluster 1.</w:t>
      </w:r>
    </w:p>
    <w:p>
      <w:pPr>
        <w:pStyle w:val="ListParagraph"/>
        <w:numPr>
          <w:ilvl w:val="0"/>
          <w:numId w:val="1"/>
        </w:numPr>
        <w:spacing w:after="80"/>
      </w:pPr>
      <w:r>
        <w:t xml:space="preserve">Artifact (tiny-denominator explosion): IQ 3.1's stress-comparison query produced a swing of roughly 16,738 percentage points for one country. That query had no TWh-based floor at all — only a percentage-based filter — so a near-zero absolute demand increase, even alongside a modest low-carbon change, mathematically explodes into a meaningless percentage. This was confirmed as an artifact, not a finding, precisely because it only appeared in queries lacking the TWh floor that other, cleaner queries already had.</w:t>
      </w:r>
    </w:p>
    <w:p>
      <w:pPr>
        <w:spacing w:after="160"/>
      </w:pPr>
      <w:r>
        <w:t xml:space="preserve">Resolution principle established from this comparison: the fix for real-but-extreme values (Problem A) is different from the fix for denominator artifacts (Problem B). Discarding or capping negative values would destroy genuine backslide signal; but leaving every extreme value untouched would let pure noise into rankings. The chosen resolution: apply one uniform TWh floor everywhere a yearly energy change is used as a denominator (eliminates Problem B), and switch every aggregate/averaging EQ from averaging individual yearly percentages to pooling raw TWh sums before dividing once (prevents one legitimate extreme year from being weighted equally with, and thereby distorting, an average — without deleting or softening that year's real value).</w:t>
      </w:r>
    </w:p>
    <w:p>
      <w:pPr>
        <w:pStyle w:val="Heading3"/>
        <w:spacing w:after="100" w:before="200"/>
      </w:pPr>
      <w:r>
        <w:t xml:space="preserve">A.4.3 — Correction Pass: Final Pinned Thresholds and Delivered SQL</w:t>
      </w:r>
    </w:p>
    <w:p>
      <w:pPr>
        <w:spacing w:after="160"/>
      </w:pPr>
      <w:r>
        <w:t xml:space="preserve">All identified misalignments were corrected in a full rewrite of all 8 IQ SQL files, with the following thresholds pinned as final (superseding all earlier “deferred to real-data calibration” notes for these specific values):</w:t>
      </w:r>
    </w:p>
    <w:p>
      <w:pPr>
        <w:pStyle w:val="ListParagraph"/>
        <w:numPr>
          <w:ilvl w:val="0"/>
          <w:numId w:val="1"/>
        </w:numPr>
        <w:spacing w:after="80"/>
      </w:pPr>
      <w:r>
        <w:t xml:space="preserve">Growth floor: energy_cons_change_twh &gt; 10, applied as the denominator floor everywhere a yearly energy change is divided into, with no exceptions.</w:t>
      </w:r>
    </w:p>
    <w:p>
      <w:pPr>
        <w:pStyle w:val="ListParagraph"/>
        <w:numPr>
          <w:ilvl w:val="0"/>
          <w:numId w:val="1"/>
        </w:numPr>
        <w:spacing w:after="80"/>
      </w:pPr>
      <w:r>
        <w:t xml:space="preserve">Minimum stress-year count for IQ 3.1: 3 (in addition to the general 10-valid-year minimum) — this is Rule 2's specific number, decided once real result patterns (the degenerate “0, 0” comparisons in the original results) made the need for a floor visible.</w:t>
      </w:r>
    </w:p>
    <w:p>
      <w:pPr>
        <w:pStyle w:val="ListParagraph"/>
        <w:numPr>
          <w:ilvl w:val="0"/>
          <w:numId w:val="1"/>
        </w:numPr>
        <w:spacing w:after="80"/>
      </w:pPr>
      <w:r>
        <w:t xml:space="preserve">Pooled (sum-then-divide) method applied consistently to every group/country-level average: IQ 1.1's overall ratio, IQ 1.2's shortfall ranking, and IQ 3.1's normal-vs-rapid comparison.</w:t>
      </w:r>
    </w:p>
    <w:p>
      <w:pPr>
        <w:pStyle w:val="ListParagraph"/>
        <w:numPr>
          <w:ilvl w:val="0"/>
          <w:numId w:val="1"/>
        </w:numPr>
        <w:spacing w:after="80"/>
      </w:pPr>
      <w:r>
        <w:t xml:space="preserve">The missing IQ 1.1 distribution query (EQ5) was written and added.</w:t>
      </w:r>
    </w:p>
    <w:p>
      <w:pPr>
        <w:pStyle w:val="ListParagraph"/>
        <w:numPr>
          <w:ilvl w:val="0"/>
          <w:numId w:val="1"/>
        </w:numPr>
        <w:spacing w:after="80"/>
      </w:pPr>
      <w:r>
        <w:t xml:space="preserve">The IQ 3.1 threshold-population inconsistency was resolved by standardizing every query in that file to the same population (positive-growth years only) when computing the per-country 90th-percentile bar.</w:t>
      </w:r>
    </w:p>
    <w:p>
      <w:pPr>
        <w:pStyle w:val="ListParagraph"/>
        <w:numPr>
          <w:ilvl w:val="0"/>
          <w:numId w:val="1"/>
        </w:numPr>
        <w:spacing w:after="80"/>
      </w:pPr>
      <w:r>
        <w:t xml:space="preserve">The dual-column ambiguity (coverage_pct vs. coverage_ratio_twh) was resolved by recomputing the coverage ratio directly from the raw columns inside each query, rather than trusting either pre-built column, in every file where this mattered (IQ1.3, IQ3.2, IQ3.3).</w:t>
      </w:r>
    </w:p>
    <w:p>
      <w:pPr>
        <w:spacing w:after="160"/>
      </w:pPr>
      <w:r>
        <w:t xml:space="preserve">All 8 corrected files were delivered as heavily-commented, plain-language-annotated .sql/.txt files (IQ 1.1, 1.2, 1.3, 2.1, 2.2, 3.1, 3.2, 3.3), each carrying a header block explaining exactly what was wrong in the previous version and why the fix was made. These files are the current, authoritative query set and supersede every earlier version.</w:t>
      </w:r>
    </w:p>
    <w:p>
      <w:pPr>
        <w:spacing w:after="160"/>
      </w:pPr>
      <w:r>
        <w:t xml:space="preserve">Status note: the coverage-band numeric cutoffs (Cluster 5 — Low &lt;50%, Medium 50–&lt;100%, High ≥50%) have not yet been retrofitted into IQ 2.1's SQL; that file currently still trusts a pre-existing coverage_band column rather than computing the band inline from the locked cutoffs. This is flagged as unfinished technical work, not silently assumed to be done.</w:t>
      </w:r>
    </w:p>
    <w:p>
      <w:pPr>
        <w:pStyle w:val="Heading3"/>
        <w:spacing w:after="100" w:before="200"/>
      </w:pPr>
      <w:r>
        <w:t xml:space="preserve">A.4.4 — What Has Not Yet Happened</w:t>
      </w:r>
    </w:p>
    <w:p>
      <w:pPr>
        <w:spacing w:after="160"/>
      </w:pPr>
      <w:r>
        <w:t xml:space="preserve">The corrected SQL files have not yet been executed. No results exist yet under the corrected methodology (10 TWh floor, pooled aggregation, unified stress-year threshold, retrofitted distribution query). The result values quoted in A.4.2 come from the original, flawed queries and were used only as diagnostic evidence to identify what was wrong — they are not final findings and must not be treated as such going forward.</w:t>
      </w:r>
    </w:p>
    <w:p>
      <w:r>
        <w:br w:type="page"/>
      </w:r>
    </w:p>
    <w:p>
      <w:pPr>
        <w:pStyle w:val="Heading1"/>
        <w:spacing w:after="200" w:before="400"/>
      </w:pPr>
      <w:r>
        <w:t xml:space="preserve">Section B — Rejected and Discarded Approaches Registry</w:t>
      </w:r>
    </w:p>
    <w:p>
      <w:pPr>
        <w:spacing w:after="160"/>
      </w:pPr>
      <w:r>
        <w:t xml:space="preserve">These approaches were considered and explicitly rejected at some point in the project's history. They are preserved here so that no future contributor reopens a debate that has already been settled, with the reasoning that closed 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600"/>
      </w:tblGrid>
      <w:tr>
        <w:trPr>
          <w:tblHeader/>
        </w:trPr>
        <w:tc>
          <w:tcPr>
            <w:tcW w:type="dxa" w:w="3400"/>
            <w:shd w:fill="D9E2F3" w:val="clear"/>
          </w:tcPr>
          <w:p>
            <w:r>
              <w:rPr>
                <w:b/>
                <w:bCs/>
                <w:sz w:val="20"/>
                <w:szCs w:val="20"/>
              </w:rPr>
              <w:t xml:space="preserve">Rejected Approach</w:t>
            </w:r>
          </w:p>
        </w:tc>
        <w:tc>
          <w:tcPr>
            <w:tcW w:type="dxa" w:w="1400"/>
            <w:shd w:fill="D9E2F3" w:val="clear"/>
          </w:tcPr>
          <w:p>
            <w:r>
              <w:rPr>
                <w:b/>
                <w:bCs/>
                <w:sz w:val="20"/>
                <w:szCs w:val="20"/>
              </w:rPr>
              <w:t xml:space="preserve">Stage</w:t>
            </w:r>
          </w:p>
        </w:tc>
        <w:tc>
          <w:tcPr>
            <w:tcW w:type="dxa" w:w="4600"/>
            <w:shd w:fill="D9E2F3" w:val="clear"/>
          </w:tcPr>
          <w:p>
            <w:r>
              <w:rPr>
                <w:b/>
                <w:bCs/>
                <w:sz w:val="20"/>
                <w:szCs w:val="20"/>
              </w:rPr>
              <w:t xml:space="preserve">Why It Was Rejected</w:t>
            </w:r>
          </w:p>
        </w:tc>
      </w:tr>
      <w:tr>
        <w:tc>
          <w:tcPr>
            <w:tcW w:type="dxa" w:w="3400"/>
          </w:tcPr>
          <w:p>
            <w:r>
              <w:rPr>
                <w:b w:val="false"/>
                <w:bCs w:val="false"/>
                <w:sz w:val="20"/>
                <w:szCs w:val="20"/>
              </w:rPr>
              <w:t xml:space="preserve">Chart-first / dashboard-first exploration</w:t>
            </w:r>
          </w:p>
        </w:tc>
        <w:tc>
          <w:tcPr>
            <w:tcW w:type="dxa" w:w="1400"/>
          </w:tcPr>
          <w:p>
            <w:r>
              <w:rPr>
                <w:b w:val="false"/>
                <w:bCs w:val="false"/>
                <w:sz w:val="20"/>
                <w:szCs w:val="20"/>
              </w:rPr>
              <w:t xml:space="preserve">Pre-archive</w:t>
            </w:r>
          </w:p>
        </w:tc>
        <w:tc>
          <w:tcPr>
            <w:tcW w:type="dxa" w:w="4600"/>
          </w:tcPr>
          <w:p>
            <w:r>
              <w:rPr>
                <w:b w:val="false"/>
                <w:bCs w:val="false"/>
                <w:sz w:val="20"/>
                <w:szCs w:val="20"/>
              </w:rPr>
              <w:t xml:space="preserve">Produces arbitrary visualizations, weak questions, and conclusions that can't be traced back to evidence.</w:t>
            </w:r>
          </w:p>
        </w:tc>
      </w:tr>
      <w:tr>
        <w:tc>
          <w:tcPr>
            <w:tcW w:type="dxa" w:w="3400"/>
          </w:tcPr>
          <w:p>
            <w:r>
              <w:rPr>
                <w:b w:val="false"/>
                <w:bCs w:val="false"/>
                <w:sz w:val="20"/>
                <w:szCs w:val="20"/>
              </w:rPr>
              <w:t xml:space="preserve">Supply-side low-carbon growth as the central story</w:t>
            </w:r>
          </w:p>
        </w:tc>
        <w:tc>
          <w:tcPr>
            <w:tcW w:type="dxa" w:w="1400"/>
          </w:tcPr>
          <w:p>
            <w:r>
              <w:rPr>
                <w:b w:val="false"/>
                <w:bCs w:val="false"/>
                <w:sz w:val="20"/>
                <w:szCs w:val="20"/>
              </w:rPr>
              <w:t xml:space="preserve">Pre-archive</w:t>
            </w:r>
          </w:p>
        </w:tc>
        <w:tc>
          <w:tcPr>
            <w:tcW w:type="dxa" w:w="4600"/>
          </w:tcPr>
          <w:p>
            <w:r>
              <w:rPr>
                <w:b w:val="false"/>
                <w:bCs w:val="false"/>
                <w:sz w:val="20"/>
                <w:szCs w:val="20"/>
              </w:rPr>
              <w:t xml:space="preserve">Celebrates clean-energy growth without checking whether it keeps pace with total demand growth — a country can grow renewables fast while demand grows faster.</w:t>
            </w:r>
          </w:p>
        </w:tc>
      </w:tr>
      <w:tr>
        <w:tc>
          <w:tcPr>
            <w:tcW w:type="dxa" w:w="3400"/>
          </w:tcPr>
          <w:p>
            <w:r>
              <w:rPr>
                <w:b w:val="false"/>
                <w:bCs w:val="false"/>
                <w:sz w:val="20"/>
                <w:szCs w:val="20"/>
              </w:rPr>
              <w:t xml:space="preserve">Fossil dependence as the primary URQ framing</w:t>
            </w:r>
          </w:p>
        </w:tc>
        <w:tc>
          <w:tcPr>
            <w:tcW w:type="dxa" w:w="1400"/>
          </w:tcPr>
          <w:p>
            <w:r>
              <w:rPr>
                <w:b w:val="false"/>
                <w:bCs w:val="false"/>
                <w:sz w:val="20"/>
                <w:szCs w:val="20"/>
              </w:rPr>
              <w:t xml:space="preserve">Pre-archive</w:t>
            </w:r>
          </w:p>
        </w:tc>
        <w:tc>
          <w:tcPr>
            <w:tcW w:type="dxa" w:w="4600"/>
          </w:tcPr>
          <w:p>
            <w:r>
              <w:rPr>
                <w:b w:val="false"/>
                <w:bCs w:val="false"/>
                <w:sz w:val="20"/>
                <w:szCs w:val="20"/>
              </w:rPr>
              <w:t xml:space="preserve">Useful as supporting evidence (CQ2), but not the chosen central question.</w:t>
            </w:r>
          </w:p>
        </w:tc>
      </w:tr>
      <w:tr>
        <w:tc>
          <w:tcPr>
            <w:tcW w:type="dxa" w:w="3400"/>
          </w:tcPr>
          <w:p>
            <w:r>
              <w:rPr>
                <w:b w:val="false"/>
                <w:bCs w:val="false"/>
                <w:sz w:val="20"/>
                <w:szCs w:val="20"/>
              </w:rPr>
              <w:t xml:space="preserve">Electricity decarbonization as the main project (electricity lens as primary)</w:t>
            </w:r>
          </w:p>
        </w:tc>
        <w:tc>
          <w:tcPr>
            <w:tcW w:type="dxa" w:w="1400"/>
          </w:tcPr>
          <w:p>
            <w:r>
              <w:rPr>
                <w:b w:val="false"/>
                <w:bCs w:val="false"/>
                <w:sz w:val="20"/>
                <w:szCs w:val="20"/>
              </w:rPr>
              <w:t xml:space="preserve">Pre-archive / v1</w:t>
            </w:r>
          </w:p>
        </w:tc>
        <w:tc>
          <w:tcPr>
            <w:tcW w:type="dxa" w:w="4600"/>
          </w:tcPr>
          <w:p>
            <w:r>
              <w:rPr>
                <w:b w:val="false"/>
                <w:bCs w:val="false"/>
                <w:sz w:val="20"/>
                <w:szCs w:val="20"/>
              </w:rPr>
              <w:t xml:space="preserve">Would silently create a second, competing definition of “demand” inside one investigation; total-energy lens stays primary.</w:t>
            </w:r>
          </w:p>
        </w:tc>
      </w:tr>
      <w:tr>
        <w:tc>
          <w:tcPr>
            <w:tcW w:type="dxa" w:w="3400"/>
          </w:tcPr>
          <w:p>
            <w:r>
              <w:rPr>
                <w:b w:val="false"/>
                <w:bCs w:val="false"/>
                <w:sz w:val="20"/>
                <w:szCs w:val="20"/>
              </w:rPr>
              <w:t xml:space="preserve">Six-CQ architecture</w:t>
            </w:r>
          </w:p>
        </w:tc>
        <w:tc>
          <w:tcPr>
            <w:tcW w:type="dxa" w:w="1400"/>
          </w:tcPr>
          <w:p>
            <w:r>
              <w:rPr>
                <w:b w:val="false"/>
                <w:bCs w:val="false"/>
                <w:sz w:val="20"/>
                <w:szCs w:val="20"/>
              </w:rPr>
              <w:t xml:space="preserve">v1</w:t>
            </w:r>
          </w:p>
        </w:tc>
        <w:tc>
          <w:tcPr>
            <w:tcW w:type="dxa" w:w="4600"/>
          </w:tcPr>
          <w:p>
            <w:r>
              <w:rPr>
                <w:b w:val="false"/>
                <w:bCs w:val="false"/>
                <w:sz w:val="20"/>
                <w:szCs w:val="20"/>
              </w:rPr>
              <w:t xml:space="preserve">Source-driver and country-difference angles were not independent enough to be top-level pillars; reduced to three CQs.</w:t>
            </w:r>
          </w:p>
        </w:tc>
      </w:tr>
      <w:tr>
        <w:tc>
          <w:tcPr>
            <w:tcW w:type="dxa" w:w="3400"/>
          </w:tcPr>
          <w:p>
            <w:r>
              <w:rPr>
                <w:b w:val="false"/>
                <w:bCs w:val="false"/>
                <w:sz w:val="20"/>
                <w:szCs w:val="20"/>
              </w:rPr>
              <w:t xml:space="preserve">Standalone Growth Gap CQ</w:t>
            </w:r>
          </w:p>
        </w:tc>
        <w:tc>
          <w:tcPr>
            <w:tcW w:type="dxa" w:w="1400"/>
          </w:tcPr>
          <w:p>
            <w:r>
              <w:rPr>
                <w:b w:val="false"/>
                <w:bCs w:val="false"/>
                <w:sz w:val="20"/>
                <w:szCs w:val="20"/>
              </w:rPr>
              <w:t xml:space="preserve">v1</w:t>
            </w:r>
          </w:p>
        </w:tc>
        <w:tc>
          <w:tcPr>
            <w:tcW w:type="dxa" w:w="4600"/>
          </w:tcPr>
          <w:p>
            <w:r>
              <w:rPr>
                <w:b w:val="false"/>
                <w:bCs w:val="false"/>
                <w:sz w:val="20"/>
                <w:szCs w:val="20"/>
              </w:rPr>
              <w:t xml:space="preserve">It is the shortfall side of Demand Coverage, not an independent dimension.</w:t>
            </w:r>
          </w:p>
        </w:tc>
      </w:tr>
      <w:tr>
        <w:tc>
          <w:tcPr>
            <w:tcW w:type="dxa" w:w="3400"/>
          </w:tcPr>
          <w:p>
            <w:r>
              <w:rPr>
                <w:b w:val="false"/>
                <w:bCs w:val="false"/>
                <w:sz w:val="20"/>
                <w:szCs w:val="20"/>
              </w:rPr>
              <w:t xml:space="preserve">Standalone low-carbon source CQ / per-source breakdown (solar, wind, hydro, nuclear, etc.)</w:t>
            </w:r>
          </w:p>
        </w:tc>
        <w:tc>
          <w:tcPr>
            <w:tcW w:type="dxa" w:w="1400"/>
          </w:tcPr>
          <w:p>
            <w:r>
              <w:rPr>
                <w:b w:val="false"/>
                <w:bCs w:val="false"/>
                <w:sz w:val="20"/>
                <w:szCs w:val="20"/>
              </w:rPr>
              <w:t xml:space="preserve">v1 / column selection</w:t>
            </w:r>
          </w:p>
        </w:tc>
        <w:tc>
          <w:tcPr>
            <w:tcW w:type="dxa" w:w="4600"/>
          </w:tcPr>
          <w:p>
            <w:r>
              <w:rPr>
                <w:b w:val="false"/>
                <w:bCs w:val="false"/>
                <w:sz w:val="20"/>
                <w:szCs w:val="20"/>
              </w:rPr>
              <w:t xml:space="preserve">Diagnostic detail, not a top-level pillar; kept out of both the CQ layer and the final column set.</w:t>
            </w:r>
          </w:p>
        </w:tc>
      </w:tr>
      <w:tr>
        <w:tc>
          <w:tcPr>
            <w:tcW w:type="dxa" w:w="3400"/>
          </w:tcPr>
          <w:p>
            <w:r>
              <w:rPr>
                <w:b w:val="false"/>
                <w:bCs w:val="false"/>
                <w:sz w:val="20"/>
                <w:szCs w:val="20"/>
              </w:rPr>
              <w:t xml:space="preserve">Country Differences as a standalone CQ</w:t>
            </w:r>
          </w:p>
        </w:tc>
        <w:tc>
          <w:tcPr>
            <w:tcW w:type="dxa" w:w="1400"/>
          </w:tcPr>
          <w:p>
            <w:r>
              <w:rPr>
                <w:b w:val="false"/>
                <w:bCs w:val="false"/>
                <w:sz w:val="20"/>
                <w:szCs w:val="20"/>
              </w:rPr>
              <w:t xml:space="preserve">v1</w:t>
            </w:r>
          </w:p>
        </w:tc>
        <w:tc>
          <w:tcPr>
            <w:tcW w:type="dxa" w:w="4600"/>
          </w:tcPr>
          <w:p>
            <w:r>
              <w:rPr>
                <w:b w:val="false"/>
                <w:bCs w:val="false"/>
                <w:sz w:val="20"/>
                <w:szCs w:val="20"/>
              </w:rPr>
              <w:t xml:space="preserve">Country comparison is a dimension inside coverage/performance questions, not a separate phenomenon.</w:t>
            </w:r>
          </w:p>
        </w:tc>
      </w:tr>
      <w:tr>
        <w:tc>
          <w:tcPr>
            <w:tcW w:type="dxa" w:w="3400"/>
          </w:tcPr>
          <w:p>
            <w:r>
              <w:rPr>
                <w:b w:val="false"/>
                <w:bCs w:val="false"/>
                <w:sz w:val="20"/>
                <w:szCs w:val="20"/>
              </w:rPr>
              <w:t xml:space="preserve">Causal / displacement language (“low-carbon growth displaced fossil fuels”)</w:t>
            </w:r>
          </w:p>
        </w:tc>
        <w:tc>
          <w:tcPr>
            <w:tcW w:type="dxa" w:w="1400"/>
          </w:tcPr>
          <w:p>
            <w:r>
              <w:rPr>
                <w:b w:val="false"/>
                <w:bCs w:val="false"/>
                <w:sz w:val="20"/>
                <w:szCs w:val="20"/>
              </w:rPr>
              <w:t xml:space="preserve">v1</w:t>
            </w:r>
          </w:p>
        </w:tc>
        <w:tc>
          <w:tcPr>
            <w:tcW w:type="dxa" w:w="4600"/>
          </w:tcPr>
          <w:p>
            <w:r>
              <w:rPr>
                <w:b w:val="false"/>
                <w:bCs w:val="false"/>
                <w:sz w:val="20"/>
                <w:szCs w:val="20"/>
              </w:rPr>
              <w:t xml:space="preserve">The dataset is observational; causation cannot be established from it.</w:t>
            </w:r>
          </w:p>
        </w:tc>
      </w:tr>
      <w:tr>
        <w:tc>
          <w:tcPr>
            <w:tcW w:type="dxa" w:w="3400"/>
          </w:tcPr>
          <w:p>
            <w:r>
              <w:rPr>
                <w:b w:val="false"/>
                <w:bCs w:val="false"/>
                <w:sz w:val="20"/>
                <w:szCs w:val="20"/>
              </w:rPr>
              <w:t xml:space="preserve">Acceleration / momentum metric for IQ 3.3</w:t>
            </w:r>
          </w:p>
        </w:tc>
        <w:tc>
          <w:tcPr>
            <w:tcW w:type="dxa" w:w="1400"/>
          </w:tcPr>
          <w:p>
            <w:r>
              <w:rPr>
                <w:b w:val="false"/>
                <w:bCs w:val="false"/>
                <w:sz w:val="20"/>
                <w:szCs w:val="20"/>
              </w:rPr>
              <w:t xml:space="preserve">Cluster 4</w:t>
            </w:r>
          </w:p>
        </w:tc>
        <w:tc>
          <w:tcPr>
            <w:tcW w:type="dxa" w:w="4600"/>
          </w:tcPr>
          <w:p>
            <w:r>
              <w:rPr>
                <w:b w:val="false"/>
                <w:bCs w:val="false"/>
                <w:sz w:val="20"/>
                <w:szCs w:val="20"/>
              </w:rPr>
              <w:t xml:space="preserve">A second derivative of an already-noisy ratio is methodologically fragile and risks manufacturing a trend that isn't real.</w:t>
            </w:r>
          </w:p>
        </w:tc>
      </w:tr>
      <w:tr>
        <w:tc>
          <w:tcPr>
            <w:tcW w:type="dxa" w:w="3400"/>
          </w:tcPr>
          <w:p>
            <w:r>
              <w:rPr>
                <w:b w:val="false"/>
                <w:bCs w:val="false"/>
                <w:sz w:val="20"/>
                <w:szCs w:val="20"/>
              </w:rPr>
              <w:t xml:space="preserve">8-column minimal dataset (EQ-strict-only column set)</w:t>
            </w:r>
          </w:p>
        </w:tc>
        <w:tc>
          <w:tcPr>
            <w:tcW w:type="dxa" w:w="1400"/>
          </w:tcPr>
          <w:p>
            <w:r>
              <w:rPr>
                <w:b w:val="false"/>
                <w:bCs w:val="false"/>
                <w:sz w:val="20"/>
                <w:szCs w:val="20"/>
              </w:rPr>
              <w:t xml:space="preserve">Post-v1</w:t>
            </w:r>
          </w:p>
        </w:tc>
        <w:tc>
          <w:tcPr>
            <w:tcW w:type="dxa" w:w="4600"/>
          </w:tcPr>
          <w:p>
            <w:r>
              <w:rPr>
                <w:b w:val="false"/>
                <w:bCs w:val="false"/>
                <w:sz w:val="20"/>
                <w:szCs w:val="20"/>
              </w:rPr>
              <w:t xml:space="preserve">Too austere for real analytical write-up and interpretation; expanded to 16 columns while still excluding renewables_*, per-source columns, and the electricity branch.</w:t>
            </w:r>
          </w:p>
        </w:tc>
      </w:tr>
      <w:tr>
        <w:tc>
          <w:tcPr>
            <w:tcW w:type="dxa" w:w="3400"/>
          </w:tcPr>
          <w:p>
            <w:r>
              <w:rPr>
                <w:b w:val="false"/>
                <w:bCs w:val="false"/>
                <w:sz w:val="20"/>
                <w:szCs w:val="20"/>
              </w:rPr>
              <w:t xml:space="preserve">renewables_* as the clean-energy numerator (alongside or instead of low_carbon_*)</w:t>
            </w:r>
          </w:p>
        </w:tc>
        <w:tc>
          <w:tcPr>
            <w:tcW w:type="dxa" w:w="1400"/>
          </w:tcPr>
          <w:p>
            <w:r>
              <w:rPr>
                <w:b w:val="false"/>
                <w:bCs w:val="false"/>
                <w:sz w:val="20"/>
                <w:szCs w:val="20"/>
              </w:rPr>
              <w:t xml:space="preserve">Column selection</w:t>
            </w:r>
          </w:p>
        </w:tc>
        <w:tc>
          <w:tcPr>
            <w:tcW w:type="dxa" w:w="4600"/>
          </w:tcPr>
          <w:p>
            <w:r>
              <w:rPr>
                <w:b w:val="false"/>
                <w:bCs w:val="false"/>
                <w:sz w:val="20"/>
                <w:szCs w:val="20"/>
              </w:rPr>
              <w:t xml:space="preserve">Renewables excludes nuclear while low_carbon includes it — using both would create two silently competing definitions of “clean energy.”</w:t>
            </w:r>
          </w:p>
        </w:tc>
      </w:tr>
      <w:tr>
        <w:tc>
          <w:tcPr>
            <w:tcW w:type="dxa" w:w="3400"/>
          </w:tcPr>
          <w:p>
            <w:r>
              <w:rPr>
                <w:b w:val="false"/>
                <w:bCs w:val="false"/>
                <w:sz w:val="20"/>
                <w:szCs w:val="20"/>
              </w:rPr>
              <w:t xml:space="preserve">EQ 2.2b as originally worded (comparing coverage inside stacking years)</w:t>
            </w:r>
          </w:p>
        </w:tc>
        <w:tc>
          <w:tcPr>
            <w:tcW w:type="dxa" w:w="1400"/>
          </w:tcPr>
          <w:p>
            <w:r>
              <w:rPr>
                <w:b w:val="false"/>
                <w:bCs w:val="false"/>
                <w:sz w:val="20"/>
                <w:szCs w:val="20"/>
              </w:rPr>
              <w:t xml:space="preserve">EQ audit</w:t>
            </w:r>
          </w:p>
        </w:tc>
        <w:tc>
          <w:tcPr>
            <w:tcW w:type="dxa" w:w="4600"/>
          </w:tcPr>
          <w:p>
            <w:r>
              <w:rPr>
                <w:b w:val="false"/>
                <w:bCs w:val="false"/>
                <w:sz w:val="20"/>
                <w:szCs w:val="20"/>
              </w:rPr>
              <w:t xml:space="preserve">Reached into IQ 1.1's (Coverage Magnitude's) territory, violating IQ 2.2's own “independent of a coverage threshold” ownership boundary.</w:t>
            </w:r>
          </w:p>
        </w:tc>
      </w:tr>
      <w:tr>
        <w:tc>
          <w:tcPr>
            <w:tcW w:type="dxa" w:w="3400"/>
          </w:tcPr>
          <w:p>
            <w:r>
              <w:rPr>
                <w:b w:val="false"/>
                <w:bCs w:val="false"/>
                <w:sz w:val="20"/>
                <w:szCs w:val="20"/>
              </w:rPr>
              <w:t xml:space="preserve">Defining “sustained” (IQ 3.3) after seeing results</w:t>
            </w:r>
          </w:p>
        </w:tc>
        <w:tc>
          <w:tcPr>
            <w:tcW w:type="dxa" w:w="1400"/>
          </w:tcPr>
          <w:p>
            <w:r>
              <w:rPr>
                <w:b w:val="false"/>
                <w:bCs w:val="false"/>
                <w:sz w:val="20"/>
                <w:szCs w:val="20"/>
              </w:rPr>
              <w:t xml:space="preserve">Predetermined-rule fix</w:t>
            </w:r>
          </w:p>
        </w:tc>
        <w:tc>
          <w:tcPr>
            <w:tcW w:type="dxa" w:w="4600"/>
          </w:tcPr>
          <w:p>
            <w:r>
              <w:rPr>
                <w:b w:val="false"/>
                <w:bCs w:val="false"/>
                <w:sz w:val="20"/>
                <w:szCs w:val="20"/>
              </w:rPr>
              <w:t xml:space="preserve">Would let the definition be shaped to fit whatever looked best; a rule was fixed in advance instead (positive trend must survive excluding the single best year).</w:t>
            </w:r>
          </w:p>
        </w:tc>
      </w:tr>
      <w:tr>
        <w:tc>
          <w:tcPr>
            <w:tcW w:type="dxa" w:w="3400"/>
          </w:tcPr>
          <w:p>
            <w:r>
              <w:rPr>
                <w:b w:val="false"/>
                <w:bCs w:val="false"/>
                <w:sz w:val="20"/>
                <w:szCs w:val="20"/>
              </w:rPr>
              <w:t xml:space="preserve">Averaging individual yearly coverage percentages for country/group-level aggregates</w:t>
            </w:r>
          </w:p>
        </w:tc>
        <w:tc>
          <w:tcPr>
            <w:tcW w:type="dxa" w:w="1400"/>
          </w:tcPr>
          <w:p>
            <w:r>
              <w:rPr>
                <w:b w:val="false"/>
                <w:bCs w:val="false"/>
                <w:sz w:val="20"/>
                <w:szCs w:val="20"/>
              </w:rPr>
              <w:t xml:space="preserve">SQL correction</w:t>
            </w:r>
          </w:p>
        </w:tc>
        <w:tc>
          <w:tcPr>
            <w:tcW w:type="dxa" w:w="4600"/>
          </w:tcPr>
          <w:p>
            <w:r>
              <w:rPr>
                <w:b w:val="false"/>
                <w:bCs w:val="false"/>
                <w:sz w:val="20"/>
                <w:szCs w:val="20"/>
              </w:rPr>
              <w:t xml:space="preserve">Lets one extreme year count equally with many ordinary years and distorts the summary; replaced with pooled (sum-then-divide) totals.</w:t>
            </w:r>
          </w:p>
        </w:tc>
      </w:tr>
      <w:tr>
        <w:tc>
          <w:tcPr>
            <w:tcW w:type="dxa" w:w="3400"/>
          </w:tcPr>
          <w:p>
            <w:r>
              <w:rPr>
                <w:b w:val="false"/>
                <w:bCs w:val="false"/>
                <w:sz w:val="20"/>
                <w:szCs w:val="20"/>
              </w:rPr>
              <w:t xml:space="preserve">Treating every extreme coverage value the same way (deleting or keeping all uniformly)</w:t>
            </w:r>
          </w:p>
        </w:tc>
        <w:tc>
          <w:tcPr>
            <w:tcW w:type="dxa" w:w="1400"/>
          </w:tcPr>
          <w:p>
            <w:r>
              <w:rPr>
                <w:b w:val="false"/>
                <w:bCs w:val="false"/>
                <w:sz w:val="20"/>
                <w:szCs w:val="20"/>
              </w:rPr>
              <w:t xml:space="preserve">SQL correction</w:t>
            </w:r>
          </w:p>
        </w:tc>
        <w:tc>
          <w:tcPr>
            <w:tcW w:type="dxa" w:w="4600"/>
          </w:tcPr>
          <w:p>
            <w:r>
              <w:rPr>
                <w:b w:val="false"/>
                <w:bCs w:val="false"/>
                <w:sz w:val="20"/>
                <w:szCs w:val="20"/>
              </w:rPr>
              <w:t xml:space="preserve">Conflates two different problems — genuine negative-coverage findings (real signal) and tiny-denominator artifacts (noise) — that require opposite treatment.</w:t>
            </w:r>
          </w:p>
        </w:tc>
      </w:tr>
    </w:tbl>
    <w:p>
      <w:r>
        <w:br w:type="page"/>
      </w:r>
    </w:p>
    <w:p>
      <w:pPr>
        <w:pStyle w:val="Heading1"/>
        <w:spacing w:after="200" w:before="400"/>
      </w:pPr>
      <w:r>
        <w:t xml:space="preserve">Section C — Current Project Blueprint</w:t>
      </w:r>
    </w:p>
    <w:p>
      <w:pPr>
        <w:spacing w:after="160"/>
      </w:pPr>
      <w:r>
        <w:t xml:space="preserve">This section is the single current-state reference. It reflects only decisions that are actually locked as of the latest work in Section A. Anything superseded in Section A does not appear here.</w:t>
      </w:r>
    </w:p>
    <w:p>
      <w:pPr>
        <w:pStyle w:val="Heading2"/>
        <w:spacing w:after="150" w:before="300"/>
      </w:pPr>
      <w:r>
        <w:t xml:space="preserve">C.1 — Ultimate Research Question (URQ)</w:t>
      </w:r>
    </w:p>
    <w:p>
      <w:pPr>
        <w:spacing w:after="120"/>
      </w:pPr>
      <w:r>
        <w:rPr>
          <w:b/>
          <w:bCs/>
        </w:rPr>
        <w:t xml:space="preserve">To what extent can low-carbon energy growth keep pace with increases in total energy consumption across countries?</w:t>
      </w:r>
    </w:p>
    <w:p>
      <w:pPr>
        <w:spacing w:after="160"/>
      </w:pPr>
      <w:r>
        <w:t xml:space="preserve">“Demand” is retained only as the URQ's conceptual frame, explicitly defined as increasing energy consumption. Every EQ that touches actual data uses “energy consumption,” not “demand.”</w:t>
      </w:r>
    </w:p>
    <w:p>
      <w:pPr>
        <w:pStyle w:val="Heading2"/>
        <w:spacing w:after="150" w:before="300"/>
      </w:pPr>
      <w:r>
        <w:t xml:space="preserve">C.2 — CQ / IQ Hierarchy and EQ Counts (Final)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5600"/>
        <w:gridCol w:w="2000"/>
      </w:tblGrid>
      <w:tr>
        <w:trPr>
          <w:tblHeader/>
        </w:trPr>
        <w:tc>
          <w:tcPr>
            <w:tcW w:type="dxa" w:w="900"/>
            <w:shd w:fill="D9E2F3" w:val="clear"/>
          </w:tcPr>
          <w:p>
            <w:r>
              <w:rPr>
                <w:b/>
                <w:bCs/>
                <w:sz w:val="20"/>
                <w:szCs w:val="20"/>
              </w:rPr>
              <w:t xml:space="preserve">CQ</w:t>
            </w:r>
          </w:p>
        </w:tc>
        <w:tc>
          <w:tcPr>
            <w:tcW w:type="dxa" w:w="900"/>
            <w:shd w:fill="D9E2F3" w:val="clear"/>
          </w:tcPr>
          <w:p>
            <w:r>
              <w:rPr>
                <w:b/>
                <w:bCs/>
                <w:sz w:val="20"/>
                <w:szCs w:val="20"/>
              </w:rPr>
              <w:t xml:space="preserve">IQ</w:t>
            </w:r>
          </w:p>
        </w:tc>
        <w:tc>
          <w:tcPr>
            <w:tcW w:type="dxa" w:w="5600"/>
            <w:shd w:fill="D9E2F3" w:val="clear"/>
          </w:tcPr>
          <w:p>
            <w:r>
              <w:rPr>
                <w:b/>
                <w:bCs/>
                <w:sz w:val="20"/>
                <w:szCs w:val="20"/>
              </w:rPr>
              <w:t xml:space="preserve">IQ Question</w:t>
            </w:r>
          </w:p>
        </w:tc>
        <w:tc>
          <w:tcPr>
            <w:tcW w:type="dxa" w:w="2000"/>
            <w:shd w:fill="D9E2F3" w:val="clear"/>
          </w:tcPr>
          <w:p>
            <w:r>
              <w:rPr>
                <w:b/>
                <w:bCs/>
                <w:sz w:val="20"/>
                <w:szCs w:val="20"/>
              </w:rPr>
              <w:t xml:space="preserve">EQ Count</w:t>
            </w:r>
          </w:p>
        </w:tc>
      </w:tr>
      <w:tr>
        <w:tc>
          <w:tcPr>
            <w:tcW w:type="dxa" w:w="900"/>
          </w:tcPr>
          <w:p>
            <w:r>
              <w:rPr>
                <w:b w:val="false"/>
                <w:bCs w:val="false"/>
                <w:sz w:val="20"/>
                <w:szCs w:val="20"/>
              </w:rPr>
              <w:t xml:space="preserve">CQ1</w:t>
            </w:r>
          </w:p>
        </w:tc>
        <w:tc>
          <w:tcPr>
            <w:tcW w:type="dxa" w:w="900"/>
          </w:tcPr>
          <w:p>
            <w:r>
              <w:rPr>
                <w:b w:val="false"/>
                <w:bCs w:val="false"/>
                <w:sz w:val="20"/>
                <w:szCs w:val="20"/>
              </w:rPr>
              <w:t xml:space="preserve">IQ 1.1</w:t>
            </w:r>
          </w:p>
        </w:tc>
        <w:tc>
          <w:tcPr>
            <w:tcW w:type="dxa" w:w="5600"/>
          </w:tcPr>
          <w:p>
            <w:r>
              <w:rPr>
                <w:b w:val="false"/>
                <w:bCs w:val="false"/>
                <w:sz w:val="20"/>
                <w:szCs w:val="20"/>
              </w:rPr>
              <w:t xml:space="preserve">What proportion of additional energy consumption is covered by additional low-carbon energy?</w:t>
            </w:r>
          </w:p>
        </w:tc>
        <w:tc>
          <w:tcPr>
            <w:tcW w:type="dxa" w:w="2000"/>
          </w:tcPr>
          <w:p>
            <w:r>
              <w:rPr>
                <w:b w:val="false"/>
                <w:bCs w:val="false"/>
                <w:sz w:val="20"/>
                <w:szCs w:val="20"/>
              </w:rPr>
              <w:t xml:space="preserve">5</w:t>
            </w:r>
          </w:p>
        </w:tc>
      </w:tr>
      <w:tr>
        <w:tc>
          <w:tcPr>
            <w:tcW w:type="dxa" w:w="900"/>
          </w:tcPr>
          <w:p>
            <w:r>
              <w:rPr>
                <w:b w:val="false"/>
                <w:bCs w:val="false"/>
                <w:sz w:val="20"/>
                <w:szCs w:val="20"/>
              </w:rPr>
              <w:t xml:space="preserve">CQ1</w:t>
            </w:r>
          </w:p>
        </w:tc>
        <w:tc>
          <w:tcPr>
            <w:tcW w:type="dxa" w:w="900"/>
          </w:tcPr>
          <w:p>
            <w:r>
              <w:rPr>
                <w:b w:val="false"/>
                <w:bCs w:val="false"/>
                <w:sz w:val="20"/>
                <w:szCs w:val="20"/>
              </w:rPr>
              <w:t xml:space="preserve">IQ 1.2</w:t>
            </w:r>
          </w:p>
        </w:tc>
        <w:tc>
          <w:tcPr>
            <w:tcW w:type="dxa" w:w="5600"/>
          </w:tcPr>
          <w:p>
            <w:r>
              <w:rPr>
                <w:b w:val="false"/>
                <w:bCs w:val="false"/>
                <w:sz w:val="20"/>
                <w:szCs w:val="20"/>
              </w:rPr>
              <w:t xml:space="preserve">Where and by how much does low-carbon growth fall short of increasing energy consumption?</w:t>
            </w:r>
          </w:p>
        </w:tc>
        <w:tc>
          <w:tcPr>
            <w:tcW w:type="dxa" w:w="2000"/>
          </w:tcPr>
          <w:p>
            <w:r>
              <w:rPr>
                <w:b w:val="false"/>
                <w:bCs w:val="false"/>
                <w:sz w:val="20"/>
                <w:szCs w:val="20"/>
              </w:rPr>
              <w:t xml:space="preserve">5</w:t>
            </w:r>
          </w:p>
        </w:tc>
      </w:tr>
      <w:tr>
        <w:tc>
          <w:tcPr>
            <w:tcW w:type="dxa" w:w="900"/>
          </w:tcPr>
          <w:p>
            <w:r>
              <w:rPr>
                <w:b w:val="false"/>
                <w:bCs w:val="false"/>
                <w:sz w:val="20"/>
                <w:szCs w:val="20"/>
              </w:rPr>
              <w:t xml:space="preserve">CQ1</w:t>
            </w:r>
          </w:p>
        </w:tc>
        <w:tc>
          <w:tcPr>
            <w:tcW w:type="dxa" w:w="900"/>
          </w:tcPr>
          <w:p>
            <w:r>
              <w:rPr>
                <w:b w:val="false"/>
                <w:bCs w:val="false"/>
                <w:sz w:val="20"/>
                <w:szCs w:val="20"/>
              </w:rPr>
              <w:t xml:space="preserve">IQ 1.3</w:t>
            </w:r>
          </w:p>
        </w:tc>
        <w:tc>
          <w:tcPr>
            <w:tcW w:type="dxa" w:w="5600"/>
          </w:tcPr>
          <w:p>
            <w:r>
              <w:rPr>
                <w:b w:val="false"/>
                <w:bCs w:val="false"/>
                <w:sz w:val="20"/>
                <w:szCs w:val="20"/>
              </w:rPr>
              <w:t xml:space="preserve">How does the scale of energy-consumption growth relate to low-carbon coverage?</w:t>
            </w:r>
          </w:p>
        </w:tc>
        <w:tc>
          <w:tcPr>
            <w:tcW w:type="dxa" w:w="2000"/>
          </w:tcPr>
          <w:p>
            <w:r>
              <w:rPr>
                <w:b w:val="false"/>
                <w:bCs w:val="false"/>
                <w:sz w:val="20"/>
                <w:szCs w:val="20"/>
              </w:rPr>
              <w:t xml:space="preserve">4 (1 conditional)</w:t>
            </w:r>
          </w:p>
        </w:tc>
      </w:tr>
      <w:tr>
        <w:tc>
          <w:tcPr>
            <w:tcW w:type="dxa" w:w="900"/>
          </w:tcPr>
          <w:p>
            <w:r>
              <w:rPr>
                <w:b w:val="false"/>
                <w:bCs w:val="false"/>
                <w:sz w:val="20"/>
                <w:szCs w:val="20"/>
              </w:rPr>
              <w:t xml:space="preserve">CQ2</w:t>
            </w:r>
          </w:p>
        </w:tc>
        <w:tc>
          <w:tcPr>
            <w:tcW w:type="dxa" w:w="900"/>
          </w:tcPr>
          <w:p>
            <w:r>
              <w:rPr>
                <w:b w:val="false"/>
                <w:bCs w:val="false"/>
                <w:sz w:val="20"/>
                <w:szCs w:val="20"/>
              </w:rPr>
              <w:t xml:space="preserve">IQ 2.1</w:t>
            </w:r>
          </w:p>
        </w:tc>
        <w:tc>
          <w:tcPr>
            <w:tcW w:type="dxa" w:w="5600"/>
          </w:tcPr>
          <w:p>
            <w:r>
              <w:rPr>
                <w:b w:val="false"/>
                <w:bCs w:val="false"/>
                <w:sz w:val="20"/>
                <w:szCs w:val="20"/>
              </w:rPr>
              <w:t xml:space="preserve">How does fossil-fuel consumption vary across different levels of low-carbon coverage?</w:t>
            </w:r>
          </w:p>
        </w:tc>
        <w:tc>
          <w:tcPr>
            <w:tcW w:type="dxa" w:w="2000"/>
          </w:tcPr>
          <w:p>
            <w:r>
              <w:rPr>
                <w:b w:val="false"/>
                <w:bCs w:val="false"/>
                <w:sz w:val="20"/>
                <w:szCs w:val="20"/>
              </w:rPr>
              <w:t xml:space="preserve">3</w:t>
            </w:r>
          </w:p>
        </w:tc>
      </w:tr>
      <w:tr>
        <w:tc>
          <w:tcPr>
            <w:tcW w:type="dxa" w:w="900"/>
          </w:tcPr>
          <w:p>
            <w:r>
              <w:rPr>
                <w:b w:val="false"/>
                <w:bCs w:val="false"/>
                <w:sz w:val="20"/>
                <w:szCs w:val="20"/>
              </w:rPr>
              <w:t xml:space="preserve">CQ2</w:t>
            </w:r>
          </w:p>
        </w:tc>
        <w:tc>
          <w:tcPr>
            <w:tcW w:type="dxa" w:w="900"/>
          </w:tcPr>
          <w:p>
            <w:r>
              <w:rPr>
                <w:b w:val="false"/>
                <w:bCs w:val="false"/>
                <w:sz w:val="20"/>
                <w:szCs w:val="20"/>
              </w:rPr>
              <w:t xml:space="preserve">IQ 2.2</w:t>
            </w:r>
          </w:p>
        </w:tc>
        <w:tc>
          <w:tcPr>
            <w:tcW w:type="dxa" w:w="5600"/>
          </w:tcPr>
          <w:p>
            <w:r>
              <w:rPr>
                <w:b w:val="false"/>
                <w:bCs w:val="false"/>
                <w:sz w:val="20"/>
                <w:szCs w:val="20"/>
              </w:rPr>
              <w:t xml:space="preserve">How often does fossil-fuel consumption increase while low-carbon energy is also growing?</w:t>
            </w:r>
          </w:p>
        </w:tc>
        <w:tc>
          <w:tcPr>
            <w:tcW w:type="dxa" w:w="2000"/>
          </w:tcPr>
          <w:p>
            <w:r>
              <w:rPr>
                <w:b w:val="false"/>
                <w:bCs w:val="false"/>
                <w:sz w:val="20"/>
                <w:szCs w:val="20"/>
              </w:rPr>
              <w:t xml:space="preserve">2</w:t>
            </w:r>
          </w:p>
        </w:tc>
      </w:tr>
      <w:tr>
        <w:tc>
          <w:tcPr>
            <w:tcW w:type="dxa" w:w="900"/>
          </w:tcPr>
          <w:p>
            <w:r>
              <w:rPr>
                <w:b w:val="false"/>
                <w:bCs w:val="false"/>
                <w:sz w:val="20"/>
                <w:szCs w:val="20"/>
              </w:rPr>
              <w:t xml:space="preserve">CQ3</w:t>
            </w:r>
          </w:p>
        </w:tc>
        <w:tc>
          <w:tcPr>
            <w:tcW w:type="dxa" w:w="900"/>
          </w:tcPr>
          <w:p>
            <w:r>
              <w:rPr>
                <w:b w:val="false"/>
                <w:bCs w:val="false"/>
                <w:sz w:val="20"/>
                <w:szCs w:val="20"/>
              </w:rPr>
              <w:t xml:space="preserve">IQ 3.1</w:t>
            </w:r>
          </w:p>
        </w:tc>
        <w:tc>
          <w:tcPr>
            <w:tcW w:type="dxa" w:w="5600"/>
          </w:tcPr>
          <w:p>
            <w:r>
              <w:rPr>
                <w:b w:val="false"/>
                <w:bCs w:val="false"/>
                <w:sz w:val="20"/>
                <w:szCs w:val="20"/>
              </w:rPr>
              <w:t xml:space="preserve">How resilient is low-carbon coverage when energy consumption grows unusually fast?</w:t>
            </w:r>
          </w:p>
        </w:tc>
        <w:tc>
          <w:tcPr>
            <w:tcW w:type="dxa" w:w="2000"/>
          </w:tcPr>
          <w:p>
            <w:r>
              <w:rPr>
                <w:b w:val="false"/>
                <w:bCs w:val="false"/>
                <w:sz w:val="20"/>
                <w:szCs w:val="20"/>
              </w:rPr>
              <w:t xml:space="preserve">3</w:t>
            </w:r>
          </w:p>
        </w:tc>
      </w:tr>
      <w:tr>
        <w:tc>
          <w:tcPr>
            <w:tcW w:type="dxa" w:w="900"/>
          </w:tcPr>
          <w:p>
            <w:r>
              <w:rPr>
                <w:b w:val="false"/>
                <w:bCs w:val="false"/>
                <w:sz w:val="20"/>
                <w:szCs w:val="20"/>
              </w:rPr>
              <w:t xml:space="preserve">CQ3</w:t>
            </w:r>
          </w:p>
        </w:tc>
        <w:tc>
          <w:tcPr>
            <w:tcW w:type="dxa" w:w="900"/>
          </w:tcPr>
          <w:p>
            <w:r>
              <w:rPr>
                <w:b w:val="false"/>
                <w:bCs w:val="false"/>
                <w:sz w:val="20"/>
                <w:szCs w:val="20"/>
              </w:rPr>
              <w:t xml:space="preserve">IQ 3.2</w:t>
            </w:r>
          </w:p>
        </w:tc>
        <w:tc>
          <w:tcPr>
            <w:tcW w:type="dxa" w:w="5600"/>
          </w:tcPr>
          <w:p>
            <w:r>
              <w:rPr>
                <w:b w:val="false"/>
                <w:bCs w:val="false"/>
                <w:sz w:val="20"/>
                <w:szCs w:val="20"/>
              </w:rPr>
              <w:t xml:space="preserve">Are high levels of low-carbon coverage sustained over time or concentrated in isolated periods?</w:t>
            </w:r>
          </w:p>
        </w:tc>
        <w:tc>
          <w:tcPr>
            <w:tcW w:type="dxa" w:w="2000"/>
          </w:tcPr>
          <w:p>
            <w:r>
              <w:rPr>
                <w:b w:val="false"/>
                <w:bCs w:val="false"/>
                <w:sz w:val="20"/>
                <w:szCs w:val="20"/>
              </w:rPr>
              <w:t xml:space="preserve">2</w:t>
            </w:r>
          </w:p>
        </w:tc>
      </w:tr>
      <w:tr>
        <w:tc>
          <w:tcPr>
            <w:tcW w:type="dxa" w:w="900"/>
          </w:tcPr>
          <w:p>
            <w:r>
              <w:rPr>
                <w:b w:val="false"/>
                <w:bCs w:val="false"/>
                <w:sz w:val="20"/>
                <w:szCs w:val="20"/>
              </w:rPr>
              <w:t xml:space="preserve">CQ3</w:t>
            </w:r>
          </w:p>
        </w:tc>
        <w:tc>
          <w:tcPr>
            <w:tcW w:type="dxa" w:w="900"/>
          </w:tcPr>
          <w:p>
            <w:r>
              <w:rPr>
                <w:b w:val="false"/>
                <w:bCs w:val="false"/>
                <w:sz w:val="20"/>
                <w:szCs w:val="20"/>
              </w:rPr>
              <w:t xml:space="preserve">IQ 3.3</w:t>
            </w:r>
          </w:p>
        </w:tc>
        <w:tc>
          <w:tcPr>
            <w:tcW w:type="dxa" w:w="5600"/>
          </w:tcPr>
          <w:p>
            <w:r>
              <w:rPr>
                <w:b w:val="false"/>
                <w:bCs w:val="false"/>
                <w:sz w:val="20"/>
                <w:szCs w:val="20"/>
              </w:rPr>
              <w:t xml:space="preserve">Is low-carbon coverage improving over time?</w:t>
            </w:r>
          </w:p>
        </w:tc>
        <w:tc>
          <w:tcPr>
            <w:tcW w:type="dxa" w:w="2000"/>
          </w:tcPr>
          <w:p>
            <w:r>
              <w:rPr>
                <w:b w:val="false"/>
                <w:bCs w:val="false"/>
                <w:sz w:val="20"/>
                <w:szCs w:val="20"/>
              </w:rPr>
              <w:t xml:space="preserve">3</w:t>
            </w:r>
          </w:p>
        </w:tc>
      </w:tr>
    </w:tbl>
    <w:p>
      <w:pPr>
        <w:spacing w:after="160"/>
      </w:pPr>
      <w:r>
        <w:rPr>
          <w:b/>
          <w:bCs/>
        </w:rPr>
        <w:t xml:space="preserve">CQ Questions:</w:t>
      </w:r>
    </w:p>
    <w:p>
      <w:pPr>
        <w:pStyle w:val="ListParagraph"/>
        <w:numPr>
          <w:ilvl w:val="0"/>
          <w:numId w:val="1"/>
        </w:numPr>
        <w:spacing w:after="80"/>
      </w:pPr>
      <w:r>
        <w:t xml:space="preserve">CQ1 — To what extent has low-carbon energy growth covered increases in energy consumption across countries?</w:t>
      </w:r>
    </w:p>
    <w:p>
      <w:pPr>
        <w:pStyle w:val="ListParagraph"/>
        <w:numPr>
          <w:ilvl w:val="0"/>
          <w:numId w:val="1"/>
        </w:numPr>
        <w:spacing w:after="80"/>
      </w:pPr>
      <w:r>
        <w:t xml:space="preserve">CQ2 — How does fossil-fuel consumption vary/change alongside low-carbon growth and coverage?</w:t>
      </w:r>
    </w:p>
    <w:p>
      <w:pPr>
        <w:pStyle w:val="ListParagraph"/>
        <w:numPr>
          <w:ilvl w:val="0"/>
          <w:numId w:val="1"/>
        </w:numPr>
        <w:spacing w:after="80"/>
      </w:pPr>
      <w:r>
        <w:t xml:space="preserve">CQ3 — How does the ability of low-carbon growth to meet increasing energy consumption behave over time?</w:t>
      </w:r>
    </w:p>
    <w:p>
      <w:pPr>
        <w:spacing w:after="160"/>
      </w:pPr>
      <w:r>
        <w:t xml:space="preserve">Total EQ count: 27 (28 counting the one conditional EQ under IQ 1.3), matching the project owner's explicit per-IQ specification. This is the final EQ layer used to build the current SQL (Section A.4).</w:t>
      </w:r>
    </w:p>
    <w:p>
      <w:pPr>
        <w:pStyle w:val="Heading2"/>
        <w:spacing w:after="150" w:before="300"/>
      </w:pPr>
      <w:r>
        <w:t xml:space="preserve">C.3 — Locked Methodology and Rules</w:t>
      </w:r>
    </w:p>
    <w:p>
      <w:pPr>
        <w:pStyle w:val="ListParagraph"/>
        <w:numPr>
          <w:ilvl w:val="0"/>
          <w:numId w:val="1"/>
        </w:numPr>
        <w:spacing w:after="80"/>
      </w:pPr>
      <w:r>
        <w:t xml:space="preserve">Aggregation method: totals-based ratio (sum low-carbon change ÷ sum total-energy change), never an average of individual yearly percentages, for any country- or group-level summary figure.</w:t>
      </w:r>
    </w:p>
    <w:p>
      <w:pPr>
        <w:pStyle w:val="ListParagraph"/>
        <w:numPr>
          <w:ilvl w:val="0"/>
          <w:numId w:val="1"/>
        </w:numPr>
        <w:spacing w:after="80"/>
      </w:pPr>
      <w:r>
        <w:t xml:space="preserve">Growth floor: energy_cons_change_twh &gt; 10 TWh, applied everywhere a yearly energy change is used as a denominator.</w:t>
      </w:r>
    </w:p>
    <w:p>
      <w:pPr>
        <w:pStyle w:val="ListParagraph"/>
        <w:numPr>
          <w:ilvl w:val="0"/>
          <w:numId w:val="1"/>
        </w:numPr>
        <w:spacing w:after="80"/>
      </w:pPr>
      <w:r>
        <w:t xml:space="preserve">Minimum valid years per country: 10 (general eligibility for any ranking or aggregate).</w:t>
      </w:r>
    </w:p>
    <w:p>
      <w:pPr>
        <w:pStyle w:val="ListParagraph"/>
        <w:numPr>
          <w:ilvl w:val="0"/>
          <w:numId w:val="1"/>
        </w:numPr>
        <w:spacing w:after="80"/>
      </w:pPr>
      <w:r>
        <w:t xml:space="preserve">Minimum stress-year count (IQ 3.1 only): 3 “unusually rapid” years, in addition to the 10-year general minimum.</w:t>
      </w:r>
    </w:p>
    <w:p>
      <w:pPr>
        <w:pStyle w:val="ListParagraph"/>
        <w:numPr>
          <w:ilvl w:val="0"/>
          <w:numId w:val="1"/>
        </w:numPr>
        <w:spacing w:after="80"/>
      </w:pPr>
      <w:r>
        <w:t xml:space="preserve">Years with total-energy growth ≤ 0 are excluded from the primary coverage metric, but tracked separately as context — never silently discarded.</w:t>
      </w:r>
    </w:p>
    <w:p>
      <w:pPr>
        <w:pStyle w:val="ListParagraph"/>
        <w:numPr>
          <w:ilvl w:val="0"/>
          <w:numId w:val="1"/>
        </w:numPr>
        <w:spacing w:after="80"/>
      </w:pPr>
      <w:r>
        <w:t xml:space="preserve">Negative coverage (low-carbon consumption fell while total energy rose) is kept in as a valid, real result — never filtered out or capped.</w:t>
      </w:r>
    </w:p>
    <w:p>
      <w:pPr>
        <w:pStyle w:val="ListParagraph"/>
        <w:numPr>
          <w:ilvl w:val="0"/>
          <w:numId w:val="1"/>
        </w:numPr>
        <w:spacing w:after="80"/>
      </w:pPr>
      <w:r>
        <w:t xml:space="preserve">“Unusually rapid” energy-consumption growth is defined relative to each country's own historical distribution (90th percentile of that country's own positive-growth years), never a single global threshold.</w:t>
      </w:r>
    </w:p>
    <w:p>
      <w:pPr>
        <w:pStyle w:val="ListParagraph"/>
        <w:numPr>
          <w:ilvl w:val="0"/>
          <w:numId w:val="1"/>
        </w:numPr>
        <w:spacing w:after="80"/>
      </w:pPr>
      <w:r>
        <w:t xml:space="preserve">Coverage bands: Low = coverage ratio below 50%; Medium = 50% up to just under 100%; High = 100% or above. (Not yet retrofitted into the IQ 2.1 SQL — see C.6.)</w:t>
      </w:r>
    </w:p>
    <w:p>
      <w:pPr>
        <w:pStyle w:val="ListParagraph"/>
        <w:numPr>
          <w:ilvl w:val="0"/>
          <w:numId w:val="1"/>
        </w:numPr>
        <w:spacing w:after="80"/>
      </w:pPr>
      <w:r>
        <w:t xml:space="preserve">IQ 3.3's “sustained” test is predetermined: a country's positive coverage trend counts as sustained only if it remains positive after excluding that country's single best year.</w:t>
      </w:r>
    </w:p>
    <w:p>
      <w:pPr>
        <w:pStyle w:val="ListParagraph"/>
        <w:numPr>
          <w:ilvl w:val="0"/>
          <w:numId w:val="1"/>
        </w:numPr>
        <w:spacing w:after="80"/>
      </w:pPr>
      <w:r>
        <w:t xml:space="preserve">No acceleration/second-derivative metric is used anywhere in IQ 3.3.</w:t>
      </w:r>
    </w:p>
    <w:p>
      <w:pPr>
        <w:pStyle w:val="ListParagraph"/>
        <w:numPr>
          <w:ilvl w:val="0"/>
          <w:numId w:val="1"/>
        </w:numPr>
        <w:spacing w:after="80"/>
      </w:pPr>
      <w:r>
        <w:t xml:space="preserve">Total-energy consumption is the sole primary lens; the electricity-system column branch is not used anywhere in the current EQ layer.</w:t>
      </w:r>
    </w:p>
    <w:p>
      <w:pPr>
        <w:pStyle w:val="ListParagraph"/>
        <w:numPr>
          <w:ilvl w:val="0"/>
          <w:numId w:val="1"/>
        </w:numPr>
        <w:spacing w:after="80"/>
      </w:pPr>
      <w:r>
        <w:t xml:space="preserve">Every EQ that touches real data uses “energy consumption,” never “demand.”</w:t>
      </w:r>
    </w:p>
    <w:p>
      <w:pPr>
        <w:pStyle w:val="Heading2"/>
        <w:spacing w:after="150" w:before="300"/>
      </w:pPr>
      <w:r>
        <w:t xml:space="preserve">C.4 — Dataset and Final Column Set</w:t>
      </w:r>
    </w:p>
    <w:p>
      <w:pPr>
        <w:spacing w:after="160"/>
      </w:pPr>
      <w:r>
        <w:t xml:space="preserve">Source: Energy Consumption Dataset by Our World in Data (OWID), hosted on Kaggle. Table referenced in SQL as EnergyX.</w:t>
      </w:r>
    </w:p>
    <w:p>
      <w:pPr>
        <w:spacing w:after="160"/>
      </w:pPr>
      <w:r>
        <w:t xml:space="preserve">Final 16 working columns:</w:t>
      </w:r>
    </w:p>
    <w:p>
      <w:pPr>
        <w:pStyle w:val="ListParagraph"/>
        <w:numPr>
          <w:ilvl w:val="0"/>
          <w:numId w:val="1"/>
        </w:numPr>
        <w:spacing w:after="80"/>
      </w:pPr>
      <w:r>
        <w:t xml:space="preserve">Identity: country, year, iso_code</w:t>
      </w:r>
    </w:p>
    <w:p>
      <w:pPr>
        <w:pStyle w:val="ListParagraph"/>
        <w:numPr>
          <w:ilvl w:val="0"/>
          <w:numId w:val="1"/>
        </w:numPr>
        <w:spacing w:after="80"/>
      </w:pPr>
      <w:r>
        <w:t xml:space="preserve">Total energy: primary_energy_consumption, energy_cons_change_pct, energy_cons_change_twh, energy_per_capita, energy_per_gdp</w:t>
      </w:r>
    </w:p>
    <w:p>
      <w:pPr>
        <w:pStyle w:val="ListParagraph"/>
        <w:numPr>
          <w:ilvl w:val="0"/>
          <w:numId w:val="1"/>
        </w:numPr>
        <w:spacing w:after="80"/>
      </w:pPr>
      <w:r>
        <w:t xml:space="preserve">Fossil: fossil_cons_change_pct, fossil_cons_change_twh, fossil_energy_per_capita, fossil_share_energy</w:t>
      </w:r>
    </w:p>
    <w:p>
      <w:pPr>
        <w:pStyle w:val="ListParagraph"/>
        <w:numPr>
          <w:ilvl w:val="0"/>
          <w:numId w:val="1"/>
        </w:numPr>
        <w:spacing w:after="80"/>
      </w:pPr>
      <w:r>
        <w:t xml:space="preserve">Low-carbon: low_carbon_cons_change_pct, low_carbon_cons_change_twh, low_carbon_energy_per_capita, low_carbon_share_energy</w:t>
      </w:r>
    </w:p>
    <w:p>
      <w:pPr>
        <w:spacing w:after="160"/>
      </w:pPr>
      <w:r>
        <w:t xml:space="preserve">Deliberately excluded: all renewables_* columns, all per-source columns (coal/gas/oil/solar/wind/hydro/nuclear/biofuel/other), all electricity-system columns, and raw population/gdp (energy_per_gdp is kept as a ratio without its raw components).</w:t>
      </w:r>
    </w:p>
    <w:p>
      <w:pPr>
        <w:pStyle w:val="Heading2"/>
        <w:spacing w:after="150" w:before="300"/>
      </w:pPr>
      <w:r>
        <w:t xml:space="preserve">C.5 — Completed Work</w:t>
      </w:r>
    </w:p>
    <w:p>
      <w:pPr>
        <w:pStyle w:val="ListParagraph"/>
        <w:numPr>
          <w:ilvl w:val="0"/>
          <w:numId w:val="1"/>
        </w:numPr>
        <w:spacing w:after="80"/>
      </w:pPr>
      <w:r>
        <w:t xml:space="preserve">Full conceptual architecture locked: URQ, 3 CQs, 8 IQs, 27 EQs, five resolved mechanical-audit clusters, two additional standing rules (Rule 2, Rule 3).</w:t>
      </w:r>
    </w:p>
    <w:p>
      <w:pPr>
        <w:pStyle w:val="ListParagraph"/>
        <w:numPr>
          <w:ilvl w:val="0"/>
          <w:numId w:val="1"/>
        </w:numPr>
        <w:spacing w:after="80"/>
      </w:pPr>
      <w:r>
        <w:t xml:space="preserve">Final 16-column dataset selection locked.</w:t>
      </w:r>
    </w:p>
    <w:p>
      <w:pPr>
        <w:pStyle w:val="ListParagraph"/>
        <w:numPr>
          <w:ilvl w:val="0"/>
          <w:numId w:val="1"/>
        </w:numPr>
        <w:spacing w:after="80"/>
      </w:pPr>
      <w:r>
        <w:t xml:space="preserve">Initial SQL built and executed for all 8 IQs (by the project owner); results reviewed for structural alignment against the locked rules.</w:t>
      </w:r>
    </w:p>
    <w:p>
      <w:pPr>
        <w:pStyle w:val="ListParagraph"/>
        <w:numPr>
          <w:ilvl w:val="0"/>
          <w:numId w:val="1"/>
        </w:numPr>
        <w:spacing w:after="80"/>
      </w:pPr>
      <w:r>
        <w:t xml:space="preserve">Five implementation misalignments and one missing query identified through that review (Section A.4.1).</w:t>
      </w:r>
    </w:p>
    <w:p>
      <w:pPr>
        <w:pStyle w:val="ListParagraph"/>
        <w:numPr>
          <w:ilvl w:val="0"/>
          <w:numId w:val="1"/>
        </w:numPr>
        <w:spacing w:after="80"/>
      </w:pPr>
      <w:r>
        <w:t xml:space="preserve">Root-cause analysis completed distinguishing genuine negative-coverage findings from tiny-denominator artifacts (Section A.4.2).</w:t>
      </w:r>
    </w:p>
    <w:p>
      <w:pPr>
        <w:pStyle w:val="ListParagraph"/>
        <w:numPr>
          <w:ilvl w:val="0"/>
          <w:numId w:val="1"/>
        </w:numPr>
        <w:spacing w:after="80"/>
      </w:pPr>
      <w:r>
        <w:t xml:space="preserve">All 8 SQL files fully rewritten and delivered with the corrected, uniform thresholds and plain-language comments (Section A.4.3).</w:t>
      </w:r>
    </w:p>
    <w:p>
      <w:pPr>
        <w:pStyle w:val="Heading2"/>
        <w:spacing w:after="150" w:before="300"/>
      </w:pPr>
      <w:r>
        <w:t xml:space="preserve">C.6 — Open Items Not Yet Resolved</w:t>
      </w:r>
    </w:p>
    <w:p>
      <w:pPr>
        <w:pStyle w:val="ListParagraph"/>
        <w:numPr>
          <w:ilvl w:val="0"/>
          <w:numId w:val="1"/>
        </w:numPr>
        <w:spacing w:after="80"/>
      </w:pPr>
      <w:r>
        <w:t xml:space="preserve">Rule 3 (historically available vs. analytically comparable observations) — not yet applied to any query; must be checked before any EQ spanning the full historical range (pre-2000 included) is treated as fully reliable.</w:t>
      </w:r>
    </w:p>
    <w:p>
      <w:pPr>
        <w:pStyle w:val="ListParagraph"/>
        <w:numPr>
          <w:ilvl w:val="0"/>
          <w:numId w:val="1"/>
        </w:numPr>
        <w:spacing w:after="80"/>
      </w:pPr>
      <w:r>
        <w:t xml:space="preserve">IQ 1.3's second EQ (percentage-growth version of the demand-scale relationship) remains conditional — retained only if it reveals something the TWh-based version doesn't, to be checked once results exist.</w:t>
      </w:r>
    </w:p>
    <w:p>
      <w:pPr>
        <w:pStyle w:val="ListParagraph"/>
        <w:numPr>
          <w:ilvl w:val="0"/>
          <w:numId w:val="1"/>
        </w:numPr>
        <w:spacing w:after="80"/>
      </w:pPr>
      <w:r>
        <w:t xml:space="preserve">Coverage-band numeric cutoffs (Low/Medium/High, Section C.3) are locked as a decision but have not yet been retrofitted into IQ 2.1's SQL, which still relies on a pre-existing coverage_band column of unconfirmed derivation.</w:t>
      </w:r>
    </w:p>
    <w:p>
      <w:pPr>
        <w:pStyle w:val="Heading2"/>
        <w:spacing w:after="150" w:before="300"/>
      </w:pPr>
      <w:r>
        <w:t xml:space="preserve">C.7 — Current Handoff Point</w:t>
      </w:r>
    </w:p>
    <w:p>
      <w:pPr>
        <w:spacing w:after="160"/>
      </w:pPr>
      <w:r>
        <w:rPr>
          <w:b w:val="false"/>
          <w:bCs w:val="false"/>
        </w:rPr>
        <w:t xml:space="preserve">The corrected SQL files exist but have not yet been executed. No EQ results exist yet under the corrected methodology. The values referenced during the correction phase (e.g., Canada/Spain/UK negative-coverage examples, the New Zealand outlier) came from the earlier, flawed queries and were used only to diagnose what was wrong — they must not be carried forward as findings.</w:t>
      </w:r>
    </w:p>
    <w:p>
      <w:pPr>
        <w:spacing w:after="120"/>
      </w:pPr>
      <w:r>
        <w:rPr>
          <w:b/>
          <w:bCs/>
        </w:rPr>
        <w:t xml:space="preserve">The next step is analysis, not further structural or technical work:</w:t>
      </w:r>
    </w:p>
    <w:p>
      <w:pPr>
        <w:spacing w:after="160"/>
      </w:pPr>
      <w:r>
        <w:t xml:space="preserve">EQ Results → EQ Findings → IQ Conclusions → CQ Conclusions → URQ Answer</w:t>
      </w:r>
    </w:p>
    <w:p>
      <w:pPr>
        <w:spacing w:after="160"/>
      </w:pPr>
      <w:r>
        <w:t xml:space="preserve">Concretely: (1) execute the 8 corrected SQL files against the dataset; (2) record the actual results per EQ; (3) synthesize each IQ's conclusion from its EQs' results; (4) synthesize each CQ's conclusion from its IQs; (5) answer the URQ from the three CQ conclusions. Rule 3's data-comparability check should be applied before finalizing any conclusion that depends on the full historical time range.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2026-08-23T12:53:46.408Z</dcterms:created>
  <dcterms:modified xsi:type="dcterms:W3CDTF">2026-08-23T12:53:46.409Z</dcterms:modified>
</cp:coreProperties>
</file>

<file path=docProps/custom.xml><?xml version="1.0" encoding="utf-8"?>
<Properties xmlns="http://schemas.openxmlformats.org/officeDocument/2006/custom-properties" xmlns:vt="http://schemas.openxmlformats.org/officeDocument/2006/docPropsVTypes"/>
</file>