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4fknz1romt1" w:id="0"/>
      <w:bookmarkEnd w:id="0"/>
      <w:r w:rsidDel="00000000" w:rsidR="00000000" w:rsidRPr="00000000">
        <w:rPr>
          <w:b w:val="1"/>
          <w:color w:val="000000"/>
          <w:sz w:val="26"/>
          <w:szCs w:val="26"/>
          <w:rtl w:val="0"/>
        </w:rPr>
        <w:t xml:space="preserve">1. Understanding Audience Expertise Level</w:t>
      </w:r>
    </w:p>
    <w:p w:rsidR="00000000" w:rsidDel="00000000" w:rsidP="00000000" w:rsidRDefault="00000000" w:rsidRPr="00000000" w14:paraId="00000002">
      <w:pPr>
        <w:spacing w:after="240" w:before="240" w:lineRule="auto"/>
        <w:rPr/>
      </w:pPr>
      <w:r w:rsidDel="00000000" w:rsidR="00000000" w:rsidRPr="00000000">
        <w:rPr>
          <w:rtl w:val="0"/>
        </w:rPr>
        <w:t xml:space="preserve">Understanding your audience’s expertise level helps you determine the complexity of the language and concepts you use. For tech experts, you can use more technical terms and assume familiarity with jargon. For regular users, you should simplify explanations and avoid jargon to ensure comprehension.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eb2truzerr" w:id="1"/>
      <w:bookmarkEnd w:id="1"/>
      <w:r w:rsidDel="00000000" w:rsidR="00000000" w:rsidRPr="00000000">
        <w:rPr>
          <w:b w:val="1"/>
          <w:color w:val="000000"/>
          <w:sz w:val="26"/>
          <w:szCs w:val="26"/>
          <w:rtl w:val="0"/>
        </w:rPr>
        <w:t xml:space="preserve">2. Strategies to Tailor Content</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Audience Segmentation:</w:t>
      </w:r>
      <w:r w:rsidDel="00000000" w:rsidR="00000000" w:rsidRPr="00000000">
        <w:rPr>
          <w:rtl w:val="0"/>
        </w:rPr>
        <w:t xml:space="preserve"> Identify different audience groups and their needs.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Language Adjustment:</w:t>
      </w:r>
      <w:r w:rsidDel="00000000" w:rsidR="00000000" w:rsidRPr="00000000">
        <w:rPr>
          <w:rtl w:val="0"/>
        </w:rPr>
        <w:t xml:space="preserve"> Use simpler language for general audiences and technical terms for experts.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Content Depth:</w:t>
      </w:r>
      <w:r w:rsidDel="00000000" w:rsidR="00000000" w:rsidRPr="00000000">
        <w:rPr>
          <w:rtl w:val="0"/>
        </w:rPr>
        <w:t xml:space="preserve"> Provide detailed information and data for experts, while focusing on high-level concepts for non-experts.</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Examples and Analogies:</w:t>
      </w:r>
      <w:r w:rsidDel="00000000" w:rsidR="00000000" w:rsidRPr="00000000">
        <w:rPr>
          <w:rtl w:val="0"/>
        </w:rPr>
        <w:t xml:space="preserve"> Use relatable examples for a general audience while offering technical scenarios for experts.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iysloyg2tl7" w:id="2"/>
      <w:bookmarkEnd w:id="2"/>
      <w:r w:rsidDel="00000000" w:rsidR="00000000" w:rsidRPr="00000000">
        <w:rPr>
          <w:b w:val="1"/>
          <w:color w:val="000000"/>
          <w:sz w:val="26"/>
          <w:szCs w:val="26"/>
          <w:rtl w:val="0"/>
        </w:rPr>
        <w:t xml:space="preserve">3. Gauging Audience Knowledge</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Surveys or Questionnaires:</w:t>
      </w:r>
      <w:r w:rsidDel="00000000" w:rsidR="00000000" w:rsidRPr="00000000">
        <w:rPr>
          <w:rtl w:val="0"/>
        </w:rPr>
        <w:t xml:space="preserve"> Before presenting, ask about their familiarity with the topic.</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Encourage questions or comments to assess understanding during the presentation.</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Pilot Testing:</w:t>
      </w:r>
      <w:r w:rsidDel="00000000" w:rsidR="00000000" w:rsidRPr="00000000">
        <w:rPr>
          <w:rtl w:val="0"/>
        </w:rPr>
        <w:t xml:space="preserve"> Run your content by a small group representative of your audience to see if they grasp the material.</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z33pvsbyus91" w:id="3"/>
      <w:bookmarkEnd w:id="3"/>
      <w:r w:rsidDel="00000000" w:rsidR="00000000" w:rsidRPr="00000000">
        <w:rPr>
          <w:b w:val="1"/>
          <w:color w:val="000000"/>
          <w:sz w:val="26"/>
          <w:szCs w:val="26"/>
          <w:rtl w:val="0"/>
        </w:rPr>
        <w:t xml:space="preserve">4. Techniques for Accessibility</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Clear Definitions:</w:t>
      </w:r>
      <w:r w:rsidDel="00000000" w:rsidR="00000000" w:rsidRPr="00000000">
        <w:rPr>
          <w:rtl w:val="0"/>
        </w:rPr>
        <w:t xml:space="preserve"> Define any necessary technical terms.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Analogies and Metaphors:</w:t>
      </w:r>
      <w:r w:rsidDel="00000000" w:rsidR="00000000" w:rsidRPr="00000000">
        <w:rPr>
          <w:rtl w:val="0"/>
        </w:rPr>
        <w:t xml:space="preserve"> Use relatable comparisons to explain complex ideas.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Step-by-Step Explanations:</w:t>
      </w:r>
      <w:r w:rsidDel="00000000" w:rsidR="00000000" w:rsidRPr="00000000">
        <w:rPr>
          <w:rtl w:val="0"/>
        </w:rPr>
        <w:t xml:space="preserve"> Break down processes into simpler steps.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Avoid Assumptions:</w:t>
      </w:r>
      <w:r w:rsidDel="00000000" w:rsidR="00000000" w:rsidRPr="00000000">
        <w:rPr>
          <w:rtl w:val="0"/>
        </w:rPr>
        <w:t xml:space="preserve"> Don’t assume prior knowledge; clarify concepts that might be new to the audience.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qdei58fjhc2" w:id="4"/>
      <w:bookmarkEnd w:id="4"/>
      <w:r w:rsidDel="00000000" w:rsidR="00000000" w:rsidRPr="00000000">
        <w:rPr>
          <w:b w:val="1"/>
          <w:color w:val="000000"/>
          <w:sz w:val="26"/>
          <w:szCs w:val="26"/>
          <w:rtl w:val="0"/>
        </w:rPr>
        <w:t xml:space="preserve">5. Importance of Plain Language</w:t>
      </w:r>
    </w:p>
    <w:p w:rsidR="00000000" w:rsidDel="00000000" w:rsidP="00000000" w:rsidRDefault="00000000" w:rsidRPr="00000000" w14:paraId="00000012">
      <w:pPr>
        <w:spacing w:after="240" w:before="240" w:lineRule="auto"/>
        <w:rPr/>
      </w:pPr>
      <w:r w:rsidDel="00000000" w:rsidR="00000000" w:rsidRPr="00000000">
        <w:rPr>
          <w:rtl w:val="0"/>
        </w:rPr>
        <w:t xml:space="preserve">Using plain language enhances comprehension and accessibility, making content approachable for a wider audience. It reduces confusion, encourages engagement, and ensures that the main points are clearly communicated.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lv7ofx1b6o4" w:id="5"/>
      <w:bookmarkEnd w:id="5"/>
      <w:r w:rsidDel="00000000" w:rsidR="00000000" w:rsidRPr="00000000">
        <w:rPr>
          <w:b w:val="1"/>
          <w:color w:val="000000"/>
          <w:sz w:val="26"/>
          <w:szCs w:val="26"/>
          <w:rtl w:val="0"/>
        </w:rPr>
        <w:t xml:space="preserve">6. Examples of Simplifying Terms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Instead of "initiate," use "start."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Instead of "utilize," use "use."</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Instead of "facilitate," use "help."</w:t>
      </w:r>
    </w:p>
    <w:p w:rsidR="00000000" w:rsidDel="00000000" w:rsidP="00000000" w:rsidRDefault="00000000" w:rsidRPr="00000000" w14:paraId="00000017">
      <w:pPr>
        <w:spacing w:after="240" w:before="240" w:lineRule="auto"/>
        <w:rPr/>
      </w:pPr>
      <w:r w:rsidDel="00000000" w:rsidR="00000000" w:rsidRPr="00000000">
        <w:rPr>
          <w:rtl w:val="0"/>
        </w:rPr>
        <w:t xml:space="preserve">Simplifying terms like these makes it easier for readers to grasp the intended meaning without struggling with complicated vocabulary.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4z9r4xehgbo" w:id="6"/>
      <w:bookmarkEnd w:id="6"/>
      <w:r w:rsidDel="00000000" w:rsidR="00000000" w:rsidRPr="00000000">
        <w:rPr>
          <w:b w:val="1"/>
          <w:color w:val="000000"/>
          <w:sz w:val="26"/>
          <w:szCs w:val="26"/>
          <w:rtl w:val="0"/>
        </w:rPr>
        <w:t xml:space="preserve">7. Using Examples and Visuals</w:t>
      </w:r>
    </w:p>
    <w:p w:rsidR="00000000" w:rsidDel="00000000" w:rsidP="00000000" w:rsidRDefault="00000000" w:rsidRPr="00000000" w14:paraId="00000019">
      <w:pPr>
        <w:spacing w:after="240" w:before="240" w:lineRule="auto"/>
        <w:rPr/>
      </w:pPr>
      <w:r w:rsidDel="00000000" w:rsidR="00000000" w:rsidRPr="00000000">
        <w:rPr>
          <w:rtl w:val="0"/>
        </w:rPr>
        <w:t xml:space="preserve">Examples and visuals can clarify complex concepts by providing concrete illustrations of abstract ideas. They help readers relate to the content, making it easier to understand and retain information.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8rdnfjpwc2p" w:id="7"/>
      <w:bookmarkEnd w:id="7"/>
      <w:r w:rsidDel="00000000" w:rsidR="00000000" w:rsidRPr="00000000">
        <w:rPr>
          <w:b w:val="1"/>
          <w:color w:val="000000"/>
          <w:sz w:val="26"/>
          <w:szCs w:val="26"/>
          <w:rtl w:val="0"/>
        </w:rPr>
        <w:t xml:space="preserve">8. Effective Visual Types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Diagrams:</w:t>
      </w:r>
      <w:r w:rsidDel="00000000" w:rsidR="00000000" w:rsidRPr="00000000">
        <w:rPr>
          <w:rtl w:val="0"/>
        </w:rPr>
        <w:t xml:space="preserve"> Useful for showing processes or systems.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Flowcharts:</w:t>
      </w:r>
      <w:r w:rsidDel="00000000" w:rsidR="00000000" w:rsidRPr="00000000">
        <w:rPr>
          <w:rtl w:val="0"/>
        </w:rPr>
        <w:t xml:space="preserve"> Great for outlining workflows or decision-making paths.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Charts and Graphs:</w:t>
      </w:r>
      <w:r w:rsidDel="00000000" w:rsidR="00000000" w:rsidRPr="00000000">
        <w:rPr>
          <w:rtl w:val="0"/>
        </w:rPr>
        <w:t xml:space="preserve"> Ideal for presenting data and comparisons.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Screenshots:</w:t>
      </w:r>
      <w:r w:rsidDel="00000000" w:rsidR="00000000" w:rsidRPr="00000000">
        <w:rPr>
          <w:rtl w:val="0"/>
        </w:rPr>
        <w:t xml:space="preserve"> Helpful in software documentation to show interfaces or features.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2t954qzvtdc" w:id="8"/>
      <w:bookmarkEnd w:id="8"/>
      <w:r w:rsidDel="00000000" w:rsidR="00000000" w:rsidRPr="00000000">
        <w:rPr>
          <w:b w:val="1"/>
          <w:color w:val="000000"/>
          <w:sz w:val="26"/>
          <w:szCs w:val="26"/>
          <w:rtl w:val="0"/>
        </w:rPr>
        <w:t xml:space="preserve">9. Improving Readability with Headings</w:t>
      </w:r>
    </w:p>
    <w:p w:rsidR="00000000" w:rsidDel="00000000" w:rsidP="00000000" w:rsidRDefault="00000000" w:rsidRPr="00000000" w14:paraId="00000020">
      <w:pPr>
        <w:spacing w:after="240" w:before="240" w:lineRule="auto"/>
        <w:rPr/>
      </w:pPr>
      <w:r w:rsidDel="00000000" w:rsidR="00000000" w:rsidRPr="00000000">
        <w:rPr>
          <w:rtl w:val="0"/>
        </w:rPr>
        <w:t xml:space="preserve">Headings and subheadings improve readability by breaking content into manageable sections, allowing readers to scan for relevant information quickly. They create a clear structure that guides readers through the material.</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ilt3fogw37" w:id="9"/>
      <w:bookmarkEnd w:id="9"/>
      <w:r w:rsidDel="00000000" w:rsidR="00000000" w:rsidRPr="00000000">
        <w:rPr>
          <w:b w:val="1"/>
          <w:color w:val="000000"/>
          <w:sz w:val="26"/>
          <w:szCs w:val="26"/>
          <w:rtl w:val="0"/>
        </w:rPr>
        <w:t xml:space="preserve">10. Best Practices for Headings and Subheadings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Be Descriptive:</w:t>
      </w:r>
      <w:r w:rsidDel="00000000" w:rsidR="00000000" w:rsidRPr="00000000">
        <w:rPr>
          <w:rtl w:val="0"/>
        </w:rPr>
        <w:t xml:space="preserve"> Use clear, descriptive titles that summarize the content of the section.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Consistent Formatting:</w:t>
      </w:r>
      <w:r w:rsidDel="00000000" w:rsidR="00000000" w:rsidRPr="00000000">
        <w:rPr>
          <w:rtl w:val="0"/>
        </w:rPr>
        <w:t xml:space="preserve"> Maintain a consistent style (size, font) for all headings to enhance navigation.</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Hierarchical Structure:</w:t>
      </w:r>
      <w:r w:rsidDel="00000000" w:rsidR="00000000" w:rsidRPr="00000000">
        <w:rPr>
          <w:rtl w:val="0"/>
        </w:rPr>
        <w:t xml:space="preserve"> Use a logical hierarchy (H1, H2, H3) to indicate the importance of sections.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u8qopkrlciq6" w:id="10"/>
      <w:bookmarkEnd w:id="10"/>
      <w:r w:rsidDel="00000000" w:rsidR="00000000" w:rsidRPr="00000000">
        <w:rPr>
          <w:b w:val="1"/>
          <w:color w:val="000000"/>
          <w:sz w:val="26"/>
          <w:szCs w:val="26"/>
          <w:rtl w:val="0"/>
        </w:rPr>
        <w:t xml:space="preserve">11. Introduction of a Readme</w:t>
      </w:r>
    </w:p>
    <w:p w:rsidR="00000000" w:rsidDel="00000000" w:rsidP="00000000" w:rsidRDefault="00000000" w:rsidRPr="00000000" w14:paraId="00000026">
      <w:pPr>
        <w:spacing w:after="240" w:before="240" w:lineRule="auto"/>
        <w:rPr/>
      </w:pPr>
      <w:r w:rsidDel="00000000" w:rsidR="00000000" w:rsidRPr="00000000">
        <w:rPr>
          <w:rtl w:val="0"/>
        </w:rPr>
        <w:t xml:space="preserve">The introduction of a Readme should include: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Product Name:</w:t>
      </w:r>
      <w:r w:rsidDel="00000000" w:rsidR="00000000" w:rsidRPr="00000000">
        <w:rPr>
          <w:rtl w:val="0"/>
        </w:rPr>
        <w:t xml:space="preserve"> Clearly state the name of the product.</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Brief Description:</w:t>
      </w:r>
      <w:r w:rsidDel="00000000" w:rsidR="00000000" w:rsidRPr="00000000">
        <w:rPr>
          <w:rtl w:val="0"/>
        </w:rPr>
        <w:t xml:space="preserve"> Provide a concise overview of what the product does.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Purpose and Use Cases:</w:t>
      </w:r>
      <w:r w:rsidDel="00000000" w:rsidR="00000000" w:rsidRPr="00000000">
        <w:rPr>
          <w:rtl w:val="0"/>
        </w:rPr>
        <w:t xml:space="preserve"> Explain why the product is useful and who it is for.</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iotozxja1oj" w:id="11"/>
      <w:bookmarkEnd w:id="11"/>
      <w:r w:rsidDel="00000000" w:rsidR="00000000" w:rsidRPr="00000000">
        <w:rPr>
          <w:b w:val="1"/>
          <w:color w:val="000000"/>
          <w:sz w:val="26"/>
          <w:szCs w:val="26"/>
          <w:rtl w:val="0"/>
        </w:rPr>
        <w:t xml:space="preserve">12. Conveying Purpose and Key Features</w:t>
      </w:r>
    </w:p>
    <w:p w:rsidR="00000000" w:rsidDel="00000000" w:rsidP="00000000" w:rsidRDefault="00000000" w:rsidRPr="00000000" w14:paraId="0000002B">
      <w:pPr>
        <w:spacing w:after="240" w:before="240" w:lineRule="auto"/>
        <w:rPr/>
      </w:pPr>
      <w:r w:rsidDel="00000000" w:rsidR="00000000" w:rsidRPr="00000000">
        <w:rPr>
          <w:rtl w:val="0"/>
        </w:rPr>
        <w:t xml:space="preserve">To succinctly convey the purpose and key features of a product, use bullet points for clarity. For example:</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software helps users manage tasks efficiently."</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Task scheduling and reminders</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Collaboration tools for team projects</w:t>
      </w:r>
    </w:p>
    <w:p w:rsidR="00000000" w:rsidDel="00000000" w:rsidP="00000000" w:rsidRDefault="00000000" w:rsidRPr="00000000" w14:paraId="00000030">
      <w:pPr>
        <w:numPr>
          <w:ilvl w:val="1"/>
          <w:numId w:val="6"/>
        </w:numPr>
        <w:spacing w:after="240" w:before="0" w:beforeAutospacing="0" w:lineRule="auto"/>
        <w:ind w:left="1440" w:hanging="360"/>
      </w:pPr>
      <w:r w:rsidDel="00000000" w:rsidR="00000000" w:rsidRPr="00000000">
        <w:rPr>
          <w:rtl w:val="0"/>
        </w:rPr>
        <w:t xml:space="preserve">Analytics for tracking progress</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