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80837" w:rsidRDefault="00880837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-Roman" w:hAnsi="Times-Roman" w:cs="Times-Roman"/>
          <w:sz w:val="16"/>
          <w:szCs w:val="16"/>
        </w:rPr>
        <w:t>[</w:t>
      </w:r>
      <w:r w:rsidRPr="00880837">
        <w:rPr>
          <w:rFonts w:ascii="Times New Roman" w:hAnsi="Times New Roman" w:cs="Times New Roman"/>
          <w:sz w:val="28"/>
          <w:szCs w:val="28"/>
        </w:rPr>
        <w:t xml:space="preserve">1]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Z.Wang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S. Yan, and C. Zhang, “Active learning with adaptive regularization,”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Pattern </w:t>
      </w:r>
      <w:proofErr w:type="spellStart"/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vol. 44, no. 10/11, pp. 2375–2383, 2011.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>[2] B. Gutierrez-Nieto, C. Serrano-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Cinca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Camon-Cala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“A credit score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for socially responsible lending,”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J. Bus. Ethics</w:t>
      </w:r>
      <w:r w:rsidRPr="00880837">
        <w:rPr>
          <w:rFonts w:ascii="Times New Roman" w:hAnsi="Times New Roman" w:cs="Times New Roman"/>
          <w:sz w:val="28"/>
          <w:szCs w:val="28"/>
        </w:rPr>
        <w:t>, vol. 133, no. 4,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pp. 691–701, 2016.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[3] L. Thomas, J. Crook,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andD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. Edelman,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Credit Scoring and its Applications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vol. 2.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Philadelphia, PA, USA: SIAM, 2017.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[4] R.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Zeidan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Boechat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Fleury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“Developing a sustainability credit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score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system,”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J. Bus. </w:t>
      </w:r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Ethics</w:t>
      </w:r>
      <w:r w:rsidRPr="00880837">
        <w:rPr>
          <w:rFonts w:ascii="Times New Roman" w:hAnsi="Times New Roman" w:cs="Times New Roman"/>
          <w:sz w:val="28"/>
          <w:szCs w:val="28"/>
        </w:rPr>
        <w:t>, vol. 127, no. 2, pp. 283–296, 2015.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>[5] L. Zhou, K. K. Lai, and L. Yu, “Least squares support vector machines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ensemble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models for credit scoring,”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Expert Syst. Appl.</w:t>
      </w:r>
      <w:r w:rsidRPr="00880837">
        <w:rPr>
          <w:rFonts w:ascii="Times New Roman" w:hAnsi="Times New Roman" w:cs="Times New Roman"/>
          <w:sz w:val="28"/>
          <w:szCs w:val="28"/>
        </w:rPr>
        <w:t>, vol. 37, no. 1,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pp. 127–133, 2010.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[6] Y. Li, J. </w:t>
      </w:r>
      <w:proofErr w:type="spellStart"/>
      <w:proofErr w:type="gramStart"/>
      <w:r w:rsidRPr="00880837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, A. Z.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Enkavi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Zaval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U.Weber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and E. J. Johnson, “Sound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credit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scores and financial decisions despite cognitive aging,”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Proc. Nat.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i/>
          <w:iCs/>
          <w:sz w:val="28"/>
          <w:szCs w:val="28"/>
        </w:rPr>
        <w:t>Acad. Sci. USA</w:t>
      </w:r>
      <w:r w:rsidRPr="00880837">
        <w:rPr>
          <w:rFonts w:ascii="Times New Roman" w:hAnsi="Times New Roman" w:cs="Times New Roman"/>
          <w:sz w:val="28"/>
          <w:szCs w:val="28"/>
        </w:rPr>
        <w:t>, vol. 112, no. 1, pp. 65–69, 2015.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[7] G. N. Masters, “Partial credit model,”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Handbook of Item Response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Theory</w:t>
      </w:r>
      <w:r w:rsidRPr="00880837">
        <w:rPr>
          <w:rFonts w:ascii="Times New Roman" w:hAnsi="Times New Roman" w:cs="Times New Roman"/>
          <w:sz w:val="28"/>
          <w:szCs w:val="28"/>
        </w:rPr>
        <w:t>, vol. 1.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London, U.K.: Chapman &amp; Hall, 2016, pp. 137–154.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[8] S. Y.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Sohn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D. H. Kim, and J. H. Yoon, “Technology credit scoring model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fuzzy logistic regression,”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Appl. Soft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 vol. 43, pp. 150–158,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2016. [9] H. J. Smith, T.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Dinev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H.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“Information privacy research: An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interdisciplinary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review,”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MIS Quart.</w:t>
      </w:r>
      <w:r w:rsidRPr="00880837">
        <w:rPr>
          <w:rFonts w:ascii="Times New Roman" w:hAnsi="Times New Roman" w:cs="Times New Roman"/>
          <w:sz w:val="28"/>
          <w:szCs w:val="28"/>
        </w:rPr>
        <w:t>, vol. 35, no. 4, pp. 989–1015, 2011.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[10] D.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Malandrino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andV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Scarano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“Privacy leakage on the web: Diffusion and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countermeasures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,”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vol. 57, no. 14, pp. 2833–2855, 2013.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[11] Y. Li, W. Dai, Z. Ming, and M.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Qiu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“Privacy protection for preventing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over-collection in smart city,”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IEEE Trans.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 vol. 65, no. 5,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>pp. 1339–1350, May 2016.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[12] D.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Malkhi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N. Nisan, B.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Sella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Fairplay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—A secure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twoparty</w:t>
      </w:r>
      <w:proofErr w:type="spell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computation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system,”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Proc. 13th Conf. USENIX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vol. 13, no. 1, pp. 1–20, 2004.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[13] Y. Huang, D. Evans, J. Katz, and L.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Malka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“Faster secure two-party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computation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using garbled circuits,”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Proc. 20th USENIX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>San Francisco, CA, USA, no.1, pp. 1–35, 2011.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[14] M. J. Freedman, K.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Nissim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B.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“Efficient private matching and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intersection,”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Theory Appl. Cryptographic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>2004, pp. 1–19.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[15] B. Goethals, S.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Laur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Lipmaa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T.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Mielikäinen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“On private scalar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computation for privacy-preserving data mining,”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Proc. 7th Int.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Conf. Inf.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Cryptology.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Seoul, South Korea, 2004, pp. 104–120.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[16] R.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Dowsley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J. van de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Graaf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D. Marques, and A. C. A.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Nascimento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“A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two-party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protocol with trusted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 for computing the inner product,”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Proc. 11th Int. Workshop Inf.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 Appl.</w:t>
      </w:r>
      <w:r w:rsidRPr="00880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Jeju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 Island, South Korea,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Aug. 2010 pp. 337–350.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[17] C. Gentry and D.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A Fully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Homomorphic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 Encryption Scheme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vol. 20.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Stanford, CA, USA: Stanford Univ. Press, 2009.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[18] M. van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Dijk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C. Gentry, S.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Halevi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Vaikuntanathan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“Fully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homomorphic</w:t>
      </w:r>
      <w:proofErr w:type="spell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over the integers,”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Proc. 29th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Annu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 Int. Conf.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Theory Appl. Cryptographic </w:t>
      </w:r>
      <w:proofErr w:type="spellStart"/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2010, pp. 24–43.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[19] U.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Feige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A. Fiat, and A. Shamir, “Zero-knowledge proofs of identity,”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J.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Cryptology</w:t>
      </w:r>
      <w:r w:rsidRPr="00880837">
        <w:rPr>
          <w:rFonts w:ascii="Times New Roman" w:hAnsi="Times New Roman" w:cs="Times New Roman"/>
          <w:sz w:val="28"/>
          <w:szCs w:val="28"/>
        </w:rPr>
        <w:t>, vol. 1, no. 2, pp. 77–94, 1988.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[20] I.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Damgård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“On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880837">
        <w:rPr>
          <w:rFonts w:ascii="Times New Roman" w:hAnsi="Times New Roman" w:cs="Times New Roman"/>
          <w:sz w:val="28"/>
          <w:szCs w:val="28"/>
        </w:rPr>
        <w:t xml:space="preserve">-protocols,” Lecture Notes, Dept.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80837">
        <w:rPr>
          <w:rFonts w:ascii="Times New Roman" w:hAnsi="Times New Roman" w:cs="Times New Roman"/>
          <w:sz w:val="28"/>
          <w:szCs w:val="28"/>
        </w:rPr>
        <w:t>Sci., Univ.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Aarhus, Aarhus, Denmark, 2002.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[21] S.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Goldwasser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Micali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Rackoff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“The knowledge complexity of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interactive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proof systems,”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SIAM J.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 vol. 18, no. 1, pp. 186–208,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>1989.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[22] M. Blum, A. De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Santis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Micali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Persiano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>, “Non-interactive zero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knowledge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Siam J.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 vol. 20, no. 6, pp. 1084–1118, 1991.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[23] J.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Groth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Ostrovsky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“New techniques for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noninteractive</w:t>
      </w:r>
      <w:proofErr w:type="spell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zero-knowledge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>J. ACM</w:t>
      </w:r>
      <w:r w:rsidRPr="00880837">
        <w:rPr>
          <w:rFonts w:ascii="Times New Roman" w:hAnsi="Times New Roman" w:cs="Times New Roman"/>
          <w:sz w:val="28"/>
          <w:szCs w:val="28"/>
        </w:rPr>
        <w:t xml:space="preserve">, vol. 59, no. 3, 2012, Art. </w:t>
      </w:r>
      <w:proofErr w:type="gramStart"/>
      <w:r w:rsidRPr="0088083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>. 11.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[24] P.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“Public-key cryptosystems based on composite degree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residuosity</w:t>
      </w:r>
      <w:proofErr w:type="spell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classes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,” in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Theory Appl. Cryptographic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Techn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Prague, Czech Republic, May. </w:t>
      </w:r>
      <w:proofErr w:type="gramStart"/>
      <w:r w:rsidRPr="00880837">
        <w:rPr>
          <w:rFonts w:ascii="Times New Roman" w:hAnsi="Times New Roman" w:cs="Times New Roman"/>
          <w:sz w:val="28"/>
          <w:szCs w:val="28"/>
        </w:rPr>
        <w:t>1999 pp. 223–238.</w:t>
      </w:r>
      <w:proofErr w:type="gram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0837">
        <w:rPr>
          <w:rFonts w:ascii="Times New Roman" w:hAnsi="Times New Roman" w:cs="Times New Roman"/>
          <w:sz w:val="28"/>
          <w:szCs w:val="28"/>
        </w:rPr>
        <w:t xml:space="preserve">[25] I.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Damgård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Jurik</w:t>
      </w:r>
      <w:proofErr w:type="spellEnd"/>
      <w:r w:rsidRPr="00880837">
        <w:rPr>
          <w:rFonts w:ascii="Times New Roman" w:hAnsi="Times New Roman" w:cs="Times New Roman"/>
          <w:sz w:val="28"/>
          <w:szCs w:val="28"/>
        </w:rPr>
        <w:t xml:space="preserve">, and J. B. Nielsen, “A generalization of </w:t>
      </w:r>
      <w:proofErr w:type="spellStart"/>
      <w:r w:rsidRPr="00880837">
        <w:rPr>
          <w:rFonts w:ascii="Times New Roman" w:hAnsi="Times New Roman" w:cs="Times New Roman"/>
          <w:sz w:val="28"/>
          <w:szCs w:val="28"/>
        </w:rPr>
        <w:t>Paillier’s</w:t>
      </w:r>
      <w:proofErr w:type="spellEnd"/>
    </w:p>
    <w:p w:rsidR="00880837" w:rsidRPr="00880837" w:rsidRDefault="00880837" w:rsidP="0088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public-key</w:t>
      </w:r>
      <w:proofErr w:type="gramEnd"/>
      <w:r w:rsidRPr="00880837">
        <w:rPr>
          <w:rFonts w:ascii="Times New Roman" w:hAnsi="Times New Roman" w:cs="Times New Roman"/>
          <w:sz w:val="28"/>
          <w:szCs w:val="28"/>
        </w:rPr>
        <w:t xml:space="preserve"> system with applications to electronic voting,” </w:t>
      </w:r>
      <w:r w:rsidRPr="00880837">
        <w:rPr>
          <w:rFonts w:ascii="Times New Roman" w:hAnsi="Times New Roman" w:cs="Times New Roman"/>
          <w:i/>
          <w:iCs/>
          <w:sz w:val="28"/>
          <w:szCs w:val="28"/>
        </w:rPr>
        <w:t xml:space="preserve">Int. J. Inf. </w:t>
      </w:r>
      <w:proofErr w:type="spellStart"/>
      <w:r w:rsidRPr="00880837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88083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0837">
        <w:rPr>
          <w:rFonts w:ascii="Times New Roman" w:hAnsi="Times New Roman" w:cs="Times New Roman"/>
          <w:sz w:val="28"/>
          <w:szCs w:val="28"/>
        </w:rPr>
        <w:t>,</w:t>
      </w:r>
    </w:p>
    <w:p w:rsidR="00880837" w:rsidRPr="00880837" w:rsidRDefault="00880837" w:rsidP="008808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80837">
        <w:rPr>
          <w:rFonts w:ascii="Times New Roman" w:hAnsi="Times New Roman" w:cs="Times New Roman"/>
          <w:sz w:val="28"/>
          <w:szCs w:val="28"/>
        </w:rPr>
        <w:t>vol. 9, no. 6, pp. 371–385, 2010.</w:t>
      </w:r>
      <w:proofErr w:type="gramEnd"/>
    </w:p>
    <w:sectPr w:rsidR="00880837" w:rsidRPr="00880837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346CD"/>
    <w:rsid w:val="00346AFC"/>
    <w:rsid w:val="003C0441"/>
    <w:rsid w:val="004D35B6"/>
    <w:rsid w:val="00643315"/>
    <w:rsid w:val="00880837"/>
    <w:rsid w:val="00B17AD3"/>
    <w:rsid w:val="00B74B28"/>
    <w:rsid w:val="00C41726"/>
    <w:rsid w:val="00CF6001"/>
    <w:rsid w:val="00D60817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2021-12-31T15:06:00Z</dcterms:modified>
</cp:coreProperties>
</file>