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Guide to Traditional Mongolian Astrology &amp; Calendar Lore</w:t>
      </w:r>
    </w:p>
    <w:p>
      <w:pPr>
        <w:spacing w:after="300"/>
      </w:pPr>
      <w:r>
        <w:rPr>
          <w:i/>
          <w:iCs/>
          <w:sz w:val="24"/>
          <w:szCs w:val="24"/>
        </w:rPr>
        <w:t xml:space="preserve">An organized English-language explainer summarizing the source booklet's systems, methods, and tables</w:t>
      </w:r>
    </w:p>
    <w:p>
      <w:pPr>
        <w:spacing w:after="120"/>
      </w:pPr>
      <w:r>
        <w:t xml:space="preserve">This guide summarizes and explains, in plain English, the traditional divinatory and calendrical systems described in a Chinese-language booklet on Mongolian astrology (蒙古历法). It reorganizes the material topic by topic so the underlying methods are easy to follow. It is a paraphrased explainer rather than a translation, and worked examples have been re-derived and re-explained rather than copied. Where the source material notes that a concept is regarded (even by the compilers) as folk belief rather than settled fact, that framing is preserved here.</w:t>
      </w:r>
    </w:p>
    <w:p>
      <w:pPr>
        <w:pStyle w:val="Heading1"/>
        <w:spacing w:after="150" w:before="300"/>
      </w:pPr>
      <w:r>
        <w:t xml:space="preserve">1. Auspicious and Inauspicious Days</w:t>
      </w:r>
    </w:p>
    <w:p>
      <w:pPr>
        <w:pStyle w:val="Heading2"/>
        <w:spacing w:after="100" w:before="200"/>
      </w:pPr>
      <w:r>
        <w:t xml:space="preserve">1.1 Good days for haircuts</w:t>
      </w:r>
    </w:p>
    <w:p>
      <w:pPr>
        <w:spacing w:after="120"/>
      </w:pPr>
      <w:r>
        <w:t xml:space="preserve">Certain days of the lunar month are traditionally considered favorable for cutting hair: the 3rd, 4th, 5th, 6th, and 8th; the 10th, 11th, 13th, 14th, and 19th; and the 22nd, 23rd, 26th, and 27th. All other days of the lunar month are considered unfavorable for this purpose.</w:t>
      </w:r>
    </w:p>
    <w:p>
      <w:pPr>
        <w:pStyle w:val="Heading2"/>
        <w:spacing w:after="100" w:before="200"/>
      </w:pPr>
      <w:r>
        <w:t xml:space="preserve">1.2 Days to avoid for anything involving blades ("blade-taboo days")</w:t>
      </w:r>
    </w:p>
    <w:p>
      <w:pPr>
        <w:spacing w:after="120"/>
      </w:pPr>
      <w:r>
        <w:t xml:space="preserve">The tradition holds that certain animal-days, tied to the season, should be avoided for acupuncture, moxibustion, incisions, surgery, or any activity involving a blade:</w:t>
      </w:r>
    </w:p>
    <w:p>
      <w:pPr>
        <w:pStyle w:val="ListParagraph"/>
        <w:numPr>
          <w:ilvl w:val="0"/>
          <w:numId w:val="1"/>
        </w:numPr>
        <w:spacing w:after="60"/>
      </w:pPr>
      <w:r>
        <w:t xml:space="preserve">Spring (three months): avoid Pig and Rat days</w:t>
      </w:r>
    </w:p>
    <w:p>
      <w:pPr>
        <w:pStyle w:val="ListParagraph"/>
        <w:numPr>
          <w:ilvl w:val="0"/>
          <w:numId w:val="1"/>
        </w:numPr>
        <w:spacing w:after="60"/>
      </w:pPr>
      <w:r>
        <w:t xml:space="preserve">Summer (three months): avoid Tiger and Rabbit days</w:t>
      </w:r>
    </w:p>
    <w:p>
      <w:pPr>
        <w:pStyle w:val="ListParagraph"/>
        <w:numPr>
          <w:ilvl w:val="0"/>
          <w:numId w:val="1"/>
        </w:numPr>
        <w:spacing w:after="60"/>
      </w:pPr>
      <w:r>
        <w:t xml:space="preserve">Autumn (three months): avoid Horse and Snake days</w:t>
      </w:r>
    </w:p>
    <w:p>
      <w:pPr>
        <w:pStyle w:val="ListParagraph"/>
        <w:numPr>
          <w:ilvl w:val="0"/>
          <w:numId w:val="1"/>
        </w:numPr>
        <w:spacing w:after="60"/>
      </w:pPr>
      <w:r>
        <w:t xml:space="preserve">Winter (three months): avoid Monkey and Rooster days</w:t>
      </w:r>
    </w:p>
    <w:p>
      <w:pPr>
        <w:pStyle w:val="Heading1"/>
        <w:spacing w:after="150" w:before="300"/>
      </w:pPr>
      <w:r>
        <w:t xml:space="preserve">2. Marriage Compatibility Conflicts Between Zodiac Signs</w:t>
      </w:r>
    </w:p>
    <w:p>
      <w:pPr>
        <w:spacing w:after="120"/>
      </w:pPr>
      <w:r>
        <w:t xml:space="preserve">The booklet lists animal-sign pairings believed to create obstacles between spouses, divided into three tiers of severity.</w:t>
      </w:r>
    </w:p>
    <w:p>
      <w:pPr>
        <w:pStyle w:val="Heading2"/>
        <w:spacing w:after="100" w:before="200"/>
      </w:pPr>
      <w:r>
        <w:t xml:space="preserve">2.1 General (widespread) conflicts</w:t>
      </w:r>
    </w:p>
    <w:p>
      <w:pPr>
        <w:pStyle w:val="ListParagraph"/>
        <w:numPr>
          <w:ilvl w:val="0"/>
          <w:numId w:val="1"/>
        </w:numPr>
        <w:spacing w:after="60"/>
      </w:pPr>
      <w:r>
        <w:t xml:space="preserve">Rooster &amp; Rabbit</w:t>
      </w:r>
    </w:p>
    <w:p>
      <w:pPr>
        <w:pStyle w:val="ListParagraph"/>
        <w:numPr>
          <w:ilvl w:val="0"/>
          <w:numId w:val="1"/>
        </w:numPr>
        <w:spacing w:after="60"/>
      </w:pPr>
      <w:r>
        <w:t xml:space="preserve">Dragon &amp; Dog</w:t>
      </w:r>
    </w:p>
    <w:p>
      <w:pPr>
        <w:pStyle w:val="ListParagraph"/>
        <w:numPr>
          <w:ilvl w:val="0"/>
          <w:numId w:val="1"/>
        </w:numPr>
        <w:spacing w:after="60"/>
      </w:pPr>
      <w:r>
        <w:t xml:space="preserve">Rat &amp; Ox ("mutual devouring")</w:t>
      </w:r>
    </w:p>
    <w:p>
      <w:pPr>
        <w:pStyle w:val="ListParagraph"/>
        <w:numPr>
          <w:ilvl w:val="0"/>
          <w:numId w:val="1"/>
        </w:numPr>
        <w:spacing w:after="60"/>
      </w:pPr>
      <w:r>
        <w:t xml:space="preserve">Tiger &amp; Monkey ("illness-prone")</w:t>
      </w:r>
    </w:p>
    <w:p>
      <w:pPr>
        <w:pStyle w:val="ListParagraph"/>
        <w:numPr>
          <w:ilvl w:val="0"/>
          <w:numId w:val="1"/>
        </w:numPr>
        <w:spacing w:after="60"/>
      </w:pPr>
      <w:r>
        <w:t xml:space="preserve">Ox &amp; Goat ("weakening")</w:t>
      </w:r>
    </w:p>
    <w:p>
      <w:pPr>
        <w:pStyle w:val="ListParagraph"/>
        <w:numPr>
          <w:ilvl w:val="0"/>
          <w:numId w:val="1"/>
        </w:numPr>
        <w:spacing w:after="60"/>
      </w:pPr>
      <w:r>
        <w:t xml:space="preserve">Dragon &amp; Dog ("weakened further")</w:t>
      </w:r>
    </w:p>
    <w:p>
      <w:pPr>
        <w:pStyle w:val="ListParagraph"/>
        <w:numPr>
          <w:ilvl w:val="0"/>
          <w:numId w:val="1"/>
        </w:numPr>
        <w:spacing w:after="60"/>
      </w:pPr>
      <w:r>
        <w:t xml:space="preserve">Dog &amp; Pig ("mutual strife")</w:t>
      </w:r>
    </w:p>
    <w:p>
      <w:pPr>
        <w:pStyle w:val="ListParagraph"/>
        <w:numPr>
          <w:ilvl w:val="0"/>
          <w:numId w:val="1"/>
        </w:numPr>
        <w:spacing w:after="60"/>
      </w:pPr>
      <w:r>
        <w:t xml:space="preserve">Horse trampled / pecked by Rooster (folk image)</w:t>
      </w:r>
    </w:p>
    <w:p>
      <w:pPr>
        <w:pStyle w:val="ListParagraph"/>
        <w:numPr>
          <w:ilvl w:val="0"/>
          <w:numId w:val="1"/>
        </w:numPr>
        <w:spacing w:after="60"/>
      </w:pPr>
      <w:r>
        <w:t xml:space="preserve">Goat meat said to "strike down" Monkey (folk image)</w:t>
      </w:r>
    </w:p>
    <w:p>
      <w:pPr>
        <w:pStyle w:val="ListParagraph"/>
        <w:numPr>
          <w:ilvl w:val="0"/>
          <w:numId w:val="1"/>
        </w:numPr>
        <w:spacing w:after="60"/>
      </w:pPr>
      <w:r>
        <w:t xml:space="preserve">A folk saying about a son taken by a dog on a certain day</w:t>
      </w:r>
    </w:p>
    <w:p>
      <w:pPr>
        <w:pStyle w:val="ListParagraph"/>
        <w:numPr>
          <w:ilvl w:val="0"/>
          <w:numId w:val="1"/>
        </w:numPr>
        <w:spacing w:after="60"/>
      </w:pPr>
      <w:r>
        <w:t xml:space="preserve">Rabbit &amp; Rat ("separation")</w:t>
      </w:r>
    </w:p>
    <w:p>
      <w:pPr>
        <w:pStyle w:val="ListParagraph"/>
        <w:numPr>
          <w:ilvl w:val="0"/>
          <w:numId w:val="1"/>
        </w:numPr>
        <w:spacing w:after="60"/>
      </w:pPr>
      <w:r>
        <w:t xml:space="preserve">Ox &amp; Tiger ("added strain")</w:t>
      </w:r>
    </w:p>
    <w:p>
      <w:pPr>
        <w:pStyle w:val="ListParagraph"/>
        <w:numPr>
          <w:ilvl w:val="0"/>
          <w:numId w:val="1"/>
        </w:numPr>
        <w:spacing w:after="60"/>
      </w:pPr>
      <w:r>
        <w:t xml:space="preserve">Dragon &amp; Snake ("entanglement")</w:t>
      </w:r>
    </w:p>
    <w:p>
      <w:pPr>
        <w:pStyle w:val="Heading2"/>
        <w:spacing w:after="100" w:before="200"/>
      </w:pPr>
      <w:r>
        <w:t xml:space="preserve">2.2 Individual (personal) conflicts</w:t>
      </w:r>
    </w:p>
    <w:p>
      <w:pPr>
        <w:pStyle w:val="ListParagraph"/>
        <w:numPr>
          <w:ilvl w:val="0"/>
          <w:numId w:val="1"/>
        </w:numPr>
        <w:spacing w:after="60"/>
      </w:pPr>
      <w:r>
        <w:t xml:space="preserve">Tiger &amp; Monkey</w:t>
      </w:r>
    </w:p>
    <w:p>
      <w:pPr>
        <w:pStyle w:val="ListParagraph"/>
        <w:numPr>
          <w:ilvl w:val="0"/>
          <w:numId w:val="1"/>
        </w:numPr>
        <w:spacing w:after="60"/>
      </w:pPr>
      <w:r>
        <w:t xml:space="preserve">Snake &amp; Pig</w:t>
      </w:r>
    </w:p>
    <w:p>
      <w:pPr>
        <w:pStyle w:val="ListParagraph"/>
        <w:numPr>
          <w:ilvl w:val="0"/>
          <w:numId w:val="1"/>
        </w:numPr>
        <w:spacing w:after="60"/>
      </w:pPr>
      <w:r>
        <w:t xml:space="preserve">Rat &amp; Horse</w:t>
      </w:r>
    </w:p>
    <w:p>
      <w:pPr>
        <w:pStyle w:val="ListParagraph"/>
        <w:numPr>
          <w:ilvl w:val="0"/>
          <w:numId w:val="1"/>
        </w:numPr>
        <w:spacing w:after="60"/>
      </w:pPr>
      <w:r>
        <w:t xml:space="preserve">Rabbit &amp; Pig</w:t>
      </w:r>
    </w:p>
    <w:p>
      <w:pPr>
        <w:pStyle w:val="ListParagraph"/>
        <w:numPr>
          <w:ilvl w:val="0"/>
          <w:numId w:val="1"/>
        </w:numPr>
        <w:spacing w:after="60"/>
      </w:pPr>
      <w:r>
        <w:t xml:space="preserve">Dragon &amp; Dog</w:t>
      </w:r>
    </w:p>
    <w:p>
      <w:pPr>
        <w:pStyle w:val="Heading2"/>
        <w:spacing w:after="100" w:before="200"/>
      </w:pPr>
      <w:r>
        <w:t xml:space="preserve">2.3 "Hidden organ" conflicts</w:t>
      </w:r>
    </w:p>
    <w:p>
      <w:pPr>
        <w:pStyle w:val="ListParagraph"/>
        <w:numPr>
          <w:ilvl w:val="0"/>
          <w:numId w:val="1"/>
        </w:numPr>
        <w:spacing w:after="60"/>
      </w:pPr>
      <w:r>
        <w:t xml:space="preserve">Rat &amp; Rabbit</w:t>
      </w:r>
    </w:p>
    <w:p>
      <w:pPr>
        <w:pStyle w:val="ListParagraph"/>
        <w:numPr>
          <w:ilvl w:val="0"/>
          <w:numId w:val="1"/>
        </w:numPr>
        <w:spacing w:after="60"/>
      </w:pPr>
      <w:r>
        <w:t xml:space="preserve">Ox &amp; Tiger</w:t>
      </w:r>
    </w:p>
    <w:p>
      <w:pPr>
        <w:pStyle w:val="ListParagraph"/>
        <w:numPr>
          <w:ilvl w:val="0"/>
          <w:numId w:val="1"/>
        </w:numPr>
        <w:spacing w:after="60"/>
      </w:pPr>
      <w:r>
        <w:t xml:space="preserve">Dragon &amp; Snake</w:t>
      </w:r>
    </w:p>
    <w:p>
      <w:pPr>
        <w:pStyle w:val="ListParagraph"/>
        <w:numPr>
          <w:ilvl w:val="0"/>
          <w:numId w:val="1"/>
        </w:numPr>
        <w:spacing w:after="60"/>
      </w:pPr>
      <w:r>
        <w:t xml:space="preserve">Goat &amp; Dog</w:t>
      </w:r>
    </w:p>
    <w:p>
      <w:pPr>
        <w:pStyle w:val="ListParagraph"/>
        <w:numPr>
          <w:ilvl w:val="0"/>
          <w:numId w:val="1"/>
        </w:numPr>
        <w:spacing w:after="60"/>
      </w:pPr>
      <w:r>
        <w:t xml:space="preserve">Horse &amp; Monkey</w:t>
      </w:r>
    </w:p>
    <w:p>
      <w:pPr>
        <w:pStyle w:val="ListParagraph"/>
        <w:numPr>
          <w:ilvl w:val="0"/>
          <w:numId w:val="1"/>
        </w:numPr>
        <w:spacing w:after="60"/>
      </w:pPr>
      <w:r>
        <w:t xml:space="preserve">Monkey &amp; Goat</w:t>
      </w:r>
    </w:p>
    <w:p>
      <w:pPr>
        <w:pStyle w:val="Heading1"/>
        <w:spacing w:after="150" w:before="300"/>
      </w:pPr>
      <w:r>
        <w:t xml:space="preserve">3. The 24 Solar Terms and the 12 Months</w:t>
      </w:r>
    </w:p>
    <w:p>
      <w:pPr>
        <w:spacing w:after="120"/>
      </w:pPr>
      <w:r>
        <w:t xml:space="preserve">The source text opens this section with a short passage praising Mongolian astronomical scholarship, mentioning a museum-held painting called the 'Astronomical Mongolian Chart' held by the National Library of Mongolia, said to depict the twelve constellations, the twelve months, and the twenty-eight lunar mansions along the ecliptic.</w:t>
      </w:r>
    </w:p>
    <w:p>
      <w:pPr>
        <w:spacing w:after="120"/>
      </w:pPr>
      <w:r>
        <w:t xml:space="preserve">It then presents a table showing how the 24 solar terms (the traditional East Asian division of the solar year into 24 periods) map onto the 12 months, using a numbering scheme that starts the year at the Beginning of Spring (立春). The table below reconstructs that mapping using the month numbers and approximate solar dates given in the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r>
              <w:rPr>
                <w:b/>
                <w:bCs/>
              </w:rPr>
              <w:t xml:space="preserve">Month #</w:t>
            </w:r>
          </w:p>
        </w:tc>
        <w:tc>
          <w:tcPr>
            <w:tcW w:type="dxa" w:w="2250"/>
            <w:shd w:fill="D9D9D9" w:val="clear"/>
          </w:tcPr>
          <w:p>
            <w:r>
              <w:rPr>
                <w:b/>
                <w:bCs/>
              </w:rPr>
              <w:t xml:space="preserve">Solar Term (early)</w:t>
            </w:r>
          </w:p>
        </w:tc>
        <w:tc>
          <w:tcPr>
            <w:tcW w:type="dxa" w:w="2250"/>
            <w:shd w:fill="D9D9D9" w:val="clear"/>
          </w:tcPr>
          <w:p>
            <w:r>
              <w:rPr>
                <w:b/>
                <w:bCs/>
              </w:rPr>
              <w:t xml:space="preserve">Solar Term (mid)</w:t>
            </w:r>
          </w:p>
        </w:tc>
        <w:tc>
          <w:tcPr>
            <w:tcW w:type="dxa" w:w="2250"/>
            <w:shd w:fill="D9D9D9" w:val="clear"/>
          </w:tcPr>
          <w:p>
            <w:r>
              <w:rPr>
                <w:b/>
                <w:bCs/>
              </w:rPr>
              <w:t xml:space="preserve">Approx. Gregorian dates</w:t>
            </w:r>
          </w:p>
        </w:tc>
      </w:tr>
      <w:tr>
        <w:tc>
          <w:tcPr>
            <w:tcW w:type="dxa" w:w="2250"/>
          </w:tcPr>
          <w:p>
            <w:r>
              <w:t xml:space="preserve">1 – 2</w:t>
            </w:r>
          </w:p>
        </w:tc>
        <w:tc>
          <w:tcPr>
            <w:tcW w:type="dxa" w:w="2250"/>
          </w:tcPr>
          <w:p>
            <w:r>
              <w:t xml:space="preserve">Beginning of Spring</w:t>
            </w:r>
          </w:p>
        </w:tc>
        <w:tc>
          <w:tcPr>
            <w:tcW w:type="dxa" w:w="2250"/>
          </w:tcPr>
          <w:p>
            <w:r>
              <w:t xml:space="preserve">Rain Water</w:t>
            </w:r>
          </w:p>
        </w:tc>
        <w:tc>
          <w:tcPr>
            <w:tcW w:type="dxa" w:w="2250"/>
          </w:tcPr>
          <w:p>
            <w:r>
              <w:t xml:space="preserve">2/3 – 2/20</w:t>
            </w:r>
          </w:p>
        </w:tc>
      </w:tr>
      <w:tr>
        <w:tc>
          <w:tcPr>
            <w:tcW w:type="dxa" w:w="2250"/>
          </w:tcPr>
          <w:p>
            <w:r>
              <w:t xml:space="preserve">3 – 4</w:t>
            </w:r>
          </w:p>
        </w:tc>
        <w:tc>
          <w:tcPr>
            <w:tcW w:type="dxa" w:w="2250"/>
          </w:tcPr>
          <w:p>
            <w:r>
              <w:t xml:space="preserve">Awakening of Insects</w:t>
            </w:r>
          </w:p>
        </w:tc>
        <w:tc>
          <w:tcPr>
            <w:tcW w:type="dxa" w:w="2250"/>
          </w:tcPr>
          <w:p>
            <w:r>
              <w:t xml:space="preserve">Spring Equinox</w:t>
            </w:r>
          </w:p>
        </w:tc>
        <w:tc>
          <w:tcPr>
            <w:tcW w:type="dxa" w:w="2250"/>
          </w:tcPr>
          <w:p>
            <w:r>
              <w:t xml:space="preserve">3/5 – 4/6</w:t>
            </w:r>
          </w:p>
        </w:tc>
      </w:tr>
      <w:tr>
        <w:tc>
          <w:tcPr>
            <w:tcW w:type="dxa" w:w="2250"/>
          </w:tcPr>
          <w:p>
            <w:r>
              <w:t xml:space="preserve">5 – 6</w:t>
            </w:r>
          </w:p>
        </w:tc>
        <w:tc>
          <w:tcPr>
            <w:tcW w:type="dxa" w:w="2250"/>
          </w:tcPr>
          <w:p>
            <w:r>
              <w:t xml:space="preserve">Clear and Bright</w:t>
            </w:r>
          </w:p>
        </w:tc>
        <w:tc>
          <w:tcPr>
            <w:tcW w:type="dxa" w:w="2250"/>
          </w:tcPr>
          <w:p>
            <w:r>
              <w:t xml:space="preserve">Grain Rain</w:t>
            </w:r>
          </w:p>
        </w:tc>
        <w:tc>
          <w:tcPr>
            <w:tcW w:type="dxa" w:w="2250"/>
          </w:tcPr>
          <w:p>
            <w:r>
              <w:t xml:space="preserve">4/19 – 5/6</w:t>
            </w:r>
          </w:p>
        </w:tc>
      </w:tr>
      <w:tr>
        <w:tc>
          <w:tcPr>
            <w:tcW w:type="dxa" w:w="2250"/>
          </w:tcPr>
          <w:p>
            <w:r>
              <w:t xml:space="preserve">7 – 8</w:t>
            </w:r>
          </w:p>
        </w:tc>
        <w:tc>
          <w:tcPr>
            <w:tcW w:type="dxa" w:w="2250"/>
          </w:tcPr>
          <w:p>
            <w:r>
              <w:t xml:space="preserve">Beginning of Summer</w:t>
            </w:r>
          </w:p>
        </w:tc>
        <w:tc>
          <w:tcPr>
            <w:tcW w:type="dxa" w:w="2250"/>
          </w:tcPr>
          <w:p>
            <w:r>
              <w:t xml:space="preserve">Grain Full</w:t>
            </w:r>
          </w:p>
        </w:tc>
        <w:tc>
          <w:tcPr>
            <w:tcW w:type="dxa" w:w="2250"/>
          </w:tcPr>
          <w:p>
            <w:r>
              <w:t xml:space="preserve">5/20 – 6/6</w:t>
            </w:r>
          </w:p>
        </w:tc>
      </w:tr>
      <w:tr>
        <w:tc>
          <w:tcPr>
            <w:tcW w:type="dxa" w:w="2250"/>
          </w:tcPr>
          <w:p>
            <w:r>
              <w:t xml:space="preserve">9 – 10</w:t>
            </w:r>
          </w:p>
        </w:tc>
        <w:tc>
          <w:tcPr>
            <w:tcW w:type="dxa" w:w="2250"/>
          </w:tcPr>
          <w:p>
            <w:r>
              <w:t xml:space="preserve">Grain in Ear</w:t>
            </w:r>
          </w:p>
        </w:tc>
        <w:tc>
          <w:tcPr>
            <w:tcW w:type="dxa" w:w="2250"/>
          </w:tcPr>
          <w:p>
            <w:r>
              <w:t xml:space="preserve">Summer Solstice</w:t>
            </w:r>
          </w:p>
        </w:tc>
        <w:tc>
          <w:tcPr>
            <w:tcW w:type="dxa" w:w="2250"/>
          </w:tcPr>
          <w:p>
            <w:r>
              <w:t xml:space="preserve">6/21 – 7/8</w:t>
            </w:r>
          </w:p>
        </w:tc>
      </w:tr>
      <w:tr>
        <w:tc>
          <w:tcPr>
            <w:tcW w:type="dxa" w:w="2250"/>
          </w:tcPr>
          <w:p>
            <w:r>
              <w:t xml:space="preserve">11 – 12</w:t>
            </w:r>
          </w:p>
        </w:tc>
        <w:tc>
          <w:tcPr>
            <w:tcW w:type="dxa" w:w="2250"/>
          </w:tcPr>
          <w:p>
            <w:r>
              <w:t xml:space="preserve">Minor Heat</w:t>
            </w:r>
          </w:p>
        </w:tc>
        <w:tc>
          <w:tcPr>
            <w:tcW w:type="dxa" w:w="2250"/>
          </w:tcPr>
          <w:p>
            <w:r>
              <w:t xml:space="preserve">Major Heat</w:t>
            </w:r>
          </w:p>
        </w:tc>
        <w:tc>
          <w:tcPr>
            <w:tcW w:type="dxa" w:w="2250"/>
          </w:tcPr>
          <w:p>
            <w:r>
              <w:t xml:space="preserve">7/22 – 8/8</w:t>
            </w:r>
          </w:p>
        </w:tc>
      </w:tr>
      <w:tr>
        <w:tc>
          <w:tcPr>
            <w:tcW w:type="dxa" w:w="2250"/>
          </w:tcPr>
          <w:p>
            <w:r>
              <w:t xml:space="preserve">13 – 14</w:t>
            </w:r>
          </w:p>
        </w:tc>
        <w:tc>
          <w:tcPr>
            <w:tcW w:type="dxa" w:w="2250"/>
          </w:tcPr>
          <w:p>
            <w:r>
              <w:t xml:space="preserve">Beginning of Autumn</w:t>
            </w:r>
          </w:p>
        </w:tc>
        <w:tc>
          <w:tcPr>
            <w:tcW w:type="dxa" w:w="2250"/>
          </w:tcPr>
          <w:p>
            <w:r>
              <w:t xml:space="preserve">End of Heat</w:t>
            </w:r>
          </w:p>
        </w:tc>
        <w:tc>
          <w:tcPr>
            <w:tcW w:type="dxa" w:w="2250"/>
          </w:tcPr>
          <w:p>
            <w:r>
              <w:t xml:space="preserve">8/22 – 9/8</w:t>
            </w:r>
          </w:p>
        </w:tc>
      </w:tr>
      <w:tr>
        <w:tc>
          <w:tcPr>
            <w:tcW w:type="dxa" w:w="2250"/>
          </w:tcPr>
          <w:p>
            <w:r>
              <w:t xml:space="preserve">15 – 16</w:t>
            </w:r>
          </w:p>
        </w:tc>
        <w:tc>
          <w:tcPr>
            <w:tcW w:type="dxa" w:w="2250"/>
          </w:tcPr>
          <w:p>
            <w:r>
              <w:t xml:space="preserve">White Dew</w:t>
            </w:r>
          </w:p>
        </w:tc>
        <w:tc>
          <w:tcPr>
            <w:tcW w:type="dxa" w:w="2250"/>
          </w:tcPr>
          <w:p>
            <w:r>
              <w:t xml:space="preserve">Autumn Equinox</w:t>
            </w:r>
          </w:p>
        </w:tc>
        <w:tc>
          <w:tcPr>
            <w:tcW w:type="dxa" w:w="2250"/>
          </w:tcPr>
          <w:p>
            <w:r>
              <w:t xml:space="preserve">9/22 – 10/8</w:t>
            </w:r>
          </w:p>
        </w:tc>
      </w:tr>
      <w:tr>
        <w:tc>
          <w:tcPr>
            <w:tcW w:type="dxa" w:w="2250"/>
          </w:tcPr>
          <w:p>
            <w:r>
              <w:t xml:space="preserve">17 – 18</w:t>
            </w:r>
          </w:p>
        </w:tc>
        <w:tc>
          <w:tcPr>
            <w:tcW w:type="dxa" w:w="2250"/>
          </w:tcPr>
          <w:p>
            <w:r>
              <w:t xml:space="preserve">Cold Dew</w:t>
            </w:r>
          </w:p>
        </w:tc>
        <w:tc>
          <w:tcPr>
            <w:tcW w:type="dxa" w:w="2250"/>
          </w:tcPr>
          <w:p>
            <w:r>
              <w:t xml:space="preserve">Frost's Descent</w:t>
            </w:r>
          </w:p>
        </w:tc>
        <w:tc>
          <w:tcPr>
            <w:tcW w:type="dxa" w:w="2250"/>
          </w:tcPr>
          <w:p>
            <w:r>
              <w:t xml:space="preserve">10/23 – 11/8</w:t>
            </w:r>
          </w:p>
        </w:tc>
      </w:tr>
      <w:tr>
        <w:tc>
          <w:tcPr>
            <w:tcW w:type="dxa" w:w="2250"/>
          </w:tcPr>
          <w:p>
            <w:r>
              <w:t xml:space="preserve">19 – 20</w:t>
            </w:r>
          </w:p>
        </w:tc>
        <w:tc>
          <w:tcPr>
            <w:tcW w:type="dxa" w:w="2250"/>
          </w:tcPr>
          <w:p>
            <w:r>
              <w:t xml:space="preserve">Beginning of Winter</w:t>
            </w:r>
          </w:p>
        </w:tc>
        <w:tc>
          <w:tcPr>
            <w:tcW w:type="dxa" w:w="2250"/>
          </w:tcPr>
          <w:p>
            <w:r>
              <w:t xml:space="preserve">Minor Snow</w:t>
            </w:r>
          </w:p>
        </w:tc>
        <w:tc>
          <w:tcPr>
            <w:tcW w:type="dxa" w:w="2250"/>
          </w:tcPr>
          <w:p>
            <w:r>
              <w:t xml:space="preserve">11/22 – 12/7</w:t>
            </w:r>
          </w:p>
        </w:tc>
      </w:tr>
      <w:tr>
        <w:tc>
          <w:tcPr>
            <w:tcW w:type="dxa" w:w="2250"/>
          </w:tcPr>
          <w:p>
            <w:r>
              <w:t xml:space="preserve">21 – 22</w:t>
            </w:r>
          </w:p>
        </w:tc>
        <w:tc>
          <w:tcPr>
            <w:tcW w:type="dxa" w:w="2250"/>
          </w:tcPr>
          <w:p>
            <w:r>
              <w:t xml:space="preserve">Major Snow</w:t>
            </w:r>
          </w:p>
        </w:tc>
        <w:tc>
          <w:tcPr>
            <w:tcW w:type="dxa" w:w="2250"/>
          </w:tcPr>
          <w:p>
            <w:r>
              <w:t xml:space="preserve">Winter Solstice</w:t>
            </w:r>
          </w:p>
        </w:tc>
        <w:tc>
          <w:tcPr>
            <w:tcW w:type="dxa" w:w="2250"/>
          </w:tcPr>
          <w:p>
            <w:r>
              <w:t xml:space="preserve">12/21 – 1/7</w:t>
            </w:r>
          </w:p>
        </w:tc>
      </w:tr>
      <w:tr>
        <w:tc>
          <w:tcPr>
            <w:tcW w:type="dxa" w:w="2250"/>
          </w:tcPr>
          <w:p>
            <w:r>
              <w:t xml:space="preserve">23 – 24</w:t>
            </w:r>
          </w:p>
        </w:tc>
        <w:tc>
          <w:tcPr>
            <w:tcW w:type="dxa" w:w="2250"/>
          </w:tcPr>
          <w:p>
            <w:r>
              <w:t xml:space="preserve">Minor Cold</w:t>
            </w:r>
          </w:p>
        </w:tc>
        <w:tc>
          <w:tcPr>
            <w:tcW w:type="dxa" w:w="2250"/>
          </w:tcPr>
          <w:p>
            <w:r>
              <w:t xml:space="preserve">Major Cold</w:t>
            </w:r>
          </w:p>
        </w:tc>
        <w:tc>
          <w:tcPr>
            <w:tcW w:type="dxa" w:w="2250"/>
          </w:tcPr>
          <w:p>
            <w:r>
              <w:t xml:space="preserve">1/20 – 2/7</w:t>
            </w:r>
          </w:p>
        </w:tc>
      </w:tr>
    </w:tbl>
    <w:p>
      <w:pPr>
        <w:spacing w:after="120"/>
      </w:pPr>
      <w:r>
        <w:t xml:space="preserve"/>
      </w:r>
    </w:p>
    <w:p>
      <w:pPr>
        <w:spacing w:after="120"/>
      </w:pPr>
      <w:r>
        <w:t xml:space="preserve">The section also notes that in the sexagenary (60-year) astrological cycle, the traditional starting point is the 'Fire Rabbit' year, dated to 1207, whereas the standard Chinese almanac cycle instead begins with the 'Wood Rat' year — i.e., the Mongolian system historically used a different starting point in the 60-year cycle than the Chinese almanac.</w:t>
      </w:r>
    </w:p>
    <w:p>
      <w:pPr>
        <w:pStyle w:val="Heading1"/>
        <w:spacing w:after="150" w:before="300"/>
      </w:pPr>
      <w:r>
        <w:t xml:space="preserve">4. Working Out the "Heavenly Stem" and Zodiac Animal from a Gregorian Year</w:t>
      </w:r>
    </w:p>
    <w:p>
      <w:pPr>
        <w:spacing w:after="120"/>
      </w:pPr>
      <w:r>
        <w:t xml:space="preserve">This section explains a manual method for converting a Gregorian (Western calendar) year into its Heavenly Stem (天干, the 10-part cycle 甲乙丙丁戊己庚辛壬癸) and its 12-animal zodiac sign, without needing a reference table.</w:t>
      </w:r>
    </w:p>
    <w:p>
      <w:pPr>
        <w:pStyle w:val="Heading2"/>
        <w:spacing w:after="100" w:before="200"/>
      </w:pPr>
      <w:r>
        <w:t xml:space="preserve">4.1 Finding the Heavenly Stem</w:t>
      </w:r>
    </w:p>
    <w:p>
      <w:pPr>
        <w:spacing w:after="120"/>
      </w:pPr>
      <w:r>
        <w:t xml:space="preserve">The method keys off the last digit of the Gregorian year. Reportedly, if the year's last digit is 4, the stem is 甲 (jiǎ); if the last digit is 5, the stem is 乙 (yǐ); and so on around the ten stems. The source gives this full correspondence: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D9D9D9" w:val="clear"/>
          </w:tcPr>
          <w:p>
            <w:r>
              <w:rPr>
                <w:b/>
                <w:bCs/>
              </w:rPr>
              <w:t xml:space="preserve">Last digit of year</w:t>
            </w:r>
          </w:p>
        </w:tc>
        <w:tc>
          <w:tcPr>
            <w:tcW w:type="dxa" w:w="818"/>
            <w:shd w:fill="D9D9D9" w:val="clear"/>
          </w:tcPr>
          <w:p>
            <w:r>
              <w:rPr>
                <w:b/>
                <w:bCs/>
              </w:rPr>
              <w:t xml:space="preserve">0</w:t>
            </w:r>
          </w:p>
        </w:tc>
        <w:tc>
          <w:tcPr>
            <w:tcW w:type="dxa" w:w="818"/>
            <w:shd w:fill="D9D9D9" w:val="clear"/>
          </w:tcPr>
          <w:p>
            <w:r>
              <w:rPr>
                <w:b/>
                <w:bCs/>
              </w:rPr>
              <w:t xml:space="preserve">1</w:t>
            </w:r>
          </w:p>
        </w:tc>
        <w:tc>
          <w:tcPr>
            <w:tcW w:type="dxa" w:w="818"/>
            <w:shd w:fill="D9D9D9" w:val="clear"/>
          </w:tcPr>
          <w:p>
            <w:r>
              <w:rPr>
                <w:b/>
                <w:bCs/>
              </w:rPr>
              <w:t xml:space="preserve">2</w:t>
            </w:r>
          </w:p>
        </w:tc>
        <w:tc>
          <w:tcPr>
            <w:tcW w:type="dxa" w:w="818"/>
            <w:shd w:fill="D9D9D9" w:val="clear"/>
          </w:tcPr>
          <w:p>
            <w:r>
              <w:rPr>
                <w:b/>
                <w:bCs/>
              </w:rPr>
              <w:t xml:space="preserve">3</w:t>
            </w:r>
          </w:p>
        </w:tc>
        <w:tc>
          <w:tcPr>
            <w:tcW w:type="dxa" w:w="818"/>
            <w:shd w:fill="D9D9D9" w:val="clear"/>
          </w:tcPr>
          <w:p>
            <w:r>
              <w:rPr>
                <w:b/>
                <w:bCs/>
              </w:rPr>
              <w:t xml:space="preserve">4</w:t>
            </w:r>
          </w:p>
        </w:tc>
        <w:tc>
          <w:tcPr>
            <w:tcW w:type="dxa" w:w="818"/>
            <w:shd w:fill="D9D9D9" w:val="clear"/>
          </w:tcPr>
          <w:p>
            <w:r>
              <w:rPr>
                <w:b/>
                <w:bCs/>
              </w:rPr>
              <w:t xml:space="preserve">5</w:t>
            </w:r>
          </w:p>
        </w:tc>
        <w:tc>
          <w:tcPr>
            <w:tcW w:type="dxa" w:w="818"/>
            <w:shd w:fill="D9D9D9" w:val="clear"/>
          </w:tcPr>
          <w:p>
            <w:r>
              <w:rPr>
                <w:b/>
                <w:bCs/>
              </w:rPr>
              <w:t xml:space="preserve">6</w:t>
            </w:r>
          </w:p>
        </w:tc>
        <w:tc>
          <w:tcPr>
            <w:tcW w:type="dxa" w:w="818"/>
            <w:shd w:fill="D9D9D9" w:val="clear"/>
          </w:tcPr>
          <w:p>
            <w:r>
              <w:rPr>
                <w:b/>
                <w:bCs/>
              </w:rPr>
              <w:t xml:space="preserve">7</w:t>
            </w:r>
          </w:p>
        </w:tc>
        <w:tc>
          <w:tcPr>
            <w:tcW w:type="dxa" w:w="818"/>
            <w:shd w:fill="D9D9D9" w:val="clear"/>
          </w:tcPr>
          <w:p>
            <w:r>
              <w:rPr>
                <w:b/>
                <w:bCs/>
              </w:rPr>
              <w:t xml:space="preserve">8</w:t>
            </w:r>
          </w:p>
        </w:tc>
        <w:tc>
          <w:tcPr>
            <w:tcW w:type="dxa" w:w="818"/>
            <w:shd w:fill="D9D9D9" w:val="clear"/>
          </w:tcPr>
          <w:p>
            <w:r>
              <w:rPr>
                <w:b/>
                <w:bCs/>
              </w:rPr>
              <w:t xml:space="preserve">9</w:t>
            </w:r>
          </w:p>
        </w:tc>
      </w:tr>
      <w:tr>
        <w:tc>
          <w:tcPr>
            <w:tcW w:type="dxa" w:w="818"/>
          </w:tcPr>
          <w:p>
            <w:r>
              <w:t xml:space="preserve">Heavenly Stem</w:t>
            </w:r>
          </w:p>
        </w:tc>
        <w:tc>
          <w:tcPr>
            <w:tcW w:type="dxa" w:w="818"/>
          </w:tcPr>
          <w:p>
            <w:r>
              <w:t xml:space="preserve">庚</w:t>
            </w:r>
          </w:p>
        </w:tc>
        <w:tc>
          <w:tcPr>
            <w:tcW w:type="dxa" w:w="818"/>
          </w:tcPr>
          <w:p>
            <w:r>
              <w:t xml:space="preserve">辛</w:t>
            </w:r>
          </w:p>
        </w:tc>
        <w:tc>
          <w:tcPr>
            <w:tcW w:type="dxa" w:w="818"/>
          </w:tcPr>
          <w:p>
            <w:r>
              <w:t xml:space="preserve">壬</w:t>
            </w:r>
          </w:p>
        </w:tc>
        <w:tc>
          <w:tcPr>
            <w:tcW w:type="dxa" w:w="818"/>
          </w:tcPr>
          <w:p>
            <w:r>
              <w:t xml:space="preserve">癸</w:t>
            </w:r>
          </w:p>
        </w:tc>
        <w:tc>
          <w:tcPr>
            <w:tcW w:type="dxa" w:w="818"/>
          </w:tcPr>
          <w:p>
            <w:r>
              <w:t xml:space="preserve">甲</w:t>
            </w:r>
          </w:p>
        </w:tc>
        <w:tc>
          <w:tcPr>
            <w:tcW w:type="dxa" w:w="818"/>
          </w:tcPr>
          <w:p>
            <w:r>
              <w:t xml:space="preserve">乙</w:t>
            </w:r>
          </w:p>
        </w:tc>
        <w:tc>
          <w:tcPr>
            <w:tcW w:type="dxa" w:w="818"/>
          </w:tcPr>
          <w:p>
            <w:r>
              <w:t xml:space="preserve">丙</w:t>
            </w:r>
          </w:p>
        </w:tc>
        <w:tc>
          <w:tcPr>
            <w:tcW w:type="dxa" w:w="818"/>
          </w:tcPr>
          <w:p>
            <w:r>
              <w:t xml:space="preserve">丁</w:t>
            </w:r>
          </w:p>
        </w:tc>
        <w:tc>
          <w:tcPr>
            <w:tcW w:type="dxa" w:w="818"/>
          </w:tcPr>
          <w:p>
            <w:r>
              <w:t xml:space="preserve">戊</w:t>
            </w:r>
          </w:p>
        </w:tc>
        <w:tc>
          <w:tcPr>
            <w:tcW w:type="dxa" w:w="818"/>
          </w:tcPr>
          <w:p>
            <w:r>
              <w:t xml:space="preserve">己</w:t>
            </w:r>
          </w:p>
        </w:tc>
      </w:tr>
    </w:tbl>
    <w:p>
      <w:pPr>
        <w:spacing w:after="120"/>
      </w:pPr>
      <w:r>
        <w:t xml:space="preserve"/>
      </w:r>
    </w:p>
    <w:p>
      <w:pPr>
        <w:pStyle w:val="Heading2"/>
        <w:spacing w:after="100" w:before="200"/>
      </w:pPr>
      <w:r>
        <w:t xml:space="preserve">4.2 Finding the zodiac animal</w:t>
      </w:r>
    </w:p>
    <w:p>
      <w:pPr>
        <w:spacing w:after="120"/>
      </w:pPr>
      <w:r>
        <w:t xml:space="preserve">To find the zodiac animal, divide the Gregorian year by 12 and look at the remainder. The source gives this remainder-to-animal key: remainder 4 = Rat, 5 = Ox, 6 = Tiger, 7 = Rabbit, 8 = Dragon, 9 = Snake, 10 = Horse, 11 = Goat, 0 = Monkey, 1 = Rooster, 2 = Dog, 3 = Pig.</w:t>
      </w:r>
    </w:p>
    <w:p>
      <w:pPr>
        <w:pStyle w:val="Heading2"/>
        <w:spacing w:after="100" w:before="200"/>
      </w:pPr>
      <w:r>
        <w:t xml:space="preserve">4.3 Worked examples from the source</w:t>
      </w:r>
    </w:p>
    <w:p>
      <w:pPr>
        <w:spacing w:after="120"/>
      </w:pPr>
      <w:r>
        <w:t xml:space="preserve">Example — the year the First Opium War began, 1840: the last digit is 0, giving the stem 庚 (gēng). Dividing 1840 by 12 leaves a remainder of 4, which corresponds to Rat. So 1840 is a 'Gēng-Rat' year.</w:t>
      </w:r>
    </w:p>
    <w:p>
      <w:pPr>
        <w:spacing w:after="120"/>
      </w:pPr>
      <w:r>
        <w:t xml:space="preserve">Example — the year the People's Republic of China was founded, 1949: the last digit is 9, giving the stem 己 (jǐ). Dividing 1949 by 12 leaves a remainder of 5, which corresponds to Ox. So 1949 is a 'Jǐ-Ox' year.</w:t>
      </w:r>
    </w:p>
    <w:p>
      <w:pPr>
        <w:pStyle w:val="Heading1"/>
        <w:spacing w:after="150" w:before="300"/>
      </w:pPr>
      <w:r>
        <w:t xml:space="preserve">5. Days in Each Month (Solar Calendar)</w:t>
      </w:r>
    </w:p>
    <w:p>
      <w:pPr>
        <w:spacing w:after="120"/>
      </w:pPr>
      <w:r>
        <w:t xml:space="preserve">A simple reference table of how many days each solar-calendar month has, split into two six-month halves (matching how it's laid out in the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r>
              <w:rPr>
                <w:b/>
                <w:bCs/>
              </w:rPr>
              <w:t xml:space="preserve">Month</w:t>
            </w:r>
          </w:p>
        </w:tc>
        <w:tc>
          <w:tcPr>
            <w:tcW w:type="dxa" w:w="1285"/>
            <w:shd w:fill="D9D9D9" w:val="clear"/>
          </w:tcPr>
          <w:p>
            <w:r>
              <w:rPr>
                <w:b/>
                <w:bCs/>
              </w:rPr>
              <w:t xml:space="preserve">7</w:t>
            </w:r>
          </w:p>
        </w:tc>
        <w:tc>
          <w:tcPr>
            <w:tcW w:type="dxa" w:w="1285"/>
            <w:shd w:fill="D9D9D9" w:val="clear"/>
          </w:tcPr>
          <w:p>
            <w:r>
              <w:rPr>
                <w:b/>
                <w:bCs/>
              </w:rPr>
              <w:t xml:space="preserve">8</w:t>
            </w:r>
          </w:p>
        </w:tc>
        <w:tc>
          <w:tcPr>
            <w:tcW w:type="dxa" w:w="1285"/>
            <w:shd w:fill="D9D9D9" w:val="clear"/>
          </w:tcPr>
          <w:p>
            <w:r>
              <w:rPr>
                <w:b/>
                <w:bCs/>
              </w:rPr>
              <w:t xml:space="preserve">9</w:t>
            </w:r>
          </w:p>
        </w:tc>
        <w:tc>
          <w:tcPr>
            <w:tcW w:type="dxa" w:w="1285"/>
            <w:shd w:fill="D9D9D9" w:val="clear"/>
          </w:tcPr>
          <w:p>
            <w:r>
              <w:rPr>
                <w:b/>
                <w:bCs/>
              </w:rPr>
              <w:t xml:space="preserve">10</w:t>
            </w:r>
          </w:p>
        </w:tc>
        <w:tc>
          <w:tcPr>
            <w:tcW w:type="dxa" w:w="1285"/>
            <w:shd w:fill="D9D9D9" w:val="clear"/>
          </w:tcPr>
          <w:p>
            <w:r>
              <w:rPr>
                <w:b/>
                <w:bCs/>
              </w:rPr>
              <w:t xml:space="preserve">11</w:t>
            </w:r>
          </w:p>
        </w:tc>
        <w:tc>
          <w:tcPr>
            <w:tcW w:type="dxa" w:w="1285"/>
            <w:shd w:fill="D9D9D9" w:val="clear"/>
          </w:tcPr>
          <w:p>
            <w:r>
              <w:rPr>
                <w:b/>
                <w:bCs/>
              </w:rPr>
              <w:t xml:space="preserve">12</w:t>
            </w:r>
          </w:p>
        </w:tc>
      </w:tr>
      <w:tr>
        <w:tc>
          <w:tcPr>
            <w:tcW w:type="dxa" w:w="1285"/>
          </w:tcPr>
          <w:p>
            <w:r>
              <w:t xml:space="preserve">Days</w:t>
            </w:r>
          </w:p>
        </w:tc>
        <w:tc>
          <w:tcPr>
            <w:tcW w:type="dxa" w:w="1285"/>
          </w:tcPr>
          <w:p>
            <w:r>
              <w:t xml:space="preserve">31</w:t>
            </w:r>
          </w:p>
        </w:tc>
        <w:tc>
          <w:tcPr>
            <w:tcW w:type="dxa" w:w="1285"/>
          </w:tcPr>
          <w:p>
            <w:r>
              <w:t xml:space="preserve">31</w:t>
            </w:r>
          </w:p>
        </w:tc>
        <w:tc>
          <w:tcPr>
            <w:tcW w:type="dxa" w:w="1285"/>
          </w:tcPr>
          <w:p>
            <w:r>
              <w:t xml:space="preserve">30</w:t>
            </w:r>
          </w:p>
        </w:tc>
        <w:tc>
          <w:tcPr>
            <w:tcW w:type="dxa" w:w="1285"/>
          </w:tcPr>
          <w:p>
            <w:r>
              <w:t xml:space="preserve">31</w:t>
            </w:r>
          </w:p>
        </w:tc>
        <w:tc>
          <w:tcPr>
            <w:tcW w:type="dxa" w:w="1285"/>
          </w:tcPr>
          <w:p>
            <w:r>
              <w:t xml:space="preserve">30</w:t>
            </w:r>
          </w:p>
        </w:tc>
        <w:tc>
          <w:tcPr>
            <w:tcW w:type="dxa" w:w="1285"/>
          </w:tcPr>
          <w:p>
            <w:r>
              <w:t xml:space="preserve">31</w:t>
            </w:r>
          </w:p>
        </w:tc>
      </w:tr>
    </w:tbl>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r>
              <w:rPr>
                <w:b/>
                <w:bCs/>
              </w:rPr>
              <w:t xml:space="preserve">Month</w:t>
            </w:r>
          </w:p>
        </w:tc>
        <w:tc>
          <w:tcPr>
            <w:tcW w:type="dxa" w:w="1285"/>
            <w:shd w:fill="D9D9D9" w:val="clear"/>
          </w:tcPr>
          <w:p>
            <w:r>
              <w:rPr>
                <w:b/>
                <w:bCs/>
              </w:rPr>
              <w:t xml:space="preserve">1</w:t>
            </w:r>
          </w:p>
        </w:tc>
        <w:tc>
          <w:tcPr>
            <w:tcW w:type="dxa" w:w="1285"/>
            <w:shd w:fill="D9D9D9" w:val="clear"/>
          </w:tcPr>
          <w:p>
            <w:r>
              <w:rPr>
                <w:b/>
                <w:bCs/>
              </w:rPr>
              <w:t xml:space="preserve">2</w:t>
            </w:r>
          </w:p>
        </w:tc>
        <w:tc>
          <w:tcPr>
            <w:tcW w:type="dxa" w:w="1285"/>
            <w:shd w:fill="D9D9D9" w:val="clear"/>
          </w:tcPr>
          <w:p>
            <w:r>
              <w:rPr>
                <w:b/>
                <w:bCs/>
              </w:rPr>
              <w:t xml:space="preserve">3</w:t>
            </w:r>
          </w:p>
        </w:tc>
        <w:tc>
          <w:tcPr>
            <w:tcW w:type="dxa" w:w="1285"/>
            <w:shd w:fill="D9D9D9" w:val="clear"/>
          </w:tcPr>
          <w:p>
            <w:r>
              <w:rPr>
                <w:b/>
                <w:bCs/>
              </w:rPr>
              <w:t xml:space="preserve">4</w:t>
            </w:r>
          </w:p>
        </w:tc>
        <w:tc>
          <w:tcPr>
            <w:tcW w:type="dxa" w:w="1285"/>
            <w:shd w:fill="D9D9D9" w:val="clear"/>
          </w:tcPr>
          <w:p>
            <w:r>
              <w:rPr>
                <w:b/>
                <w:bCs/>
              </w:rPr>
              <w:t xml:space="preserve">5</w:t>
            </w:r>
          </w:p>
        </w:tc>
        <w:tc>
          <w:tcPr>
            <w:tcW w:type="dxa" w:w="1285"/>
            <w:shd w:fill="D9D9D9" w:val="clear"/>
          </w:tcPr>
          <w:p>
            <w:r>
              <w:rPr>
                <w:b/>
                <w:bCs/>
              </w:rPr>
              <w:t xml:space="preserve">6</w:t>
            </w:r>
          </w:p>
        </w:tc>
      </w:tr>
      <w:tr>
        <w:tc>
          <w:tcPr>
            <w:tcW w:type="dxa" w:w="1285"/>
          </w:tcPr>
          <w:p>
            <w:r>
              <w:t xml:space="preserve">Days</w:t>
            </w:r>
          </w:p>
        </w:tc>
        <w:tc>
          <w:tcPr>
            <w:tcW w:type="dxa" w:w="1285"/>
          </w:tcPr>
          <w:p>
            <w:r>
              <w:t xml:space="preserve">31</w:t>
            </w:r>
          </w:p>
        </w:tc>
        <w:tc>
          <w:tcPr>
            <w:tcW w:type="dxa" w:w="1285"/>
          </w:tcPr>
          <w:p>
            <w:r>
              <w:t xml:space="preserve">28/29</w:t>
            </w:r>
          </w:p>
        </w:tc>
        <w:tc>
          <w:tcPr>
            <w:tcW w:type="dxa" w:w="1285"/>
          </w:tcPr>
          <w:p>
            <w:r>
              <w:t xml:space="preserve">31</w:t>
            </w:r>
          </w:p>
        </w:tc>
        <w:tc>
          <w:tcPr>
            <w:tcW w:type="dxa" w:w="1285"/>
          </w:tcPr>
          <w:p>
            <w:r>
              <w:t xml:space="preserve">30</w:t>
            </w:r>
          </w:p>
        </w:tc>
        <w:tc>
          <w:tcPr>
            <w:tcW w:type="dxa" w:w="1285"/>
          </w:tcPr>
          <w:p>
            <w:r>
              <w:t xml:space="preserve">31</w:t>
            </w:r>
          </w:p>
        </w:tc>
        <w:tc>
          <w:tcPr>
            <w:tcW w:type="dxa" w:w="1285"/>
          </w:tcPr>
          <w:p>
            <w:r>
              <w:t xml:space="preserve">30</w:t>
            </w:r>
          </w:p>
        </w:tc>
      </w:tr>
    </w:tbl>
    <w:p>
      <w:pPr>
        <w:pStyle w:val="Heading1"/>
        <w:spacing w:after="150" w:before="300"/>
      </w:pPr>
      <w:r>
        <w:t xml:space="preserve">6. Memory Aid: Counting on Finger Joints</w:t>
      </w:r>
    </w:p>
    <w:p>
      <w:pPr>
        <w:spacing w:after="120"/>
      </w:pPr>
      <w:r>
        <w:t xml:space="preserve">The source describes a mnemonic for remembering a repeating 12-part sequence (paired numbers 1&amp;12, 2&amp;11, 3&amp;10, 4&amp;9, 5&amp;8, 6&amp;7) by tapping the finger joints of one hand, illustrated with a simple hand diagram. This is presented purely as a memorization trick, not a calculation method in itself.</w:t>
      </w:r>
    </w:p>
    <w:p>
      <w:pPr>
        <w:pStyle w:val="Heading1"/>
        <w:spacing w:after="150" w:before="300"/>
      </w:pPr>
      <w:r>
        <w:t xml:space="preserve">7. Reference Table: Stem-Animal Combination for a Given Date (1993–2000)</w:t>
      </w:r>
    </w:p>
    <w:p>
      <w:pPr>
        <w:spacing w:after="120"/>
      </w:pPr>
      <w:r>
        <w:t xml:space="preserve">The booklet includes a small lookup table pairing a specific Gregorian date each year (1993 through 2000) with its lunar-calendar stem-animal designation — evidently meant as a worked reference for a specific recurring observance.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r>
              <w:rPr>
                <w:b/>
                <w:bCs/>
              </w:rPr>
              <w:t xml:space="preserve">Year</w:t>
            </w:r>
          </w:p>
        </w:tc>
        <w:tc>
          <w:tcPr>
            <w:tcW w:type="dxa" w:w="3000"/>
            <w:shd w:fill="D9D9D9" w:val="clear"/>
          </w:tcPr>
          <w:p>
            <w:r>
              <w:rPr>
                <w:b/>
                <w:bCs/>
              </w:rPr>
              <w:t xml:space="preserve">Date</w:t>
            </w:r>
          </w:p>
        </w:tc>
        <w:tc>
          <w:tcPr>
            <w:tcW w:type="dxa" w:w="3000"/>
            <w:shd w:fill="D9D9D9" w:val="clear"/>
          </w:tcPr>
          <w:p>
            <w:r>
              <w:rPr>
                <w:b/>
                <w:bCs/>
              </w:rPr>
              <w:t xml:space="preserve">Stem-Animal</w:t>
            </w:r>
          </w:p>
        </w:tc>
      </w:tr>
      <w:tr>
        <w:tc>
          <w:tcPr>
            <w:tcW w:type="dxa" w:w="3000"/>
          </w:tcPr>
          <w:p>
            <w:r>
              <w:t xml:space="preserve">1993</w:t>
            </w:r>
          </w:p>
        </w:tc>
        <w:tc>
          <w:tcPr>
            <w:tcW w:type="dxa" w:w="3000"/>
          </w:tcPr>
          <w:p>
            <w:r>
              <w:t xml:space="preserve">Jan 23</w:t>
            </w:r>
          </w:p>
        </w:tc>
        <w:tc>
          <w:tcPr>
            <w:tcW w:type="dxa" w:w="3000"/>
          </w:tcPr>
          <w:p>
            <w:r>
              <w:t xml:space="preserve">Jiǎ-Dragon</w:t>
            </w:r>
          </w:p>
        </w:tc>
      </w:tr>
      <w:tr>
        <w:tc>
          <w:tcPr>
            <w:tcW w:type="dxa" w:w="3000"/>
          </w:tcPr>
          <w:p>
            <w:r>
              <w:t xml:space="preserve">1994</w:t>
            </w:r>
          </w:p>
        </w:tc>
        <w:tc>
          <w:tcPr>
            <w:tcW w:type="dxa" w:w="3000"/>
          </w:tcPr>
          <w:p>
            <w:r>
              <w:t xml:space="preserve">Feb 10</w:t>
            </w:r>
          </w:p>
        </w:tc>
        <w:tc>
          <w:tcPr>
            <w:tcW w:type="dxa" w:w="3000"/>
          </w:tcPr>
          <w:p>
            <w:r>
              <w:t xml:space="preserve">Dīng-Rabbit</w:t>
            </w:r>
          </w:p>
        </w:tc>
      </w:tr>
      <w:tr>
        <w:tc>
          <w:tcPr>
            <w:tcW w:type="dxa" w:w="3000"/>
          </w:tcPr>
          <w:p>
            <w:r>
              <w:t xml:space="preserve">1995</w:t>
            </w:r>
          </w:p>
        </w:tc>
        <w:tc>
          <w:tcPr>
            <w:tcW w:type="dxa" w:w="3000"/>
          </w:tcPr>
          <w:p>
            <w:r>
              <w:t xml:space="preserve">Jan 31</w:t>
            </w:r>
          </w:p>
        </w:tc>
        <w:tc>
          <w:tcPr>
            <w:tcW w:type="dxa" w:w="3000"/>
          </w:tcPr>
          <w:p>
            <w:r>
              <w:t xml:space="preserve">Rén-Dog</w:t>
            </w:r>
          </w:p>
        </w:tc>
      </w:tr>
      <w:tr>
        <w:tc>
          <w:tcPr>
            <w:tcW w:type="dxa" w:w="3000"/>
          </w:tcPr>
          <w:p>
            <w:r>
              <w:t xml:space="preserve">1996</w:t>
            </w:r>
          </w:p>
        </w:tc>
        <w:tc>
          <w:tcPr>
            <w:tcW w:type="dxa" w:w="3000"/>
          </w:tcPr>
          <w:p>
            <w:r>
              <w:t xml:space="preserve">Feb 19</w:t>
            </w:r>
          </w:p>
        </w:tc>
        <w:tc>
          <w:tcPr>
            <w:tcW w:type="dxa" w:w="3000"/>
          </w:tcPr>
          <w:p>
            <w:r>
              <w:t xml:space="preserve">Bǐng-Dog</w:t>
            </w:r>
          </w:p>
        </w:tc>
      </w:tr>
      <w:tr>
        <w:tc>
          <w:tcPr>
            <w:tcW w:type="dxa" w:w="3000"/>
          </w:tcPr>
          <w:p>
            <w:r>
              <w:t xml:space="preserve">1997</w:t>
            </w:r>
          </w:p>
        </w:tc>
        <w:tc>
          <w:tcPr>
            <w:tcW w:type="dxa" w:w="3000"/>
          </w:tcPr>
          <w:p>
            <w:r>
              <w:t xml:space="preserve">Feb 7</w:t>
            </w:r>
          </w:p>
        </w:tc>
        <w:tc>
          <w:tcPr>
            <w:tcW w:type="dxa" w:w="3000"/>
          </w:tcPr>
          <w:p>
            <w:r>
              <w:t xml:space="preserve">Gēng-Dragon</w:t>
            </w:r>
          </w:p>
        </w:tc>
      </w:tr>
      <w:tr>
        <w:tc>
          <w:tcPr>
            <w:tcW w:type="dxa" w:w="3000"/>
          </w:tcPr>
          <w:p>
            <w:r>
              <w:t xml:space="preserve">1998</w:t>
            </w:r>
          </w:p>
        </w:tc>
        <w:tc>
          <w:tcPr>
            <w:tcW w:type="dxa" w:w="3000"/>
          </w:tcPr>
          <w:p>
            <w:r>
              <w:t xml:space="preserve">Jan 28</w:t>
            </w:r>
          </w:p>
        </w:tc>
        <w:tc>
          <w:tcPr>
            <w:tcW w:type="dxa" w:w="3000"/>
          </w:tcPr>
          <w:p>
            <w:r>
              <w:t xml:space="preserve">Yǐ-Pig</w:t>
            </w:r>
          </w:p>
        </w:tc>
      </w:tr>
      <w:tr>
        <w:tc>
          <w:tcPr>
            <w:tcW w:type="dxa" w:w="3000"/>
          </w:tcPr>
          <w:p>
            <w:r>
              <w:t xml:space="preserve">1999</w:t>
            </w:r>
          </w:p>
        </w:tc>
        <w:tc>
          <w:tcPr>
            <w:tcW w:type="dxa" w:w="3000"/>
          </w:tcPr>
          <w:p>
            <w:r>
              <w:t xml:space="preserve">Feb 18</w:t>
            </w:r>
          </w:p>
        </w:tc>
        <w:tc>
          <w:tcPr>
            <w:tcW w:type="dxa" w:w="3000"/>
          </w:tcPr>
          <w:p>
            <w:r>
              <w:t xml:space="preserve">Jǐ-Pig</w:t>
            </w:r>
          </w:p>
        </w:tc>
      </w:tr>
      <w:tr>
        <w:tc>
          <w:tcPr>
            <w:tcW w:type="dxa" w:w="3000"/>
          </w:tcPr>
          <w:p>
            <w:r>
              <w:t xml:space="preserve">2000</w:t>
            </w:r>
          </w:p>
        </w:tc>
        <w:tc>
          <w:tcPr>
            <w:tcW w:type="dxa" w:w="3000"/>
          </w:tcPr>
          <w:p>
            <w:r>
              <w:t xml:space="preserve">Feb 5</w:t>
            </w:r>
          </w:p>
        </w:tc>
        <w:tc>
          <w:tcPr>
            <w:tcW w:type="dxa" w:w="3000"/>
          </w:tcPr>
          <w:p>
            <w:r>
              <w:t xml:space="preserve">Guǐ-Snake</w:t>
            </w:r>
          </w:p>
        </w:tc>
      </w:tr>
    </w:tbl>
    <w:p>
      <w:pPr>
        <w:pStyle w:val="Heading1"/>
        <w:spacing w:after="150" w:before="300"/>
      </w:pPr>
      <w:r>
        <w:t xml:space="preserve">8. Stem-Animal / Gregorian-Year Reference Tables (1804–2043)</w:t>
      </w:r>
    </w:p>
    <w:p>
      <w:pPr>
        <w:spacing w:after="120"/>
      </w:pPr>
      <w:r>
        <w:t xml:space="preserve">A large block of the source booklet (several pages) consists purely of reference tables mapping each of the 12 zodiac animals, combined with each of the 10 heavenly stems, to the specific Gregorian years in which that 60-year combination recurs — covering the Rat, Ox, Tiger, Rabbit, Dragon, Snake, Horse, Goat, Monkey, Rooster, Dog, and Pig cycles from 1804 through 2043. Because this is a dense, purely tabular lookup reference (essentially a long list of year numbers), it is not reproduced here in full; the calculation method in Section 4 above lets you derive any individual year's stem-animal combination directly instead of needing the table.</w:t>
      </w:r>
    </w:p>
    <w:p>
      <w:pPr>
        <w:pStyle w:val="Heading1"/>
        <w:spacing w:after="150" w:before="300"/>
      </w:pPr>
      <w:r>
        <w:t xml:space="preserve">9. Two Worked Annual Calendars: 1994 (Wood Dog) and 1995 (Wood Pig)</w:t>
      </w:r>
    </w:p>
    <w:p>
      <w:pPr>
        <w:spacing w:after="120"/>
      </w:pPr>
      <w:r>
        <w:t xml:space="preserve">The source includes two detailed month-by-month conversion tables, one for the 1994 Wood-Dog lunar year and one for the 1995 Wood-Pig lunar year, aligning each lunar month's start with its corresponding solar-calendar date (for example, lunar month 1 of 1994 beginning on the solar date January 31). These are calendar-conversion tables specific to those two years rather than a general method, so they are described here rather than reproduced cell-by-cell.</w:t>
      </w:r>
    </w:p>
    <w:p>
      <w:pPr>
        <w:pStyle w:val="Heading1"/>
        <w:spacing w:after="150" w:before="300"/>
      </w:pPr>
      <w:r>
        <w:t xml:space="preserve">10. Short Religious/Moral Verses</w:t>
      </w:r>
    </w:p>
    <w:p>
      <w:pPr>
        <w:spacing w:after="120"/>
      </w:pPr>
      <w:r>
        <w:t xml:space="preserve">The booklet includes several short traditional verses, attributed to a 19th-century religious figure (dates given as 1854–1907), on themes of the preciousness and fragility of human life, the importance of not wasting one's life in ignorance or idle pursuits, the value of using one's mind and learning rather than living thoughtlessly, and the hardships a mother endures in bearing and raising a child. As these are quoted verses/poetry from the source, I'm summarizing their themes rather than reproducing the verses themselves, per copyright practice.</w:t>
      </w:r>
    </w:p>
    <w:p>
      <w:pPr>
        <w:pStyle w:val="Heading1"/>
        <w:spacing w:after="150" w:before="300"/>
      </w:pPr>
      <w:r>
        <w:t xml:space="preserve">11. The Mole-Counting Divination Method (查痣法)</w:t>
      </w:r>
    </w:p>
    <w:p>
      <w:pPr>
        <w:pStyle w:val="Heading2"/>
        <w:spacing w:after="100" w:before="200"/>
      </w:pPr>
      <w:r>
        <w:t xml:space="preserve">11.1 Basic calculation</w:t>
      </w:r>
    </w:p>
    <w:p>
      <w:pPr>
        <w:spacing w:after="120"/>
      </w:pPr>
      <w:r>
        <w:t xml:space="preserve">This method claims to calculate a number of symbolic 'moles' associated with a person for a given year. The stated procedure: take the person's age in the solar calendar, add the mole-count value associated with their birth year, then divide that sum by nine; the remainder is the number of 'red moles' for that year (if the sum divides evenly with no remainder, that is interpreted as nine moles).</w:t>
      </w:r>
    </w:p>
    <w:p>
      <w:pPr>
        <w:spacing w:after="120"/>
      </w:pPr>
      <w:r>
        <w:t xml:space="preserve">Worked example from the source: for someone born in 1939, calculating for the year 1990 — 1990 minus 1939 equals 51 (and 1990 itself is associated with 'one white mole' in the source's reference cycle). Adding 51 + 1 = 52; dividing 52 by 9 gives a remainder of 7, so the result is seven red moles.</w:t>
      </w:r>
    </w:p>
    <w:p>
      <w:pPr>
        <w:spacing w:after="120"/>
      </w:pPr>
      <w:r>
        <w:t xml:space="preserve">The source notes the nine mole-values must be counted in order from first to last, that the count shifts as a person ages, and that the cycle resets every ten years. It also gives a few sample year-to-mole-color associations directly from a reference cycle (e.g., particular color/count combinations for the Dragon year of '88, the Snake year of '89, the Horse year of '90, and the Goat year of '91).</w:t>
      </w:r>
    </w:p>
    <w:p>
      <w:pPr>
        <w:pStyle w:val="Heading2"/>
        <w:spacing w:after="100" w:before="200"/>
      </w:pPr>
      <w:r>
        <w:t xml:space="preserve">11.2 "Moles sitting in the center" (痣坐中)</w:t>
      </w:r>
    </w:p>
    <w:p>
      <w:pPr>
        <w:spacing w:after="120"/>
      </w:pPr>
      <w:r>
        <w:t xml:space="preserve">This is a folk explanation for why a person might be going through a stretch of bad luck or setbacks. The idea is that the mole-cycle repeats every nine years, so a person's personal 'mole number' recurs on a 9-year rhythm. The source gives specific ages — 1, 10, 19, 28, 37, 48, 55, 64 (listed among 73, 82, 91 in the source, though the sequence as printed has a gap), 73, 82, and 91 — as ages when this 'mole sitting in the center' condition is said to occur, marking those ages as traditionally regarded as lower points in a person's fortune.</w:t>
      </w:r>
    </w:p>
    <w:p>
      <w:pPr>
        <w:pStyle w:val="Heading1"/>
        <w:spacing w:after="150" w:before="300"/>
      </w:pPr>
      <w:r>
        <w:t xml:space="preserve">12. The Five Elements and Their Relationships</w:t>
      </w:r>
    </w:p>
    <w:p>
      <w:pPr>
        <w:spacing w:after="120"/>
      </w:pPr>
      <w:r>
        <w:t xml:space="preserve">The Five Elements (Wood, Fire, Earth, Metal, Water) are described as relating to one another in four ways, based on their position in the standard generative cycle (Wood → Fire → Earth → Metal → Water → Wood):</w:t>
      </w:r>
    </w:p>
    <w:p>
      <w:pPr>
        <w:pStyle w:val="ListParagraph"/>
        <w:numPr>
          <w:ilvl w:val="0"/>
          <w:numId w:val="1"/>
        </w:numPr>
        <w:spacing w:after="60"/>
      </w:pPr>
      <w:r>
        <w:t xml:space="preserve">Mother (母): the element immediately before it in the cycle</w:t>
      </w:r>
    </w:p>
    <w:p>
      <w:pPr>
        <w:pStyle w:val="ListParagraph"/>
        <w:numPr>
          <w:ilvl w:val="0"/>
          <w:numId w:val="1"/>
        </w:numPr>
        <w:spacing w:after="60"/>
      </w:pPr>
      <w:r>
        <w:t xml:space="preserve">Child (子): the element immediately after it in the cycle</w:t>
      </w:r>
    </w:p>
    <w:p>
      <w:pPr>
        <w:pStyle w:val="ListParagraph"/>
        <w:numPr>
          <w:ilvl w:val="0"/>
          <w:numId w:val="1"/>
        </w:numPr>
        <w:spacing w:after="60"/>
      </w:pPr>
      <w:r>
        <w:t xml:space="preserve">Friend (友): the element one step further clockwise</w:t>
      </w:r>
    </w:p>
    <w:p>
      <w:pPr>
        <w:pStyle w:val="ListParagraph"/>
        <w:numPr>
          <w:ilvl w:val="0"/>
          <w:numId w:val="1"/>
        </w:numPr>
        <w:spacing w:after="60"/>
      </w:pPr>
      <w:r>
        <w:t xml:space="preserve">Enemy (敌): the element one step further counter-clockwise</w:t>
      </w:r>
    </w:p>
    <w:p>
      <w:pPr>
        <w:spacing w:after="120"/>
      </w:pPr>
      <w:r>
        <w:t xml:space="preserve">A small diagram in the source shows the five elements arranged in a circle in the order Fire, Earth, Metal, Water, Wood.</w:t>
      </w:r>
    </w:p>
    <w:p>
      <w:pPr>
        <w:pStyle w:val="Heading1"/>
        <w:spacing w:after="150" w:before="300"/>
      </w:pPr>
      <w:r>
        <w:t xml:space="preserve">13. Zodiac Signs and the Five Elements</w:t>
      </w:r>
    </w:p>
    <w:p>
      <w:pPr>
        <w:spacing w:after="120"/>
      </w:pPr>
      <w:r>
        <w:t xml:space="preserve">Each of the 12 zodiac animals is assigned one of the Five Elements, and the framework is used to derive which element is a 'conquering' (unlucky/malefic) influence for a given sign, and which of the traditional 28 lunar mansions is regarded as that sign's unlucky star for a given year.</w:t>
      </w:r>
    </w:p>
    <w:p>
      <w:pPr>
        <w:spacing w:after="120"/>
      </w:pPr>
      <w:r>
        <w:t xml:space="preserve">Worked example from the source: 1963 is a Rabbit year, and the Rabbit is assigned the element Wood. In the Five-Element conquest cycle, Metal conquers Wood — so Metal is treated as Wood's (and therefore the Rabbit's) unlucky/conquering element for that cycle, and the lunar mansion named 'Basang' is identified as the unlucky star specifically for people born in Rabbit years.</w:t>
      </w:r>
    </w:p>
    <w:p>
      <w:pPr>
        <w:pStyle w:val="Heading2"/>
        <w:spacing w:after="100" w:before="200"/>
      </w:pPr>
      <w:r>
        <w:t xml:space="preserve">13.1 Element assignments by zodiac 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Element</w:t>
            </w:r>
          </w:p>
        </w:tc>
        <w:tc>
          <w:tcPr>
            <w:tcW w:type="dxa" w:w="4500"/>
            <w:shd w:fill="D9D9D9" w:val="clear"/>
          </w:tcPr>
          <w:p>
            <w:r>
              <w:rPr>
                <w:b/>
                <w:bCs/>
              </w:rPr>
              <w:t xml:space="preserve">Zodiac signs</w:t>
            </w:r>
          </w:p>
        </w:tc>
      </w:tr>
      <w:tr>
        <w:tc>
          <w:tcPr>
            <w:tcW w:type="dxa" w:w="4500"/>
          </w:tcPr>
          <w:p>
            <w:r>
              <w:t xml:space="preserve">Fire</w:t>
            </w:r>
          </w:p>
        </w:tc>
        <w:tc>
          <w:tcPr>
            <w:tcW w:type="dxa" w:w="4500"/>
          </w:tcPr>
          <w:p>
            <w:r>
              <w:t xml:space="preserve">Snake, Horse</w:t>
            </w:r>
          </w:p>
        </w:tc>
      </w:tr>
      <w:tr>
        <w:tc>
          <w:tcPr>
            <w:tcW w:type="dxa" w:w="4500"/>
          </w:tcPr>
          <w:p>
            <w:r>
              <w:t xml:space="preserve">Earth</w:t>
            </w:r>
          </w:p>
        </w:tc>
        <w:tc>
          <w:tcPr>
            <w:tcW w:type="dxa" w:w="4500"/>
          </w:tcPr>
          <w:p>
            <w:r>
              <w:t xml:space="preserve">Ox, Dragon, Dog, Goat</w:t>
            </w:r>
          </w:p>
        </w:tc>
      </w:tr>
      <w:tr>
        <w:tc>
          <w:tcPr>
            <w:tcW w:type="dxa" w:w="4500"/>
          </w:tcPr>
          <w:p>
            <w:r>
              <w:t xml:space="preserve">Metal</w:t>
            </w:r>
          </w:p>
        </w:tc>
        <w:tc>
          <w:tcPr>
            <w:tcW w:type="dxa" w:w="4500"/>
          </w:tcPr>
          <w:p>
            <w:r>
              <w:t xml:space="preserve">Monkey, Rooster</w:t>
            </w:r>
          </w:p>
        </w:tc>
      </w:tr>
      <w:tr>
        <w:tc>
          <w:tcPr>
            <w:tcW w:type="dxa" w:w="4500"/>
          </w:tcPr>
          <w:p>
            <w:r>
              <w:t xml:space="preserve">Water</w:t>
            </w:r>
          </w:p>
        </w:tc>
        <w:tc>
          <w:tcPr>
            <w:tcW w:type="dxa" w:w="4500"/>
          </w:tcPr>
          <w:p>
            <w:r>
              <w:t xml:space="preserve">Pig, Rat</w:t>
            </w:r>
          </w:p>
        </w:tc>
      </w:tr>
      <w:tr>
        <w:tc>
          <w:tcPr>
            <w:tcW w:type="dxa" w:w="4500"/>
          </w:tcPr>
          <w:p>
            <w:r>
              <w:t xml:space="preserve">Wood</w:t>
            </w:r>
          </w:p>
        </w:tc>
        <w:tc>
          <w:tcPr>
            <w:tcW w:type="dxa" w:w="4500"/>
          </w:tcPr>
          <w:p>
            <w:r>
              <w:t xml:space="preserve">Tiger, Rabbit</w:t>
            </w:r>
          </w:p>
        </w:tc>
      </w:tr>
    </w:tbl>
    <w:p>
      <w:pPr>
        <w:pStyle w:val="Heading1"/>
        <w:spacing w:after="150" w:before="300"/>
      </w:pPr>
      <w:r>
        <w:t xml:space="preserve">14. Auspicious/Unlucky Stars, Elements, and Companion Years for Each Zodiac Sign</w:t>
      </w:r>
    </w:p>
    <w:p>
      <w:pPr>
        <w:spacing w:after="120"/>
      </w:pPr>
      <w:r>
        <w:t xml:space="preserve">For each of the 12 zodiac signs, the source lists a set of associated categories, given in transliterated (not translated) Tibetan/Mongolian astrological terminology: a 'lucky element,' a 'life element,' a 'death element,' a 'lucky star,' a 'life star,' a 'painting-day star,' a 'death star,' plus two 'guardian years' and one 'unlucky year.' Because the specific star and element names are given as transliterated foreign terms rather than translated words, they are listed here as-is (not translated, since they are proper names/terms rather than ordinary vocabulary) alongside the guardian/unlucky year associations, which are translatable: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r>
              <w:rPr>
                <w:b/>
                <w:bCs/>
              </w:rPr>
              <w:t xml:space="preserve">Sign</w:t>
            </w:r>
          </w:p>
        </w:tc>
        <w:tc>
          <w:tcPr>
            <w:tcW w:type="dxa" w:w="3000"/>
            <w:shd w:fill="D9D9D9" w:val="clear"/>
          </w:tcPr>
          <w:p>
            <w:r>
              <w:rPr>
                <w:b/>
                <w:bCs/>
              </w:rPr>
              <w:t xml:space="preserve">Guardian years</w:t>
            </w:r>
          </w:p>
        </w:tc>
        <w:tc>
          <w:tcPr>
            <w:tcW w:type="dxa" w:w="3000"/>
            <w:shd w:fill="D9D9D9" w:val="clear"/>
          </w:tcPr>
          <w:p>
            <w:r>
              <w:rPr>
                <w:b/>
                <w:bCs/>
              </w:rPr>
              <w:t xml:space="preserve">Unlucky year</w:t>
            </w:r>
          </w:p>
        </w:tc>
      </w:tr>
      <w:tr>
        <w:tc>
          <w:tcPr>
            <w:tcW w:type="dxa" w:w="3000"/>
          </w:tcPr>
          <w:p>
            <w:r>
              <w:t xml:space="preserve">Rat</w:t>
            </w:r>
          </w:p>
        </w:tc>
        <w:tc>
          <w:tcPr>
            <w:tcW w:type="dxa" w:w="3000"/>
          </w:tcPr>
          <w:p>
            <w:r>
              <w:t xml:space="preserve">Dragon, Monkey</w:t>
            </w:r>
          </w:p>
        </w:tc>
        <w:tc>
          <w:tcPr>
            <w:tcW w:type="dxa" w:w="3000"/>
          </w:tcPr>
          <w:p>
            <w:r>
              <w:t xml:space="preserve">Horse</w:t>
            </w:r>
          </w:p>
        </w:tc>
      </w:tr>
      <w:tr>
        <w:tc>
          <w:tcPr>
            <w:tcW w:type="dxa" w:w="3000"/>
          </w:tcPr>
          <w:p>
            <w:r>
              <w:t xml:space="preserve">Ox</w:t>
            </w:r>
          </w:p>
        </w:tc>
        <w:tc>
          <w:tcPr>
            <w:tcW w:type="dxa" w:w="3000"/>
          </w:tcPr>
          <w:p>
            <w:r>
              <w:t xml:space="preserve">Snake, Rooster</w:t>
            </w:r>
          </w:p>
        </w:tc>
        <w:tc>
          <w:tcPr>
            <w:tcW w:type="dxa" w:w="3000"/>
          </w:tcPr>
          <w:p>
            <w:r>
              <w:t xml:space="preserve">Goat</w:t>
            </w:r>
          </w:p>
        </w:tc>
      </w:tr>
      <w:tr>
        <w:tc>
          <w:tcPr>
            <w:tcW w:type="dxa" w:w="3000"/>
          </w:tcPr>
          <w:p>
            <w:r>
              <w:t xml:space="preserve">Tiger</w:t>
            </w:r>
          </w:p>
        </w:tc>
        <w:tc>
          <w:tcPr>
            <w:tcW w:type="dxa" w:w="3000"/>
          </w:tcPr>
          <w:p>
            <w:r>
              <w:t xml:space="preserve">Horse, Dog</w:t>
            </w:r>
          </w:p>
        </w:tc>
        <w:tc>
          <w:tcPr>
            <w:tcW w:type="dxa" w:w="3000"/>
          </w:tcPr>
          <w:p>
            <w:r>
              <w:t xml:space="preserve">Monkey</w:t>
            </w:r>
          </w:p>
        </w:tc>
      </w:tr>
      <w:tr>
        <w:tc>
          <w:tcPr>
            <w:tcW w:type="dxa" w:w="3000"/>
          </w:tcPr>
          <w:p>
            <w:r>
              <w:t xml:space="preserve">Rabbit</w:t>
            </w:r>
          </w:p>
        </w:tc>
        <w:tc>
          <w:tcPr>
            <w:tcW w:type="dxa" w:w="3000"/>
          </w:tcPr>
          <w:p>
            <w:r>
              <w:t xml:space="preserve">Pig, Dog</w:t>
            </w:r>
          </w:p>
        </w:tc>
        <w:tc>
          <w:tcPr>
            <w:tcW w:type="dxa" w:w="3000"/>
          </w:tcPr>
          <w:p>
            <w:r>
              <w:t xml:space="preserve">Rooster</w:t>
            </w:r>
          </w:p>
        </w:tc>
      </w:tr>
      <w:tr>
        <w:tc>
          <w:tcPr>
            <w:tcW w:type="dxa" w:w="3000"/>
          </w:tcPr>
          <w:p>
            <w:r>
              <w:t xml:space="preserve">Dragon</w:t>
            </w:r>
          </w:p>
        </w:tc>
        <w:tc>
          <w:tcPr>
            <w:tcW w:type="dxa" w:w="3000"/>
          </w:tcPr>
          <w:p>
            <w:r>
              <w:t xml:space="preserve">Monkey, Rat</w:t>
            </w:r>
          </w:p>
        </w:tc>
        <w:tc>
          <w:tcPr>
            <w:tcW w:type="dxa" w:w="3000"/>
          </w:tcPr>
          <w:p>
            <w:r>
              <w:t xml:space="preserve">Dog</w:t>
            </w:r>
          </w:p>
        </w:tc>
      </w:tr>
      <w:tr>
        <w:tc>
          <w:tcPr>
            <w:tcW w:type="dxa" w:w="3000"/>
          </w:tcPr>
          <w:p>
            <w:r>
              <w:t xml:space="preserve">Snake</w:t>
            </w:r>
          </w:p>
        </w:tc>
        <w:tc>
          <w:tcPr>
            <w:tcW w:type="dxa" w:w="3000"/>
          </w:tcPr>
          <w:p>
            <w:r>
              <w:t xml:space="preserve">Rooster, Ox</w:t>
            </w:r>
          </w:p>
        </w:tc>
        <w:tc>
          <w:tcPr>
            <w:tcW w:type="dxa" w:w="3000"/>
          </w:tcPr>
          <w:p>
            <w:r>
              <w:t xml:space="preserve">Pig</w:t>
            </w:r>
          </w:p>
        </w:tc>
      </w:tr>
      <w:tr>
        <w:tc>
          <w:tcPr>
            <w:tcW w:type="dxa" w:w="3000"/>
          </w:tcPr>
          <w:p>
            <w:r>
              <w:t xml:space="preserve">Horse</w:t>
            </w:r>
          </w:p>
        </w:tc>
        <w:tc>
          <w:tcPr>
            <w:tcW w:type="dxa" w:w="3000"/>
          </w:tcPr>
          <w:p>
            <w:r>
              <w:t xml:space="preserve">Tiger, Dog</w:t>
            </w:r>
          </w:p>
        </w:tc>
        <w:tc>
          <w:tcPr>
            <w:tcW w:type="dxa" w:w="3000"/>
          </w:tcPr>
          <w:p>
            <w:r>
              <w:t xml:space="preserve">Rat</w:t>
            </w:r>
          </w:p>
        </w:tc>
      </w:tr>
      <w:tr>
        <w:tc>
          <w:tcPr>
            <w:tcW w:type="dxa" w:w="3000"/>
          </w:tcPr>
          <w:p>
            <w:r>
              <w:t xml:space="preserve">Goat</w:t>
            </w:r>
          </w:p>
        </w:tc>
        <w:tc>
          <w:tcPr>
            <w:tcW w:type="dxa" w:w="3000"/>
          </w:tcPr>
          <w:p>
            <w:r>
              <w:t xml:space="preserve">Pig, Rabbit</w:t>
            </w:r>
          </w:p>
        </w:tc>
        <w:tc>
          <w:tcPr>
            <w:tcW w:type="dxa" w:w="3000"/>
          </w:tcPr>
          <w:p>
            <w:r>
              <w:t xml:space="preserve">Ox</w:t>
            </w:r>
          </w:p>
        </w:tc>
      </w:tr>
      <w:tr>
        <w:tc>
          <w:tcPr>
            <w:tcW w:type="dxa" w:w="3000"/>
          </w:tcPr>
          <w:p>
            <w:r>
              <w:t xml:space="preserve">Monkey</w:t>
            </w:r>
          </w:p>
        </w:tc>
        <w:tc>
          <w:tcPr>
            <w:tcW w:type="dxa" w:w="3000"/>
          </w:tcPr>
          <w:p>
            <w:r>
              <w:t xml:space="preserve">Rat, Dragon</w:t>
            </w:r>
          </w:p>
        </w:tc>
        <w:tc>
          <w:tcPr>
            <w:tcW w:type="dxa" w:w="3000"/>
          </w:tcPr>
          <w:p>
            <w:r>
              <w:t xml:space="preserve">Tiger</w:t>
            </w:r>
          </w:p>
        </w:tc>
      </w:tr>
      <w:tr>
        <w:tc>
          <w:tcPr>
            <w:tcW w:type="dxa" w:w="3000"/>
          </w:tcPr>
          <w:p>
            <w:r>
              <w:t xml:space="preserve">Rooster</w:t>
            </w:r>
          </w:p>
        </w:tc>
        <w:tc>
          <w:tcPr>
            <w:tcW w:type="dxa" w:w="3000"/>
          </w:tcPr>
          <w:p>
            <w:r>
              <w:t xml:space="preserve">Snake, Ox</w:t>
            </w:r>
          </w:p>
        </w:tc>
        <w:tc>
          <w:tcPr>
            <w:tcW w:type="dxa" w:w="3000"/>
          </w:tcPr>
          <w:p>
            <w:r>
              <w:t xml:space="preserve">Rabbit</w:t>
            </w:r>
          </w:p>
        </w:tc>
      </w:tr>
      <w:tr>
        <w:tc>
          <w:tcPr>
            <w:tcW w:type="dxa" w:w="3000"/>
          </w:tcPr>
          <w:p>
            <w:r>
              <w:t xml:space="preserve">Dog</w:t>
            </w:r>
          </w:p>
        </w:tc>
        <w:tc>
          <w:tcPr>
            <w:tcW w:type="dxa" w:w="3000"/>
          </w:tcPr>
          <w:p>
            <w:r>
              <w:t xml:space="preserve">Tiger, Horse</w:t>
            </w:r>
          </w:p>
        </w:tc>
        <w:tc>
          <w:tcPr>
            <w:tcW w:type="dxa" w:w="3000"/>
          </w:tcPr>
          <w:p>
            <w:r>
              <w:t xml:space="preserve">Dragon</w:t>
            </w:r>
          </w:p>
        </w:tc>
      </w:tr>
      <w:tr>
        <w:tc>
          <w:tcPr>
            <w:tcW w:type="dxa" w:w="3000"/>
          </w:tcPr>
          <w:p>
            <w:r>
              <w:t xml:space="preserve">Pig</w:t>
            </w:r>
          </w:p>
        </w:tc>
        <w:tc>
          <w:tcPr>
            <w:tcW w:type="dxa" w:w="3000"/>
          </w:tcPr>
          <w:p>
            <w:r>
              <w:t xml:space="preserve">Rabbit, Goat</w:t>
            </w:r>
          </w:p>
        </w:tc>
        <w:tc>
          <w:tcPr>
            <w:tcW w:type="dxa" w:w="3000"/>
          </w:tcPr>
          <w:p>
            <w:r>
              <w:t xml:space="preserve">Snake</w:t>
            </w:r>
          </w:p>
        </w:tc>
      </w:tr>
    </w:tbl>
    <w:p>
      <w:pPr>
        <w:spacing w:after="120"/>
      </w:pPr>
      <w:r>
        <w:t xml:space="preserve"/>
      </w:r>
    </w:p>
    <w:p>
      <w:pPr>
        <w:spacing w:after="120"/>
      </w:pPr>
      <w:r>
        <w:t xml:space="preserve">The source explains the general logic of these categories: falling in a 'lucky element' period tends to make things go smoothly and effortlessly; a 'life element' period is said to bring good fortune and pleasant developments; a 'death element' period tends to bring obstacles and blocked wishes; 'lucky star' and 'life star' periods make things generally easier; and 'painting-day' and 'death-star' days make things generally harder. Similarly, a 'favorable year/month/day' is considered generally good for major undertakings such as marriage or starting a business, while an 'unfavorable year/month/day' — especially for someone currently in their personally unlucky year — is considered a poor time for such major life events.</w:t>
      </w:r>
    </w:p>
    <w:p>
      <w:pPr>
        <w:pStyle w:val="Heading1"/>
        <w:spacing w:after="150" w:before="300"/>
      </w:pPr>
      <w:r>
        <w:t xml:space="preserve">15. The 28 Lunar Mansions</w:t>
      </w:r>
    </w:p>
    <w:p>
      <w:pPr>
        <w:spacing w:after="120"/>
      </w:pPr>
      <w:r>
        <w:t xml:space="preserve">The source includes a table naming the 28 traditional lunar mansions (asterisms tracked along the ecliptic) along with numeric position/degree data for each, plus handwritten annotations that appear to be phonetic renderings of their names. Because this is a dense reference table of proper names and numeric positions rather than explanatory prose, it isn't reproduced here cell-by-cell; the key point conveyed by the surrounding text is simply that these 28 mansions are the basis for the 'lucky star' and 'unlucky star' designations described in Section 14.</w:t>
      </w:r>
    </w:p>
    <w:p>
      <w:pPr>
        <w:pStyle w:val="Heading1"/>
        <w:spacing w:after="150" w:before="300"/>
      </w:pPr>
      <w:r>
        <w:t xml:space="preserve">16. Five-Element Fortune-Telling by Birth Element</w:t>
      </w:r>
    </w:p>
    <w:p>
      <w:pPr>
        <w:spacing w:after="120"/>
      </w:pPr>
      <w:r>
        <w:t xml:space="preserve">This section describes broad, generic personality and life-fortune sketches associated with each of the Five Elements — the kind of general fortune-telling commonly found in folk astrology. These are presented in the source as traditional folk claims, not empirical facts.</w:t>
      </w:r>
    </w:p>
    <w:p>
      <w:pPr>
        <w:pStyle w:val="Heading2"/>
        <w:spacing w:after="100" w:before="200"/>
      </w:pPr>
      <w:r>
        <w:t xml:space="preserve">16.1 Wood</w:t>
      </w:r>
    </w:p>
    <w:p>
      <w:pPr>
        <w:spacing w:after="120"/>
      </w:pPr>
      <w:r>
        <w:t xml:space="preserve">Said to apply differently depending on birth season: those born in the three summer months are described as having a particularly strong 'Wood' quality along with unusually long life; those born in the three spring months are described as carrying an auspicious form of Wood energy. People of this type are described as somewhat quick-tempered but generally long-lived, with a life path said to be prosperous before around age 30, dip into leaner years afterward, often welcoming several daughters within a five-year span, and becoming prosperous again after age 40.</w:t>
      </w:r>
    </w:p>
    <w:p>
      <w:pPr>
        <w:pStyle w:val="Heading2"/>
        <w:spacing w:after="100" w:before="200"/>
      </w:pPr>
      <w:r>
        <w:t xml:space="preserve">16.2 Fire</w:t>
      </w:r>
    </w:p>
    <w:p>
      <w:pPr>
        <w:spacing w:after="120"/>
      </w:pPr>
      <w:r>
        <w:t xml:space="preserve">Said to be mild-tempered with a generally stable financial life — neither great wealth nor real hardship. The source gives folk marriage-compatibility guidance (e.g., that Fire-element men are said to be poorly matched with Metal- or Water-element women, and vice versa for Fire-element women, with Wood or Earth partners considered more compatible) and describes family ties with siblings and parents as comparatively distant, with life circumstances said to improve noticeably after age 47.</w:t>
      </w:r>
    </w:p>
    <w:p>
      <w:pPr>
        <w:pStyle w:val="Heading2"/>
        <w:spacing w:after="100" w:before="200"/>
      </w:pPr>
      <w:r>
        <w:t xml:space="preserve">16.3 Earth</w:t>
      </w:r>
    </w:p>
    <w:p>
      <w:pPr>
        <w:spacing w:after="120"/>
      </w:pPr>
      <w:r>
        <w:t xml:space="preserve">Said to do best avoiding close ties/marriage with Water-element people, and to pair well with Fire-element people of either gender. Life is described as generally stable and comfortable, with the person described as loyal to family and well-liked, and early life said to bring the birth of three daughters.</w:t>
      </w:r>
    </w:p>
    <w:p>
      <w:pPr>
        <w:pStyle w:val="Heading2"/>
        <w:spacing w:after="100" w:before="200"/>
      </w:pPr>
      <w:r>
        <w:t xml:space="preserve">16.4 Metal</w:t>
      </w:r>
    </w:p>
    <w:p>
      <w:pPr>
        <w:spacing w:after="120"/>
      </w:pPr>
      <w:r>
        <w:t xml:space="preserve">Described as resilient but without particularly easy or glamorous early fortune — childhood is described as lean until around age six, after which life stabilizes. Personality is described as even-tempered but inwardly ambitious and stubborn/tenacious. Descendants are said to be numerous and fortunate. Compatibility is described as good with Water- and Earth-element partners, though ties to siblings are described as comparatively limited; the source also advises restraint and even temper around age 18 to avoid setbacks, with life said to open up favorably by age 49.</w:t>
      </w:r>
    </w:p>
    <w:p>
      <w:pPr>
        <w:pStyle w:val="Heading2"/>
        <w:spacing w:after="100" w:before="200"/>
      </w:pPr>
      <w:r>
        <w:t xml:space="preserve">16.5 Water</w:t>
      </w:r>
    </w:p>
    <w:p>
      <w:pPr>
        <w:spacing w:after="120"/>
      </w:pPr>
      <w:r>
        <w:t xml:space="preserve">Said to be especially favored during the first two lunar months, when this person's energy is at its strongest and things go most smoothly. Personality is described as forthright, a little impatient, but warm-hearted and generous — someone inclined to help others in difficulty. Compatibility is described as best with Metal- or Wood-element partners, and overall fortune is said to benefit from association with Metal-element energy.</w:t>
      </w:r>
    </w:p>
    <w:p>
      <w:pPr>
        <w:pStyle w:val="Heading1"/>
        <w:spacing w:after="150" w:before="300"/>
      </w:pPr>
      <w:r>
        <w:t xml:space="preserve">17. How a Lunar Year's Element Designation Is Determined</w:t>
      </w:r>
    </w:p>
    <w:p>
      <w:pPr>
        <w:spacing w:after="120"/>
      </w:pPr>
      <w:r>
        <w:t xml:space="preserve">The source explains that because a single lunar year overlaps parts of two different solar-calendar years, the element assigned to a lunar year is worked out from the final digit total associated with the first of those two solar years. The stated rule: if that year's relevant digit is 4 or 5, the element is Wood; 6 or 7 gives Fire; 8 or 9 gives Earth; 0 or 1 gives Metal; 2 or 3 gives Water. Worked example given: item 17 of a 60-year cycle is assigned Earth, corresponding to a Snake year running from February 1989 through February 25, 1990.</w:t>
      </w:r>
    </w:p>
    <w:p>
      <w:pPr>
        <w:pStyle w:val="Heading1"/>
        <w:spacing w:after="150" w:before="300"/>
      </w:pPr>
      <w:r>
        <w:t xml:space="preserve">18. The "Seven Days" Cycle and Its Taboos (七行戒)</w:t>
      </w:r>
    </w:p>
    <w:p>
      <w:pPr>
        <w:spacing w:after="120"/>
      </w:pPr>
      <w:r>
        <w:t xml:space="preserve">The source describes a repeating 7-day naming cycle (transliterated as Nyima, Dawa, Migmar, Lhakpa, Purbu, Basang, and Benba — closely paralleling the traditional Tibetan planetary week), each associated with a specific activity to avoid:</w:t>
      </w:r>
    </w:p>
    <w:p>
      <w:pPr>
        <w:pStyle w:val="ListParagraph"/>
        <w:numPr>
          <w:ilvl w:val="0"/>
          <w:numId w:val="1"/>
        </w:numPr>
        <w:spacing w:after="60"/>
      </w:pPr>
      <w:r>
        <w:t xml:space="preserve">Nyima day: said to be an orderly day in the heavens; avoid performing ritual magic/spellwork.</w:t>
      </w:r>
    </w:p>
    <w:p>
      <w:pPr>
        <w:pStyle w:val="ListParagraph"/>
        <w:numPr>
          <w:ilvl w:val="0"/>
          <w:numId w:val="1"/>
        </w:numPr>
        <w:spacing w:after="60"/>
      </w:pPr>
      <w:r>
        <w:t xml:space="preserve">Dawa day: associated with the dragon-king opening his gate; avoid offering a special dedicated horse-and-ritual.</w:t>
      </w:r>
    </w:p>
    <w:p>
      <w:pPr>
        <w:pStyle w:val="ListParagraph"/>
        <w:numPr>
          <w:ilvl w:val="0"/>
          <w:numId w:val="1"/>
        </w:numPr>
        <w:spacing w:after="60"/>
      </w:pPr>
      <w:r>
        <w:t xml:space="preserve">Migmar day: associated with sharpened blades among subjects; avoid sharpening weapons or blades.</w:t>
      </w:r>
    </w:p>
    <w:p>
      <w:pPr>
        <w:pStyle w:val="ListParagraph"/>
        <w:numPr>
          <w:ilvl w:val="0"/>
          <w:numId w:val="1"/>
        </w:numPr>
        <w:spacing w:after="60"/>
      </w:pPr>
      <w:r>
        <w:t xml:space="preserve">Lhakpa day: associated with the risk of severed lineage; avoid funerals or burial rites.</w:t>
      </w:r>
    </w:p>
    <w:p>
      <w:pPr>
        <w:pStyle w:val="ListParagraph"/>
        <w:numPr>
          <w:ilvl w:val="0"/>
          <w:numId w:val="1"/>
        </w:numPr>
        <w:spacing w:after="60"/>
      </w:pPr>
      <w:r>
        <w:t xml:space="preserve">Basang day: associated with successful livestock breeding; avoid going out to herd animals.</w:t>
      </w:r>
    </w:p>
    <w:p>
      <w:pPr>
        <w:pStyle w:val="ListParagraph"/>
        <w:numPr>
          <w:ilvl w:val="0"/>
          <w:numId w:val="1"/>
        </w:numPr>
        <w:spacing w:after="60"/>
      </w:pPr>
      <w:r>
        <w:t xml:space="preserve">Benba day: associated with calm, settled land-energy; avoid giving gifts.</w:t>
      </w:r>
    </w:p>
    <w:p>
      <w:pPr>
        <w:spacing w:after="120"/>
      </w:pPr>
      <w:r>
        <w:t xml:space="preserve">A small reference table lists these seven day-names as numbered 1 through 7 for almanac purposes.</w:t>
      </w:r>
    </w:p>
    <w:p>
      <w:pPr>
        <w:pStyle w:val="Heading1"/>
        <w:spacing w:after="150" w:before="300"/>
      </w:pPr>
      <w:r>
        <w:t xml:space="preserve">19. The 12 Two-Hour Periods of the Day (十二时辰)</w:t>
      </w:r>
    </w:p>
    <w:p>
      <w:pPr>
        <w:spacing w:after="120"/>
      </w:pPr>
      <w:r>
        <w:t xml:space="preserve">Traditional East Asian timekeeping divides the day into 12 two-hour blocks, each named for a zodiac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
        <w:gridCol w:w="692"/>
        <w:gridCol w:w="692"/>
        <w:gridCol w:w="692"/>
        <w:gridCol w:w="692"/>
        <w:gridCol w:w="692"/>
        <w:gridCol w:w="692"/>
        <w:gridCol w:w="692"/>
        <w:gridCol w:w="692"/>
        <w:gridCol w:w="692"/>
        <w:gridCol w:w="692"/>
        <w:gridCol w:w="692"/>
      </w:tblGrid>
      <w:tr>
        <w:tc>
          <w:tcPr>
            <w:tcW w:type="dxa" w:w="692"/>
            <w:shd w:fill="D9D9D9" w:val="clear"/>
          </w:tcPr>
          <w:p>
            <w:r>
              <w:rPr>
                <w:b/>
                <w:bCs/>
              </w:rPr>
              <w:t xml:space="preserve">Animal</w:t>
            </w:r>
          </w:p>
        </w:tc>
        <w:tc>
          <w:tcPr>
            <w:tcW w:type="dxa" w:w="692"/>
            <w:shd w:fill="D9D9D9" w:val="clear"/>
          </w:tcPr>
          <w:p>
            <w:r>
              <w:rPr>
                <w:b/>
                <w:bCs/>
              </w:rPr>
              <w:t xml:space="preserve">Rat</w:t>
            </w:r>
          </w:p>
        </w:tc>
        <w:tc>
          <w:tcPr>
            <w:tcW w:type="dxa" w:w="692"/>
            <w:shd w:fill="D9D9D9" w:val="clear"/>
          </w:tcPr>
          <w:p>
            <w:r>
              <w:rPr>
                <w:b/>
                <w:bCs/>
              </w:rPr>
              <w:t xml:space="preserve">Ox</w:t>
            </w:r>
          </w:p>
        </w:tc>
        <w:tc>
          <w:tcPr>
            <w:tcW w:type="dxa" w:w="692"/>
            <w:shd w:fill="D9D9D9" w:val="clear"/>
          </w:tcPr>
          <w:p>
            <w:r>
              <w:rPr>
                <w:b/>
                <w:bCs/>
              </w:rPr>
              <w:t xml:space="preserve">Tiger</w:t>
            </w:r>
          </w:p>
        </w:tc>
        <w:tc>
          <w:tcPr>
            <w:tcW w:type="dxa" w:w="692"/>
            <w:shd w:fill="D9D9D9" w:val="clear"/>
          </w:tcPr>
          <w:p>
            <w:r>
              <w:rPr>
                <w:b/>
                <w:bCs/>
              </w:rPr>
              <w:t xml:space="preserve">Rabbit</w:t>
            </w:r>
          </w:p>
        </w:tc>
        <w:tc>
          <w:tcPr>
            <w:tcW w:type="dxa" w:w="692"/>
            <w:shd w:fill="D9D9D9" w:val="clear"/>
          </w:tcPr>
          <w:p>
            <w:r>
              <w:rPr>
                <w:b/>
                <w:bCs/>
              </w:rPr>
              <w:t xml:space="preserve">Dragon</w:t>
            </w:r>
          </w:p>
        </w:tc>
        <w:tc>
          <w:tcPr>
            <w:tcW w:type="dxa" w:w="692"/>
            <w:shd w:fill="D9D9D9" w:val="clear"/>
          </w:tcPr>
          <w:p>
            <w:r>
              <w:rPr>
                <w:b/>
                <w:bCs/>
              </w:rPr>
              <w:t xml:space="preserve">Snake</w:t>
            </w:r>
          </w:p>
        </w:tc>
        <w:tc>
          <w:tcPr>
            <w:tcW w:type="dxa" w:w="692"/>
            <w:shd w:fill="D9D9D9" w:val="clear"/>
          </w:tcPr>
          <w:p>
            <w:r>
              <w:rPr>
                <w:b/>
                <w:bCs/>
              </w:rPr>
              <w:t xml:space="preserve">Horse</w:t>
            </w:r>
          </w:p>
        </w:tc>
        <w:tc>
          <w:tcPr>
            <w:tcW w:type="dxa" w:w="692"/>
            <w:shd w:fill="D9D9D9" w:val="clear"/>
          </w:tcPr>
          <w:p>
            <w:r>
              <w:rPr>
                <w:b/>
                <w:bCs/>
              </w:rPr>
              <w:t xml:space="preserve">Goat</w:t>
            </w:r>
          </w:p>
        </w:tc>
        <w:tc>
          <w:tcPr>
            <w:tcW w:type="dxa" w:w="692"/>
            <w:shd w:fill="D9D9D9" w:val="clear"/>
          </w:tcPr>
          <w:p>
            <w:r>
              <w:rPr>
                <w:b/>
                <w:bCs/>
              </w:rPr>
              <w:t xml:space="preserve">Monkey</w:t>
            </w:r>
          </w:p>
        </w:tc>
        <w:tc>
          <w:tcPr>
            <w:tcW w:type="dxa" w:w="692"/>
            <w:shd w:fill="D9D9D9" w:val="clear"/>
          </w:tcPr>
          <w:p>
            <w:r>
              <w:rPr>
                <w:b/>
                <w:bCs/>
              </w:rPr>
              <w:t xml:space="preserve">Rooster</w:t>
            </w:r>
          </w:p>
        </w:tc>
        <w:tc>
          <w:tcPr>
            <w:tcW w:type="dxa" w:w="692"/>
            <w:shd w:fill="D9D9D9" w:val="clear"/>
          </w:tcPr>
          <w:p>
            <w:r>
              <w:rPr>
                <w:b/>
                <w:bCs/>
              </w:rPr>
              <w:t xml:space="preserve">Dog</w:t>
            </w:r>
          </w:p>
        </w:tc>
        <w:tc>
          <w:tcPr>
            <w:tcW w:type="dxa" w:w="692"/>
            <w:shd w:fill="D9D9D9" w:val="clear"/>
          </w:tcPr>
          <w:p>
            <w:r>
              <w:rPr>
                <w:b/>
                <w:bCs/>
              </w:rPr>
              <w:t xml:space="preserve">Pig</w:t>
            </w:r>
          </w:p>
        </w:tc>
      </w:tr>
      <w:tr>
        <w:tc>
          <w:tcPr>
            <w:tcW w:type="dxa" w:w="692"/>
          </w:tcPr>
          <w:p>
            <w:r>
              <w:t xml:space="preserve">Hours</w:t>
            </w:r>
          </w:p>
        </w:tc>
        <w:tc>
          <w:tcPr>
            <w:tcW w:type="dxa" w:w="692"/>
          </w:tcPr>
          <w:p>
            <w:r>
              <w:t xml:space="preserve">23–1</w:t>
            </w:r>
          </w:p>
        </w:tc>
        <w:tc>
          <w:tcPr>
            <w:tcW w:type="dxa" w:w="692"/>
          </w:tcPr>
          <w:p>
            <w:r>
              <w:t xml:space="preserve">1–3</w:t>
            </w:r>
          </w:p>
        </w:tc>
        <w:tc>
          <w:tcPr>
            <w:tcW w:type="dxa" w:w="692"/>
          </w:tcPr>
          <w:p>
            <w:r>
              <w:t xml:space="preserve">3–5</w:t>
            </w:r>
          </w:p>
        </w:tc>
        <w:tc>
          <w:tcPr>
            <w:tcW w:type="dxa" w:w="692"/>
          </w:tcPr>
          <w:p>
            <w:r>
              <w:t xml:space="preserve">5–7</w:t>
            </w:r>
          </w:p>
        </w:tc>
        <w:tc>
          <w:tcPr>
            <w:tcW w:type="dxa" w:w="692"/>
          </w:tcPr>
          <w:p>
            <w:r>
              <w:t xml:space="preserve">7–9</w:t>
            </w:r>
          </w:p>
        </w:tc>
        <w:tc>
          <w:tcPr>
            <w:tcW w:type="dxa" w:w="692"/>
          </w:tcPr>
          <w:p>
            <w:r>
              <w:t xml:space="preserve">9–11</w:t>
            </w:r>
          </w:p>
        </w:tc>
        <w:tc>
          <w:tcPr>
            <w:tcW w:type="dxa" w:w="692"/>
          </w:tcPr>
          <w:p>
            <w:r>
              <w:t xml:space="preserve">11–13</w:t>
            </w:r>
          </w:p>
        </w:tc>
        <w:tc>
          <w:tcPr>
            <w:tcW w:type="dxa" w:w="692"/>
          </w:tcPr>
          <w:p>
            <w:r>
              <w:t xml:space="preserve">13–15</w:t>
            </w:r>
          </w:p>
        </w:tc>
        <w:tc>
          <w:tcPr>
            <w:tcW w:type="dxa" w:w="692"/>
          </w:tcPr>
          <w:p>
            <w:r>
              <w:t xml:space="preserve">15–17</w:t>
            </w:r>
          </w:p>
        </w:tc>
        <w:tc>
          <w:tcPr>
            <w:tcW w:type="dxa" w:w="692"/>
          </w:tcPr>
          <w:p>
            <w:r>
              <w:t xml:space="preserve">17–19</w:t>
            </w:r>
          </w:p>
        </w:tc>
        <w:tc>
          <w:tcPr>
            <w:tcW w:type="dxa" w:w="692"/>
          </w:tcPr>
          <w:p>
            <w:r>
              <w:t xml:space="preserve">19–21</w:t>
            </w:r>
          </w:p>
        </w:tc>
        <w:tc>
          <w:tcPr>
            <w:tcW w:type="dxa" w:w="692"/>
          </w:tcPr>
          <w:p>
            <w:r>
              <w:t xml:space="preserve">21–23</w:t>
            </w:r>
          </w:p>
        </w:tc>
      </w:tr>
    </w:tbl>
    <w:p>
      <w:pPr>
        <w:spacing w:after="120"/>
      </w:pPr>
      <w:r>
        <w:t xml:space="preserve"/>
      </w:r>
    </w:p>
    <w:p>
      <w:pPr>
        <w:spacing w:after="120"/>
      </w:pPr>
      <w:r>
        <w:t xml:space="preserve">The source then gives brief traditional dos-and-don'ts for each two-hour period — for example, the Rabbit hour is said to be favorable for making dairy products or brewing new wine, and for patching stonework; the Dragon hour, as the sun rises, is considered a time when good fortune naturally arrives; the Snake hour, as the sky turns blue, is considered good for standing up to landlords or checking on rules; the Horse hour, at midday, is considered suitable for reciprocating gifts to repay old friends' kindness; and similar brief notes continue for the Monkey, Rooster, Dog, Pig, Rat, Ox, and Tiger hours (covering things like gift reciprocation, offering incense and reciting prayers, tailoring/sealing tasks, preparing blades or handling restricted matters at night, reviewing rules at midnight, and quiet study or scripture recitation before dawn).</w:t>
      </w:r>
    </w:p>
    <w:p>
      <w:pPr>
        <w:pStyle w:val="Heading1"/>
        <w:spacing w:after="150" w:before="300"/>
      </w:pPr>
      <w:r>
        <w:t xml:space="preserve">20. Do's and Don'ts for Each of the 12 Animal-Days</w:t>
      </w:r>
    </w:p>
    <w:p>
      <w:pPr>
        <w:spacing w:after="120"/>
      </w:pPr>
      <w:r>
        <w:t xml:space="preserve">This is one of the longest sections of the source: a systematic list of traditionally favorable (宜) and unfavorable (忌) activities for each of the 12 zodiac animal-days, in a fairly formulaic almanac style. Recurring categories across the 12 days include: prayer/incense offerings, marriage and betrothal, starting journeys, building or repairing structures, digging wells or irrigation channels, livestock trading, funerals and burials, tailoring/clothing work, lawsuits and debt collection, and starting new ventures/business. Rather than reproduce the full almanac line-by-line for all 12 days, the recurring pattern is summarized here; if you want the complete detailed listing for a specific day (e.g., just the Tiger day or just the Snake day), I'm happy to prepare that in full for you separately.</w:t>
      </w:r>
    </w:p>
    <w:p>
      <w:pPr>
        <w:pStyle w:val="Heading1"/>
        <w:spacing w:after="150" w:before="300"/>
      </w:pPr>
      <w:r>
        <w:t xml:space="preserve">21. Do's and Don'ts by Day of the Lunar Month (初一 through 三十)</w:t>
      </w:r>
    </w:p>
    <w:p>
      <w:pPr>
        <w:spacing w:after="120"/>
      </w:pPr>
      <w:r>
        <w:t xml:space="preserve">Similarly, the source provides day-specific favorable/unfavorable activity guidance for every day of the lunar month, from the 1st (初一) through the 30th (三十), again in traditional almanac style — covering things like travel, construction, marriage, funerals, business dealings, and religious observance. As with Section 20, this is a long formulaic list; I can produce the complete day-by-day version separately if useful, but it's summarized here as a recurring pattern rather than reproduced in full.</w:t>
      </w:r>
    </w:p>
    <w:p>
      <w:pPr>
        <w:pStyle w:val="Heading1"/>
        <w:spacing w:after="150" w:before="300"/>
      </w:pPr>
      <w:r>
        <w:t xml:space="preserve">22. Traditionally Cautious Months and Sheep-Shearing Dates</w:t>
      </w:r>
    </w:p>
    <w:p>
      <w:pPr>
        <w:spacing w:after="120"/>
      </w:pPr>
      <w:r>
        <w:t xml:space="preserve">The source notes that, in Mongolian folk custom, the twelve months of the year — counted starting either from the first lunar month or from the Tiger month — are all traditionally regarded as months calling for extra caution, since undertakings during this period are believed to face more obstacles.</w:t>
      </w:r>
    </w:p>
    <w:p>
      <w:pPr>
        <w:spacing w:after="120"/>
      </w:pPr>
      <w:r>
        <w:t xml:space="preserve">It also gives a specific list of lunar-month days considered auspicious for shearing sheep: the 2nd, 3rd, 4th, 5th, 10th, 13th, 14th, 15th, 16th, 18th, 20th, 22nd, 23rd, 25th, and 26th. All other days are considered less suitable for this task.</w:t>
      </w:r>
    </w:p>
    <w:p>
      <w:pPr>
        <w:pStyle w:val="Heading1"/>
        <w:spacing w:after="150" w:before="300"/>
      </w:pPr>
      <w:r>
        <w:t xml:space="preserve">23. Historical Background on Mongolian Calendrical Science</w:t>
      </w:r>
    </w:p>
    <w:p>
      <w:pPr>
        <w:spacing w:after="120"/>
      </w:pPr>
      <w:r>
        <w:t xml:space="preserve">The closing section of the source gives historical context: it credits a 17th-century Mongolian calendar scholar (given dates 1638–1704) with incorporating Five-Element theory into Mongolian astronomical/calendrical scholarship, in a work said to systematically link human affairs to natural/celestial patterns, including the idea that the Five Elements as applied to astronomy could bring fortune or misfortune to different categories of animals.</w:t>
      </w:r>
    </w:p>
    <w:p>
      <w:pPr>
        <w:spacing w:after="120"/>
      </w:pPr>
      <w:r>
        <w:t xml:space="preserve">This overall system is referred to as the Mongolian calendar (蒙历), described as a body of traditional knowledge tying celestial movement to human and natural affairs, and framed as a distinctively organized, historically significant part of the broader intellectual heritage of Central Asia.</w:t>
      </w:r>
    </w:p>
    <w:p>
      <w:pPr>
        <w:spacing w:after="120"/>
      </w:pPr>
      <w:r>
        <w:t xml:space="preserve">The source is careful to add an editorial caveat: because of the historical conditions in which it developed, the Mongolian calendar contains a good deal of idealist/unscientific thinking, and modern readers are encouraged to view it critically rather than accept it uncritically, unlike people in the past. It closes this section with a Mongolian folk saying (paraphrased): that nothing in nature stays fixed forever — not time, and not green grass.</w:t>
      </w:r>
    </w:p>
    <w:p>
      <w:pPr>
        <w:spacing w:after="120"/>
      </w:pPr>
      <w:r>
        <w:t xml:space="preserve">Finally, the source describes its own compilation process: it states that the material was not edited or altered from the original texts, but was instead gathered from multiple published sources to form a more systematic reference collection for research purposes. It cites material originally published in a magazine called Science and Life, along with material adapted from two named calendrical/religious texts by two named Mongolian scholars, built primarily around a work titled (in translation) 'Mongolian Calendrical Science, or Ancient Mongolian Documents.' It ends with an author's note acknowledging that errors may exist and inviting correction, followed by well-wishes to readers for health and successful endeavors.</w:t>
      </w:r>
    </w:p>
    <w:p>
      <w:pPr>
        <w:pStyle w:val="Heading1"/>
        <w:spacing w:after="150" w:before="300"/>
      </w:pPr>
      <w:r>
        <w:t xml:space="preserve">24. The "Eight Seats" Cosmological System (历法八座)</w:t>
      </w:r>
    </w:p>
    <w:p>
      <w:pPr>
        <w:spacing w:after="120"/>
      </w:pPr>
      <w:r>
        <w:t xml:space="preserve">This system assigns eight symbolic 'seats' or stations — Fire, Earth, Metal/Iron, Sky, Water, Mountain, Tree, and Air/Qi — to the eight compass directions, each said to govern its own quarter. Each seat is also further subdivided into eight of its own sub-positions, labeled: 1) Destiny, 2) Medicine, 3) Fortune, 4) Luck, 5) Misfortune, 6) Ghost/Spirit, 7) Bodily end, and 8) Demon/Spirit-affliction — with the first four generally considered favorable and the last four generally considered unfavorable.</w:t>
      </w:r>
    </w:p>
    <w:p>
      <w:pPr>
        <w:spacing w:after="120"/>
      </w:pPr>
      <w:r>
        <w:t xml:space="preserve">A diagram in the source lays these eight seats out around an octagon, each linked to a pair of zodiac animals and a compass direction (for example, Snake and Horse are linked to the south and the Fire seat).</w:t>
      </w:r>
    </w:p>
    <w:p>
      <w:pPr>
        <w:pStyle w:val="Heading2"/>
        <w:spacing w:after="100" w:before="200"/>
      </w:pPr>
      <w:r>
        <w:t xml:space="preserve">24.1 Seat-to-zodiac-and-direction key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r>
              <w:rPr>
                <w:b/>
                <w:bCs/>
              </w:rPr>
              <w:t xml:space="preserve">Seat / Element</w:t>
            </w:r>
          </w:p>
        </w:tc>
        <w:tc>
          <w:tcPr>
            <w:tcW w:type="dxa" w:w="3000"/>
            <w:shd w:fill="D9D9D9" w:val="clear"/>
          </w:tcPr>
          <w:p>
            <w:r>
              <w:rPr>
                <w:b/>
                <w:bCs/>
              </w:rPr>
              <w:t xml:space="preserve">Zodiac pair</w:t>
            </w:r>
          </w:p>
        </w:tc>
        <w:tc>
          <w:tcPr>
            <w:tcW w:type="dxa" w:w="3000"/>
            <w:shd w:fill="D9D9D9" w:val="clear"/>
          </w:tcPr>
          <w:p>
            <w:r>
              <w:rPr>
                <w:b/>
                <w:bCs/>
              </w:rPr>
              <w:t xml:space="preserve">Direction</w:t>
            </w:r>
          </w:p>
        </w:tc>
      </w:tr>
      <w:tr>
        <w:tc>
          <w:tcPr>
            <w:tcW w:type="dxa" w:w="3000"/>
          </w:tcPr>
          <w:p>
            <w:r>
              <w:t xml:space="preserve">Water</w:t>
            </w:r>
          </w:p>
        </w:tc>
        <w:tc>
          <w:tcPr>
            <w:tcW w:type="dxa" w:w="3000"/>
          </w:tcPr>
          <w:p>
            <w:r>
              <w:t xml:space="preserve">Pig, Rat</w:t>
            </w:r>
          </w:p>
        </w:tc>
        <w:tc>
          <w:tcPr>
            <w:tcW w:type="dxa" w:w="3000"/>
          </w:tcPr>
          <w:p>
            <w:r>
              <w:t xml:space="preserve">North-ish (per diagram)</w:t>
            </w:r>
          </w:p>
        </w:tc>
      </w:tr>
      <w:tr>
        <w:tc>
          <w:tcPr>
            <w:tcW w:type="dxa" w:w="3000"/>
          </w:tcPr>
          <w:p>
            <w:r>
              <w:t xml:space="preserve">Mountain</w:t>
            </w:r>
          </w:p>
        </w:tc>
        <w:tc>
          <w:tcPr>
            <w:tcW w:type="dxa" w:w="3000"/>
          </w:tcPr>
          <w:p>
            <w:r>
              <w:t xml:space="preserve">Ox</w:t>
            </w:r>
          </w:p>
        </w:tc>
        <w:tc>
          <w:tcPr>
            <w:tcW w:type="dxa" w:w="3000"/>
          </w:tcPr>
          <w:p>
            <w:r>
              <w:t xml:space="preserve">—</w:t>
            </w:r>
          </w:p>
        </w:tc>
      </w:tr>
      <w:tr>
        <w:tc>
          <w:tcPr>
            <w:tcW w:type="dxa" w:w="3000"/>
          </w:tcPr>
          <w:p>
            <w:r>
              <w:t xml:space="preserve">Wood</w:t>
            </w:r>
          </w:p>
        </w:tc>
        <w:tc>
          <w:tcPr>
            <w:tcW w:type="dxa" w:w="3000"/>
          </w:tcPr>
          <w:p>
            <w:r>
              <w:t xml:space="preserve">Tiger, Rabbit</w:t>
            </w:r>
          </w:p>
        </w:tc>
        <w:tc>
          <w:tcPr>
            <w:tcW w:type="dxa" w:w="3000"/>
          </w:tcPr>
          <w:p>
            <w:r>
              <w:t xml:space="preserve">—</w:t>
            </w:r>
          </w:p>
        </w:tc>
      </w:tr>
      <w:tr>
        <w:tc>
          <w:tcPr>
            <w:tcW w:type="dxa" w:w="3000"/>
          </w:tcPr>
          <w:p>
            <w:r>
              <w:t xml:space="preserve">Air/Qi</w:t>
            </w:r>
          </w:p>
        </w:tc>
        <w:tc>
          <w:tcPr>
            <w:tcW w:type="dxa" w:w="3000"/>
          </w:tcPr>
          <w:p>
            <w:r>
              <w:t xml:space="preserve">Dragon</w:t>
            </w:r>
          </w:p>
        </w:tc>
        <w:tc>
          <w:tcPr>
            <w:tcW w:type="dxa" w:w="3000"/>
          </w:tcPr>
          <w:p>
            <w:r>
              <w:t xml:space="preserve">—</w:t>
            </w:r>
          </w:p>
        </w:tc>
      </w:tr>
      <w:tr>
        <w:tc>
          <w:tcPr>
            <w:tcW w:type="dxa" w:w="3000"/>
          </w:tcPr>
          <w:p>
            <w:r>
              <w:t xml:space="preserve">Fire</w:t>
            </w:r>
          </w:p>
        </w:tc>
        <w:tc>
          <w:tcPr>
            <w:tcW w:type="dxa" w:w="3000"/>
          </w:tcPr>
          <w:p>
            <w:r>
              <w:t xml:space="preserve">Snake, Horse</w:t>
            </w:r>
          </w:p>
        </w:tc>
        <w:tc>
          <w:tcPr>
            <w:tcW w:type="dxa" w:w="3000"/>
          </w:tcPr>
          <w:p>
            <w:r>
              <w:t xml:space="preserve">South</w:t>
            </w:r>
          </w:p>
        </w:tc>
      </w:tr>
      <w:tr>
        <w:tc>
          <w:tcPr>
            <w:tcW w:type="dxa" w:w="3000"/>
          </w:tcPr>
          <w:p>
            <w:r>
              <w:t xml:space="preserve">Earth</w:t>
            </w:r>
          </w:p>
        </w:tc>
        <w:tc>
          <w:tcPr>
            <w:tcW w:type="dxa" w:w="3000"/>
          </w:tcPr>
          <w:p>
            <w:r>
              <w:t xml:space="preserve">Goat</w:t>
            </w:r>
          </w:p>
        </w:tc>
        <w:tc>
          <w:tcPr>
            <w:tcW w:type="dxa" w:w="3000"/>
          </w:tcPr>
          <w:p>
            <w:r>
              <w:t xml:space="preserve">—</w:t>
            </w:r>
          </w:p>
        </w:tc>
      </w:tr>
      <w:tr>
        <w:tc>
          <w:tcPr>
            <w:tcW w:type="dxa" w:w="3000"/>
          </w:tcPr>
          <w:p>
            <w:r>
              <w:t xml:space="preserve">Sky</w:t>
            </w:r>
          </w:p>
        </w:tc>
        <w:tc>
          <w:tcPr>
            <w:tcW w:type="dxa" w:w="3000"/>
          </w:tcPr>
          <w:p>
            <w:r>
              <w:t xml:space="preserve">Dog</w:t>
            </w:r>
          </w:p>
        </w:tc>
        <w:tc>
          <w:tcPr>
            <w:tcW w:type="dxa" w:w="3000"/>
          </w:tcPr>
          <w:p>
            <w:r>
              <w:t xml:space="preserve">—</w:t>
            </w:r>
          </w:p>
        </w:tc>
      </w:tr>
    </w:tbl>
    <w:p>
      <w:pPr>
        <w:spacing w:after="120"/>
      </w:pPr>
      <w:r>
        <w:t xml:space="preserve"/>
      </w:r>
    </w:p>
    <w:p>
      <w:pPr>
        <w:spacing w:after="120"/>
      </w:pPr>
      <w:r>
        <w:t xml:space="preserve">(The source's own diagram legend states plainly: Pig &amp; Rat → Water; Ox → Mountain; Tiger &amp; Rabbit → Wood; Dragon → Air; Snake &amp; Horse → Fire; Goat → Earth; Dog → Sky.)</w:t>
      </w:r>
    </w:p>
    <w:p>
      <w:pPr>
        <w:pStyle w:val="Heading2"/>
        <w:spacing w:after="100" w:before="200"/>
      </w:pPr>
      <w:r>
        <w:t xml:space="preserve">24.2 Uses of the eight-seat system</w:t>
      </w:r>
    </w:p>
    <w:p>
      <w:pPr>
        <w:spacing w:after="120"/>
      </w:pPr>
      <w:r>
        <w:t xml:space="preserve">The source states that this system, combined with the Five Elements, the 12 zodiac signs, and the 9 'moles' described earlier, is traditionally used to determine a person's age-related fortune and to help people understand themselves and others. It lists a long set of everyday and significant activities that Mongolian herders traditionally consulted this system for before proceeding, including: relocating camp, choosing a campsite, military or hunting expeditions, choosing pastureland, arranging furniture, building livestock pens, medical treatment, branding, digging irrigation channels, animal breeding, moving house, felt-making, catching foals, trimming certain plants, house construction, cutting/sewing clothing, plastering/repairing houses, teaching, trading, haircuts, planting, groundbreaking, repairing damaged items, giving gifts, requesting items, writing, holding meetings, paying visits, weddings, ovoo (cairn) worship ceremonies, funerals, and travel.</w:t>
      </w:r>
    </w:p>
    <w:p>
      <w:pPr>
        <w:pStyle w:val="Heading2"/>
        <w:spacing w:after="100" w:before="200"/>
      </w:pPr>
      <w:r>
        <w:t xml:space="preserve">24.3 Calculating a person's current "seat"</w:t>
      </w:r>
    </w:p>
    <w:p>
      <w:pPr>
        <w:spacing w:after="120"/>
      </w:pPr>
      <w:r>
        <w:t xml:space="preserve">To find which of the eight seats corresponds to a person in the current year: take (current year − birth year) + 1 to get their age (with an extra +1 added on top of that per the source's stated convention), then count around the eight-position wheel — men counting clockwise starting from the Fire position, women counting counter-clockwise starting from the Water position.</w:t>
      </w:r>
    </w:p>
    <w:p>
      <w:pPr>
        <w:spacing w:after="120"/>
      </w:pPr>
      <w:r>
        <w:t xml:space="preserve">Worked example from the source: for someone born in 1958, calculating for 1992 — (1992 − 1958) + 1 = 35. Counting 35 positions clockwise from Fire (for a man) lands on the Iron/Metal seat; counting 35 positions counter-clockwise from Water (for a woman) also lands on Iron/Metal. Either way, the result for that particular count is the Iron/Metal seat.</w:t>
      </w:r>
    </w:p>
    <w:p>
      <w:pPr>
        <w:spacing w:after="120"/>
      </w:pPr>
      <w:r>
        <w:t xml:space="preserve">The source also describes a hand-counting shortcut using the three joints of three fingers (nine joints total) on the left hand, tapping through them in order with the thumb to keep track of the count, illustrated with a diagram.</w:t>
      </w:r>
    </w:p>
    <w:p>
      <w:pPr>
        <w:pStyle w:val="Heading2"/>
        <w:spacing w:after="100" w:before="200"/>
      </w:pPr>
      <w:r>
        <w:t xml:space="preserve">24.4 The 3×3 numeric grid</w:t>
      </w:r>
    </w:p>
    <w:p>
      <w:pPr>
        <w:spacing w:after="120"/>
      </w:pPr>
      <w:r>
        <w:t xml:space="preserve">A supplementary diagram assigns the numbers 1–9 to the eight seats plus a center position, used as a quick-reference grid: 9 = Fire/South, 1 = Water/North, 7 = Iron/West, 3 = Wood/East, 2 = Earth/Southwest, 6 = Sky/Northwest, 8 = Mountain/Northeast, 4 = Air/Southeast (with 5 as the center position). It also notes that for both men and women, each seat corresponds to a specific angular position (10°, 20°, 30°... up to 90°), which can be used with the counting method above to pin down the exact seat for a given age.</w:t>
      </w:r>
    </w:p>
    <w:p>
      <w:pPr>
        <w:pStyle w:val="Heading2"/>
        <w:spacing w:after="100" w:before="200"/>
      </w:pPr>
      <w:r>
        <w:t xml:space="preserve">24.5 Finding the day's "seat" and "mole"</w:t>
      </w:r>
    </w:p>
    <w:p>
      <w:pPr>
        <w:spacing w:after="120"/>
      </w:pPr>
      <w:r>
        <w:t xml:space="preserve">The source states that the 'seat' cycles on an 8-year/8-day rhythm, while the 'mole' cycles on a 9-year/9-day rhythm (tied to the same underlying pattern). It gives a calculation method to find both for any specific date:</w:t>
      </w:r>
    </w:p>
    <w:p>
      <w:pPr>
        <w:pStyle w:val="ListParagraph"/>
        <w:numPr>
          <w:ilvl w:val="0"/>
          <w:numId w:val="1"/>
        </w:numPr>
        <w:spacing w:after="60"/>
      </w:pPr>
      <w:r>
        <w:t xml:space="preserve">1. Add together the lunar year number, the days elapsed in prior months, and the day-of-month, then divide the total by 360 and keep the remainder.</w:t>
      </w:r>
    </w:p>
    <w:p>
      <w:pPr>
        <w:pStyle w:val="ListParagraph"/>
        <w:numPr>
          <w:ilvl w:val="0"/>
          <w:numId w:val="1"/>
        </w:numPr>
        <w:spacing w:after="60"/>
      </w:pPr>
      <w:r>
        <w:t xml:space="preserve">2. Multiply that remainder by 2.</w:t>
      </w:r>
    </w:p>
    <w:p>
      <w:pPr>
        <w:pStyle w:val="ListParagraph"/>
        <w:numPr>
          <w:ilvl w:val="0"/>
          <w:numId w:val="1"/>
        </w:numPr>
        <w:spacing w:after="60"/>
      </w:pPr>
      <w:r>
        <w:t xml:space="preserve">3. Divide the result by 8 (for the seat) and separately by 9 (for the mole), keeping both remainders.</w:t>
      </w:r>
    </w:p>
    <w:p>
      <w:pPr>
        <w:pStyle w:val="ListParagraph"/>
        <w:numPr>
          <w:ilvl w:val="0"/>
          <w:numId w:val="1"/>
        </w:numPr>
        <w:spacing w:after="60"/>
      </w:pPr>
      <w:r>
        <w:t xml:space="preserve">4. Match the two remainders against the reference diagrams (the seat diagram and the numbered-grid diagram) to read off the seat and the mole number.</w:t>
      </w:r>
    </w:p>
    <w:p>
      <w:pPr>
        <w:spacing w:after="120"/>
      </w:pPr>
      <w:r>
        <w:t xml:space="preserve">Worked example from the source (for a Jǐ-Goat lunar year date corresponding to April 10, 1979): the source's reference number for January 1, 1979 is given as 1212. Adding the days elapsed through the given date (31 + 28 + 31 + 10 = 100) gives 1212 + 100 = 1312. Dividing 1312 by 360 gives a remainder of 232. Doubling steps aside, the source's worked arithmetic proceeds as: 232 ÷ 8 = 29 remainder 0, and 232 ÷ 9 = 25 remainder 7. It concludes the seat is Fire/Air (per the source's stated mapping of a zero remainder) and the mole count is seven red moles, with the seat counted clockwise from Fire and the mole cycle likewise following the reference sequence.</w:t>
      </w:r>
    </w:p>
    <w:p>
      <w:pPr>
        <w:pStyle w:val="Heading2"/>
        <w:spacing w:after="100" w:before="200"/>
      </w:pPr>
      <w:r>
        <w:t xml:space="preserve">24.6 The nine mole-number wheels</w:t>
      </w:r>
    </w:p>
    <w:p>
      <w:pPr>
        <w:spacing w:after="120"/>
      </w:pPr>
      <w:r>
        <w:t xml:space="preserve">The source includes nine small 3×3 numeral diagrams, one for each possible 'core' mole number (1 through 9), each showing that core number in the center surrounded by four specific corner numbers — used as a quick lookup wheel once the core mole number for a date or year has been determined. Because these are purely numeric reference diagrams without further explanatory text, they aren't reproduced digit-by-digit here.</w:t>
      </w:r>
    </w:p>
    <w:p>
      <w:pPr>
        <w:pStyle w:val="Heading2"/>
        <w:spacing w:after="100" w:before="200"/>
      </w:pPr>
      <w:r>
        <w:t xml:space="preserve">24.7 Directional guidance based on the eight sub-positions</w:t>
      </w:r>
    </w:p>
    <w:p>
      <w:pPr>
        <w:spacing w:after="120"/>
      </w:pPr>
      <w:r>
        <w:t xml:space="preserve">The source gives brief guidance for each of the eight sub-positions (Destiny, Medicine, Fortune, Luck, Misfortune, Ghost, Bodily-end, and Demon), when that position falls in a particular direction for a given year or purpose:</w:t>
      </w:r>
    </w:p>
    <w:p>
      <w:pPr>
        <w:pStyle w:val="ListParagraph"/>
        <w:numPr>
          <w:ilvl w:val="0"/>
          <w:numId w:val="1"/>
        </w:numPr>
        <w:spacing w:after="60"/>
      </w:pPr>
      <w:r>
        <w:t xml:space="preserve">Destiny direction: favorable for marriage, travel, inviting a lama, or invoking one's guardian spirit (sülde); avoid parties/gatherings or hunting trips.</w:t>
      </w:r>
    </w:p>
    <w:p>
      <w:pPr>
        <w:pStyle w:val="ListParagraph"/>
        <w:numPr>
          <w:ilvl w:val="0"/>
          <w:numId w:val="1"/>
        </w:numPr>
        <w:spacing w:after="60"/>
      </w:pPr>
      <w:r>
        <w:t xml:space="preserve">Medicine direction: good for seeking medical treatment, searching for lost items, healing at natural springs, or gathering materials; no strong prohibitions noted.</w:t>
      </w:r>
    </w:p>
    <w:p>
      <w:pPr>
        <w:pStyle w:val="ListParagraph"/>
        <w:numPr>
          <w:ilvl w:val="0"/>
          <w:numId w:val="1"/>
        </w:numPr>
        <w:spacing w:after="60"/>
      </w:pPr>
      <w:r>
        <w:t xml:space="preserve">Fortune direction: favorable for acquiring property or livestock and for farming; generally beneficial.</w:t>
      </w:r>
    </w:p>
    <w:p>
      <w:pPr>
        <w:pStyle w:val="ListParagraph"/>
        <w:numPr>
          <w:ilvl w:val="0"/>
          <w:numId w:val="1"/>
        </w:numPr>
        <w:spacing w:after="60"/>
      </w:pPr>
      <w:r>
        <w:t xml:space="preserve">Luck direction: good for opening new roads, marriage, or raising a flag/banner; no strong prohibitions noted.</w:t>
      </w:r>
    </w:p>
    <w:p>
      <w:pPr>
        <w:pStyle w:val="ListParagraph"/>
        <w:numPr>
          <w:ilvl w:val="0"/>
          <w:numId w:val="1"/>
        </w:numPr>
        <w:spacing w:after="60"/>
      </w:pPr>
      <w:r>
        <w:t xml:space="preserve">Misfortune direction: unfavorable for marriage or requesting money/property; suitable instead for cleaning out impurities or discarding unclean items.</w:t>
      </w:r>
    </w:p>
    <w:p>
      <w:pPr>
        <w:pStyle w:val="ListParagraph"/>
        <w:numPr>
          <w:ilvl w:val="0"/>
          <w:numId w:val="1"/>
        </w:numPr>
        <w:spacing w:after="60"/>
      </w:pPr>
      <w:r>
        <w:t xml:space="preserve">Ghost direction: unfavorable for seeking medical care or long-distance travel; suitable only for precautionary/avoidance-related matters.</w:t>
      </w:r>
    </w:p>
    <w:p>
      <w:pPr>
        <w:pStyle w:val="ListParagraph"/>
        <w:numPr>
          <w:ilvl w:val="0"/>
          <w:numId w:val="1"/>
        </w:numPr>
        <w:spacing w:after="60"/>
      </w:pPr>
      <w:r>
        <w:t xml:space="preserve">Bodily-end direction: strictly avoid risky or life-endangering activities.</w:t>
      </w:r>
    </w:p>
    <w:p>
      <w:pPr>
        <w:pStyle w:val="ListParagraph"/>
        <w:numPr>
          <w:ilvl w:val="0"/>
          <w:numId w:val="1"/>
        </w:numPr>
        <w:spacing w:after="60"/>
      </w:pPr>
      <w:r>
        <w:t xml:space="preserve">Demon direction: avoid horse-racing/competitive events and avoid purchasing goods.</w:t>
      </w:r>
    </w:p>
    <w:p>
      <w:pPr>
        <w:spacing w:after="120"/>
      </w:pPr>
      <w:r>
        <w:t xml:space="preserve">The source summarizes that the first four of these eight directions are considered auspicious, and the last four inauspicious.</w:t>
      </w:r>
    </w:p>
    <w:p>
      <w:pPr>
        <w:pStyle w:val="Heading2"/>
        <w:spacing w:after="100" w:before="200"/>
      </w:pPr>
      <w:r>
        <w:t xml:space="preserve">24.8 "Opening the lucky path" on New Year's morning</w:t>
      </w:r>
    </w:p>
    <w:p>
      <w:pPr>
        <w:spacing w:after="120"/>
      </w:pPr>
      <w:r>
        <w:t xml:space="preserve">On the morning of the first day of the first lunar month, after sunrise, Mongolian tradition holds that people would set out walking in their personal lucky direction, symbolically "opening a path" to bring good fortune for the coming year.</w:t>
      </w:r>
    </w:p>
    <w:p>
      <w:pPr>
        <w:pStyle w:val="Heading2"/>
        <w:spacing w:after="100" w:before="200"/>
      </w:pPr>
      <w:r>
        <w:t xml:space="preserve">24.9 The "Heavenly Black Dog's Mouth" direction</w:t>
      </w:r>
    </w:p>
    <w:p>
      <w:pPr>
        <w:spacing w:after="120"/>
      </w:pPr>
      <w:r>
        <w:t xml:space="preserve">The source describes a concept called the 'Heavenly Black Dog's Mouth': in whichever direction a given year's governing life-element falls, that direction is considered unlucky for that year, and people are advised to avoid starting auspicious undertakings in that direction. Worked example: in a Horse year, the governing element is Fire, and Fire corresponds to the south — so in a Horse year, the south is the direction to avoid for auspicious activities that year.</w:t>
      </w:r>
    </w:p>
    <w:p>
      <w:pPr>
        <w:pStyle w:val="Heading2"/>
        <w:spacing w:after="100" w:before="200"/>
      </w:pPr>
      <w:r>
        <w:t xml:space="preserve">24.10 Seat-to-element/direction key (repeated in the source)</w:t>
      </w:r>
    </w:p>
    <w:p>
      <w:pPr>
        <w:spacing w:after="120"/>
      </w:pPr>
      <w:r>
        <w:t xml:space="preserve">The source repeats a simplified version of the seat/element/zodiac correspondence toward the end of this section: Pig &amp; Rat → Water; Ox → Mountain; Tiger &amp; Rabbit → Wood; Dragon → Air; Snake &amp; Horse → Fire; Goat → Earth; Dog → Sky.</w:t>
      </w:r>
    </w:p>
    <w:p>
      <w:pPr>
        <w:pStyle w:val="Heading1"/>
        <w:spacing w:after="150" w:before="300"/>
      </w:pPr>
      <w:r>
        <w:t xml:space="preserve">25. The Eight Trigram-Style "Seats": Favorable and Unfavorable Activities</w:t>
      </w:r>
    </w:p>
    <w:p>
      <w:pPr>
        <w:spacing w:after="120"/>
      </w:pPr>
      <w:r>
        <w:t xml:space="preserve">The source closes with guidance tied to each of the eight seats/trigram-like categories (Fire, Earth, Iron, Sky, Water, plus references to Mountain and Wood), listing traditional dos and don'ts for each:</w:t>
      </w:r>
    </w:p>
    <w:p>
      <w:pPr>
        <w:pStyle w:val="Heading2"/>
        <w:spacing w:after="100" w:before="200"/>
      </w:pPr>
      <w:r>
        <w:t xml:space="preserve">Fire seat</w:t>
      </w:r>
    </w:p>
    <w:p>
      <w:pPr>
        <w:spacing w:after="120"/>
      </w:pPr>
      <w:r>
        <w:t xml:space="preserve">Favorable: metalworking-related tasks, wearing ornaments, prayer and charitable acts.</w:t>
      </w:r>
    </w:p>
    <w:p>
      <w:pPr>
        <w:spacing w:after="120"/>
      </w:pPr>
      <w:r>
        <w:t xml:space="preserve">Avoid: mediating disputes, disciplining a daughter-in-law's conduct, matters involving blood/red taboo, and funeral arrangements.</w:t>
      </w:r>
    </w:p>
    <w:p>
      <w:pPr>
        <w:pStyle w:val="Heading2"/>
        <w:spacing w:after="100" w:before="200"/>
      </w:pPr>
      <w:r>
        <w:t xml:space="preserve">Earth seat</w:t>
      </w:r>
    </w:p>
    <w:p>
      <w:pPr>
        <w:spacing w:after="120"/>
      </w:pPr>
      <w:r>
        <w:t xml:space="preserve">Favorable: securing ground stakes, fixing posts in place, traveling east, and resolving broken vows/oaths.</w:t>
      </w:r>
    </w:p>
    <w:p>
      <w:pPr>
        <w:spacing w:after="120"/>
      </w:pPr>
      <w:r>
        <w:t xml:space="preserve">Avoid: laying a house foundation, burying the deceased, bathing/purification, and prayer.</w:t>
      </w:r>
    </w:p>
    <w:p>
      <w:pPr>
        <w:pStyle w:val="Heading2"/>
        <w:spacing w:after="100" w:before="200"/>
      </w:pPr>
      <w:r>
        <w:t xml:space="preserve">Iron/Metal seat</w:t>
      </w:r>
    </w:p>
    <w:p>
      <w:pPr>
        <w:spacing w:after="120"/>
      </w:pPr>
      <w:r>
        <w:t xml:space="preserve">Favorable: cutting wood, traveling east, breaking oaths, warding off bad events, and hunting/foraging for food.</w:t>
      </w:r>
    </w:p>
    <w:p>
      <w:pPr>
        <w:spacing w:after="120"/>
      </w:pPr>
      <w:r>
        <w:t xml:space="preserve">Avoid: teaching a child to walk, and going out.</w:t>
      </w:r>
    </w:p>
    <w:p>
      <w:pPr>
        <w:pStyle w:val="Heading2"/>
        <w:spacing w:after="100" w:before="200"/>
      </w:pPr>
      <w:r>
        <w:t xml:space="preserve">Sky seat</w:t>
      </w:r>
    </w:p>
    <w:p>
      <w:pPr>
        <w:spacing w:after="120"/>
      </w:pPr>
      <w:r>
        <w:t xml:space="preserve">Favorable: guarding the "heavenly gate," praying for blessings, paying respects to elders, and charitable acts.</w:t>
      </w:r>
    </w:p>
    <w:p>
      <w:pPr>
        <w:spacing w:after="120"/>
      </w:pPr>
      <w:r>
        <w:t xml:space="preserve">Avoid: praying for the sick, building temples or shrines, stabilizing a foundation/home, moving house, and trading.</w:t>
      </w:r>
    </w:p>
    <w:p>
      <w:pPr>
        <w:pStyle w:val="Heading2"/>
        <w:spacing w:after="100" w:before="200"/>
      </w:pPr>
      <w:r>
        <w:t xml:space="preserve">Water seat</w:t>
      </w:r>
    </w:p>
    <w:p>
      <w:pPr>
        <w:spacing w:after="120"/>
      </w:pPr>
      <w:r>
        <w:t xml:space="preserve">Favorable: worshipping deities and dragon spirits, general prayer/blessing rituals, and metalworking-related tasks.</w:t>
      </w:r>
    </w:p>
    <w:p>
      <w:pPr>
        <w:spacing w:after="120"/>
      </w:pPr>
      <w:r>
        <w:t xml:space="preserve">Avoid: crossing a large river, resolving a crisis, fishing, taking an oath/vow, digging channels, and confronting enemies.</w:t>
      </w:r>
    </w:p>
    <w:p>
      <w:pPr>
        <w:pStyle w:val="Heading2"/>
        <w:spacing w:after="100" w:before="200"/>
      </w:pPr>
      <w:r>
        <w:t xml:space="preserve">Mountain and Wood notes</w:t>
      </w:r>
    </w:p>
    <w:p>
      <w:pPr>
        <w:spacing w:after="120"/>
      </w:pPr>
      <w:r>
        <w:t xml:space="preserve">The source adds that mountain-valley worship is said to draw in the energy of mountains and rivers; entering a monastic path is linked to understanding Buddhist teaching; and using a 'vajra/diamond' blessing, training livestock, choosing a home site, and building a house are all described as beneficial, while major undertakings, studying, and trade are described as unfavorable in this context. For the Wood category specifically, favorable activities include worshipping the sky, wearing ornaments, planting trees, building fences, and setting up a base/foundation.</w:t>
      </w:r>
    </w:p>
    <w:p>
      <w:pPr>
        <w:pStyle w:val="Heading1"/>
        <w:spacing w:after="150" w:before="300"/>
      </w:pPr>
      <w:r>
        <w:t xml:space="preserve">26. Closing Note on the Nine "Moles" and Astrology</w:t>
      </w:r>
    </w:p>
    <w:p>
      <w:pPr>
        <w:spacing w:after="120"/>
      </w:pPr>
      <w:r>
        <w:t xml:space="preserve">The source's final passage ties the mole-counting system back to astrology in general, describing the nine-mole concept as an abstract, rhythmic idea built on 9-day, 9-month, and 9-year cycles. It lists the nine mole categories by color/number: White (one), Black (two), Blue (three), Green (four), Yellow (five), White (six), Red (seven), White (eight), and Red (nine).</w:t>
      </w:r>
    </w:p>
    <w:p>
      <w:pPr>
        <w:spacing w:before="400"/>
      </w:pPr>
    </w:p>
    <w:p>
      <w:r>
        <w:rPr>
          <w:i/>
          <w:iCs/>
          <w:sz w:val="20"/>
          <w:szCs w:val="20"/>
        </w:rPr>
        <w:t xml:space="preserve">Note: This is a paraphrased, reorganized explainer, not a line-by-line translation. Several long formulaic reference sections (the year-lookup tables in Section 8, the two full annual calendars in Section 9, the 28-mansion table in Section 15, the full animal-day almanac in Section 20, and the full lunar-day almanac in Section 21) were summarized rather than fully reproduced due to their length and repetitive tabular nature. If you'd like any of those sections expanded into their complete, full detail for your site, let me know which ones and I can prepare them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2026-07-26T13:04:43.518Z</dcterms:created>
  <dcterms:modified xsi:type="dcterms:W3CDTF">2026-07-26T13:04:43.532Z</dcterms:modified>
</cp:coreProperties>
</file>

<file path=docProps/custom.xml><?xml version="1.0" encoding="utf-8"?>
<Properties xmlns="http://schemas.openxmlformats.org/officeDocument/2006/custom-properties" xmlns:vt="http://schemas.openxmlformats.org/officeDocument/2006/docPropsVTypes"/>
</file>