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Candidate Submittal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Client: Cadre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Role: AI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Req ID: AABCD-123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Location: Remote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Hiring Manager: Luke Skywalker</w:t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Candidate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Barton Holdridge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Current Title: Fractional AI Engineer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Location: Dallas, TX 75216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Work Authorization: No Sponsorship Required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Total Experience: 10+ years</w:t>
      </w:r>
    </w:p>
    <w:p w:rsidR="00000000" w:rsidDel="00000000" w:rsidP="00000000" w:rsidRDefault="00000000" w:rsidRPr="00000000" w14:paraId="0000000D">
      <w:pPr>
        <w:spacing w:before="240" w:lineRule="auto"/>
        <w:rPr/>
      </w:pPr>
      <w:r w:rsidDel="00000000" w:rsidR="00000000" w:rsidRPr="00000000">
        <w:rPr>
          <w:rtl w:val="0"/>
        </w:rPr>
        <w:t xml:space="preserve">Barton brings deep experience building cloud-native AI and backend systems, including LLM-powered workflows, microservices, and CI/CD automation. His current fractional AI work and enterprise-scale engineering background align well with a hands-on role delivering production AI systems with minimal oversight.</w:t>
      </w:r>
    </w:p>
    <w:p w:rsidR="00000000" w:rsidDel="00000000" w:rsidP="00000000" w:rsidRDefault="00000000" w:rsidRPr="00000000" w14:paraId="0000000E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Barton Holdridge for Cadre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Barton brings 10+ years building and deploying cloud-native AI and backend systems, with direct experience shipping LLM-powered workflows end to end. His background spans distributed microservices, CI/CD automation, and observability, which maps well to an enterprise AI build-and-operate role.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his current Fractional AI Engineer role, he served as the sole technical decision-maker in a 0-to-1 environment and built an AI-powered multi-tenant SaaS platform processing +$100M in insurance claims. He also designed backend APIs, microservices, async workflows, and third-party integrations for AI-driven claims automation.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has hands-on experience with agent orchestration, CI/CD pipeline automation, performance optimization, and reliability tooling. At Amazon AWS, he engineered backend services across 30+ AWS regions and worked in production environments with 99.9%+ availability.</w:t>
      </w:r>
    </w:p>
    <w:p w:rsidR="00000000" w:rsidDel="00000000" w:rsidP="00000000" w:rsidRDefault="00000000" w:rsidRPr="00000000" w14:paraId="00000013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and operated an AI-powered multi-tenant SaaS platform processing +$100M in insurance claims, serving as the sole technical decision-maker in a 0-to-1 environment.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maintained backend APIs, microservices, async workflows, and third-party integrations supporting end-to-end insurance claims automation.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Improved AI workflow success rate to 95% across multi-minute document-processing jobs by implementing durable Temporal orchestration with retries, idempotency, and failure recovery.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Engineered backend services across 30+ AWS regions, supporting 2,500+ hosts at 99.9%+ availability.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account creation time 50% by architecting a CI/CD pipeline managing accounts and permissions across 30+ regions.</w:t>
      </w:r>
    </w:p>
    <w:p w:rsidR="00000000" w:rsidDel="00000000" w:rsidP="00000000" w:rsidRDefault="00000000" w:rsidRPr="00000000" w14:paraId="00000018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— Fractional AI Engineer  (2025 – Present)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Amazon AWS — Software Engineer II  (2022 – 2025)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Lockheed Martin — Senior Software Engineer  (2017 – 2022)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right"/>
      <w:rPr/>
    </w:pPr>
    <w:r w:rsidDel="00000000" w:rsidR="00000000" w:rsidRPr="00000000">
      <w:rPr/>
      <w:drawing>
        <wp:inline distB="0" distT="0" distL="0" distR="0">
          <wp:extent cx="1537855" cy="457200"/>
          <wp:effectExtent b="0" l="0" r="0" t="0"/>
          <wp:docPr descr="company_logo_placeholder" id="1" name="company_logo_placeholder"/>
          <a:graphic>
            <a:graphicData uri="http://schemas.openxmlformats.org/drawingml/2006/picture">
              <pic:pic>
                <pic:nvPicPr>
                  <pic:cNvPr descr="company_logo_placeholder" id="0" name="company_logo_placeholder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7855" cy="457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company_logo_placehol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nbOHhNoUmVhBYOx/vkGu7THmHA==">CgMxLjA4AHIhMTJMejhIZjNOM2Y4RlJPQXBFUHp3NHAwd2F6V2NmYWpE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