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Cadre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AI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AABCD-123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Remote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hands-on AI workflow engineering, backend architecture, and cloud deployment experience that maps well to a client-facing AI Engineer role. His background in orchestration, microservices, CI/CD, and production reliability is especially relevant for enterprise AI delivery on Azure.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Cadre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has direct experience building and operating AI-driven workflows in a 0-to-1 environment, including a multi-tenant SaaS platform processing insurance claims and a document-processing pipeline for +$100M in claims.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profile shows hands-on strength in orchestration, microservices, and CI/CD, with durable Temporal workflows, retries, idempotency, and deployment pipelines already in place.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brings enterprise-scale backend and reliability experience from Amazon AWS, including distributed microservice architectures, production monitoring, incident response, and work across 30+ AWS regions.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operated an AI-powered multi-tenant SaaS platform processing +$100M in insurance claims, serving as the sole technical decision-maker in a 0-to-1 environment.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maintained backend APIs, microservices, async workflows, and third-party integrations supporting end-to-end insurance claims automation.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AI workflow success rate to 95% across multi-minute document-processing jobs by implementing durable Temporal orchestration with retries, idempotency, and failure recovery.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backend services across 30+ AWS regions, supporting 2,500+ hosts at 99.9%+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full-stack software for an $80M ground-based radar contract across the full software lifecycle.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