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REC-ID-123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Austin,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10+ years of backend and cloud-native engineering experience across production systems, with clear strength in distributed microservices, reliability, and infrastructure automation. His AWS and SaaS work aligns closely with the demands of a senior backend role supporting high-scale scheduling and platform services.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HPC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has direct experience building backend services, microservices, and async workflows in production, including systems that supported 99.9%+ availability and 1M+ users.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AWS background maps well to this role’s cloud and infrastructure focus; he worked across 30+ AWS regions, supported 2,500+ hosts, and handled production monitoring and incident follow-up.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also brings strong production engineering habits that fit a senior backend team, including clean and tested code, code reviews, technical design work, CI/CD automation, and observability tooling.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backend services across 30+ AWS regions, supporting 2,500+ hosts at 99.9%+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maintained distributed microservice architectures with fault-tolerant patterns and safeguards for cloud infrastructure provisioning.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Monitored production systems via on-call rotations, investigated incidents, and implemented long-term reliability fixes.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Wrote clean, tested, and maintainable code following team standards; conducted code reviews and pair programming to uphold quality and mentor junior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and implemented an AI-driven document processing pipeline for +$100M in insurance claims.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