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-360" w:right="-360" w:firstLine="0"/>
        <w:jc w:val="center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Jane Smith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-360" w:right="-360" w:firstLine="0"/>
        <w:jc w:val="center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+1 (415) 555-0182  |  jane.smith@email.com  |  San Francisco, CA  |  linkedin.com/in/janesmith</w:t>
      </w:r>
    </w:p>
    <w:p w:rsidR="00000000" w:rsidDel="00000000" w:rsidP="00000000" w:rsidRDefault="00000000" w:rsidRPr="00000000" w14:paraId="00000003">
      <w:pPr>
        <w:spacing w:after="200" w:before="0" w:line="240" w:lineRule="auto"/>
        <w:ind w:left="-360" w:right="-360" w:firstLine="0"/>
        <w:jc w:val="center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Authorized to work in the US without sponsorship</w:t>
      </w:r>
    </w:p>
    <w:p w:rsidR="00000000" w:rsidDel="00000000" w:rsidP="00000000" w:rsidRDefault="00000000" w:rsidRPr="00000000" w14:paraId="00000005">
      <w:pPr>
        <w:spacing w:after="200" w:before="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Strategy and Operations Leader with 15+ years of experience translating executive strategy into structured execution across global professional services and technology firms. Proven track record of establishing governance frameworks, driving cross-functional alignment, and building executive reporting systems to accelerate decisions and deliver measurable business outcomes.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Known for bridging the gap between strategic vision and operational reality — partnering with C-suite leaders to design the operating models, reporting cadences, and governance structures that make strategy stick.</w:t>
      </w:r>
    </w:p>
    <w:p w:rsidR="00000000" w:rsidDel="00000000" w:rsidP="00000000" w:rsidRDefault="00000000" w:rsidRPr="00000000" w14:paraId="0000000A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CAREER HIGHLIGHTS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Improved forecast accuracy 30% by rebuilding revenue forecasting logic, creating a single source of truth for pipeline management across a $2.8B global 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Reduced overtime costs 20% and increased billable utilization 12% by building a real-time Resource Utilization Dashboard that eliminated reactive staffing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Achieved 95% onboarding adoption across 5 regions and cut new-hire ramp time 50% by designing a global operational readiness program with structured change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Increased sales productivity 15% by building a Sales Enablement Playbook adopted by 300+ professionals across a $4.2B North America org.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Identified $500K+ in cost redundancies by orchestrating post-merger integration and consolidating performance reporting across newly merged 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SELECTED EXPERIENCE</w:t>
      </w:r>
    </w:p>
    <w:p w:rsidR="00000000" w:rsidDel="00000000" w:rsidP="00000000" w:rsidRDefault="00000000" w:rsidRPr="00000000" w14:paraId="00000011">
      <w:pPr>
        <w:tabs>
          <w:tab w:val="right" w:leader="none" w:pos="9720"/>
        </w:tabs>
        <w:spacing w:after="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Korn Ferry  </w:t>
        <w:tab/>
        <w:t xml:space="preserve">Jan 2022 – Present</w:t>
      </w:r>
    </w:p>
    <w:p w:rsidR="00000000" w:rsidDel="00000000" w:rsidP="00000000" w:rsidRDefault="00000000" w:rsidRPr="00000000" w14:paraId="00000012">
      <w:pPr>
        <w:spacing w:after="200" w:before="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Manager (Director Level Scope), Strategy &amp; Operations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Responsibilities: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Strategy &amp; Operations lead at a $2.8B global professional services firm, partnering with executives across 200–300 professionals in 5 regions to drive planning and cross-functional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Own the operating cadence including OKR and KPI frameworks, quarterly business reviews, and annual planning cycles, ensuring a single source of truth for company-wide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Partner with Data Science and Engineering teams to translate operational requirements into scalable systems, aligning technical roadmaps with performance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Key Achievements: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Improved forecast accuracy 30% by rebuilding revenue forecasting logic from the ground up, creating a single source of truth for pipeline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Reduced overtime costs 20% and increased billable utilization 12% by building a real-time Resource Utilization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720"/>
        </w:tabs>
        <w:spacing w:after="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Gartner  </w:t>
        <w:tab/>
        <w:t xml:space="preserve">Jan 2021 – Jan 2022</w:t>
      </w:r>
    </w:p>
    <w:p w:rsidR="00000000" w:rsidDel="00000000" w:rsidP="00000000" w:rsidRDefault="00000000" w:rsidRPr="00000000" w14:paraId="00000012">
      <w:pPr>
        <w:spacing w:after="200" w:before="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Manager, Strategy &amp; Operations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Responsibilities: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Served as strategic advisor to senior leadership at a $5.5B global technology firm, managing 10+ growth programs across a $4.2B North America revenue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Designed and enforced operating cadence, SOP governance, and decision frameworks across sales, services, and research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Key Achievements: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Increased sales productivity 15% and account expansion conversion 15% by building a Sales Enablement Playbook with 90% adoption across 300+ professionals.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Identified $500K+ in cost redundancies by orchestrating post-merger integration across newly merged 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720"/>
        </w:tabs>
        <w:spacing w:after="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Korn Ferry  </w:t>
        <w:tab/>
        <w:t xml:space="preserve">Jan 2019 – Jan 2021</w:t>
      </w:r>
    </w:p>
    <w:p w:rsidR="00000000" w:rsidDel="00000000" w:rsidP="00000000" w:rsidRDefault="00000000" w:rsidRPr="00000000" w14:paraId="00000012">
      <w:pPr>
        <w:spacing w:after="200" w:before="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Senior Operations Analyst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Responsibilities: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Delivered strategy and operations support to Director-level leadership, building data, reporting, and workforce analytics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Analyzed business performance and developed financial models supporting annual planning, resource allocation, and organizational priority-setting.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Key Achievements: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Reduced manual reporting effort 30% by automating operational and revenue reporting, freeing leadership capacity for higher-leverage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OTHER EXPERIENCE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Deloitte Consulting — Business Analyst  |  Jun 2016 – Jan 2019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McKinsey &amp; Company — Associate  |  Aug 2014 – May 2016</w:t>
      </w:r>
    </w:p>
    <w:p w:rsidR="00000000" w:rsidDel="00000000" w:rsidP="00000000" w:rsidRDefault="00000000" w:rsidRPr="00000000" w14:paraId="00000027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EDUCATION &amp; CERTIFICATIONS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University of Michigan, Ross School of Business — MBA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Project Management Institute — PMP</w:t>
      </w:r>
    </w:p>
    <w:p w:rsidR="00000000" w:rsidDel="00000000" w:rsidP="00000000" w:rsidRDefault="00000000" w:rsidRPr="00000000" w14:paraId="00000030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KEY SKILLS &amp; TOOLS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Skills: Strategy &amp; Operations, Operating Model Design, OKR &amp; KPI Frameworks, Cross-Functional Alignment, PMO &amp; Governance, Executive Advisory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Tools: Tableau, Anaplan, Salesforce, Looker, Workday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>
        <w:rtl w:val="0"/>
      </w:rPr>
    </w:r>
  </w:p>
  <w:p>
    <w:pPr>
      <w:jc w:val="right"/>
      <w:rPr/>
    </w:pPr>
    <w:r>
      <w:rPr/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align>right</wp:align>
          </wp:positionH>
          <wp:positionV relativeFrom="topMargin">
            <wp:posOffset>0</wp:posOffset>
          </wp:positionV>
          <wp:extent cx="1537855" cy="457200"/>
          <wp:effectExtent l="0" t="0" r="0" b="0"/>
          <wp:wrapNone/>
          <wp:docPr id="101" name="company_logo_placeholder" descr="company_logo_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company_logo_placeholder" descr="company_logo_placeholder"/>
                  <pic:cNvPicPr>
                    <a:picLocks xmlns:a="http://schemas.openxmlformats.org/drawingml/2006/main" noChangeAspect="1" noChangeArrowheads="1"/>
                  </pic:cNvPicPr>
                </pic:nvPicPr>
                <pic:blipFill>
                  <a:blip xmlns:a="http://schemas.openxmlformats.org/drawingml/2006/main" r:embed="rIdLogo1"/>
                  <a:stretch xmlns:a="http://schemas.openxmlformats.org/drawingml/2006/main">
                    <a:fillRect/>
                  </a:stretch>
                </pic:blipFill>
                <pic:spPr bwMode="auto">
                  <a:xfrm xmlns:a="http://schemas.openxmlformats.org/drawingml/2006/main">
                    <a:off x="0" y="0"/>
                    <a:ext cx="1537855" cy="457200"/>
                  </a:xfrm>
                  <a:prstGeom xmlns:a="http://schemas.openxmlformats.org/drawingml/2006/main" prst="rect">
                    <a:avLst/>
                  </a:prstGeom>
                  <a:noFill xmlns:a="http://schemas.openxmlformats.org/drawingml/2006/main"/>
                  <a:ln xmlns:a="http://schemas.openxmlformats.org/drawingml/2006/main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jc w:val="right"/>
      <w:rPr/>
    </w:pPr>
    <w:r>
      <w:rPr/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align>right</wp:align>
          </wp:positionH>
          <wp:positionV relativeFrom="topMargin">
            <wp:posOffset>0</wp:posOffset>
          </wp:positionV>
          <wp:extent cx="1537855" cy="457200"/>
          <wp:effectExtent l="0" t="0" r="0" b="0"/>
          <wp:wrapNone/>
          <wp:docPr id="101" name="company_logo_placeholder" descr="company_logo_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company_logo_placeholder" descr="company_logo_placeholder"/>
                  <pic:cNvPicPr>
                    <a:picLocks xmlns:a="http://schemas.openxmlformats.org/drawingml/2006/main" noChangeAspect="1" noChangeArrowheads="1"/>
                  </pic:cNvPicPr>
                </pic:nvPicPr>
                <pic:blipFill>
                  <a:blip xmlns:a="http://schemas.openxmlformats.org/drawingml/2006/main" r:embed="rIdLogo1"/>
                  <a:stretch xmlns:a="http://schemas.openxmlformats.org/drawingml/2006/main">
                    <a:fillRect/>
                  </a:stretch>
                </pic:blipFill>
                <pic:spPr bwMode="auto">
                  <a:xfrm xmlns:a="http://schemas.openxmlformats.org/drawingml/2006/main">
                    <a:off x="0" y="0"/>
                    <a:ext cx="1537855" cy="457200"/>
                  </a:xfrm>
                  <a:prstGeom xmlns:a="http://schemas.openxmlformats.org/drawingml/2006/main" prst="rect">
                    <a:avLst/>
                  </a:prstGeom>
                  <a:noFill xmlns:a="http://schemas.openxmlformats.org/drawingml/2006/main"/>
                  <a:ln xmlns:a="http://schemas.openxmlformats.org/drawingml/2006/main">
                    <a:noFill/>
                  </a:ln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<Relationships xmlns="http://schemas.openxmlformats.org/package/2006/relationships"><Relationship Id="rIdLogo1" Type="http://schemas.openxmlformats.org/officeDocument/2006/relationships/image" Target="../media/company_logo_placeholder.png"/></Relationships>
</file>

<file path=word/_rels/header2.xml.rels><?xml version="1.0" encoding="UTF-8" standalone="yes"?><Relationships xmlns="http://schemas.openxmlformats.org/package/2006/relationships"><Relationship Id="rIdLogo1" Type="http://schemas.openxmlformats.org/officeDocument/2006/relationships/image" Target="../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5E1mSOvr2t6EnpRWm+U4gkJyyA==">CgMxLjA4AHIhMXA0NHY2Rm0wSDdnVExfSXJkd1h2M3dSZTN4SXJkNnAz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