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Notes: Shelf Photography</w:t>
      </w:r>
    </w:p>
    <w:p>
      <w:r>
        <w:t>Snoopy HQ Journal — demonstration attachment · sample content only</w:t>
      </w:r>
    </w:p>
    <w:p>
      <w:pPr>
        <w:pStyle w:val="Heading1"/>
      </w:pPr>
      <w:r>
        <w:t>Why shelf height</w:t>
      </w:r>
    </w:p>
    <w:p>
      <w:r>
        <w:t>A photograph taken at shelf height shows an object the way a reader meets it. Studio height flatters the item and misleads about scale. For a collection page, honesty about size matters more than flattery, and readers notice the difference immediately even when they cannot name it.</w:t>
      </w:r>
    </w:p>
    <w:p>
      <w:r>
        <w:t>The habit is easy to adopt and hard to reverse. Once a set of frames is shot from above, every later frame has to match it or the gallery looks assembled from two different collections.</w:t>
      </w:r>
    </w:p>
    <w:p>
      <w:pPr>
        <w:pStyle w:val="Heading1"/>
      </w:pPr>
      <w:r>
        <w:t>Setup</w:t>
      </w:r>
    </w:p>
    <w:p>
      <w:pPr>
        <w:pStyle w:val="ListBullet"/>
      </w:pPr>
      <w:r>
        <w:t>One window, no flash. Overcast light is ideal.</w:t>
      </w:r>
    </w:p>
    <w:p>
      <w:pPr>
        <w:pStyle w:val="ListBullet"/>
      </w:pPr>
      <w:r>
        <w:t>A neutral card behind the object, never pure white.</w:t>
      </w:r>
    </w:p>
    <w:p>
      <w:pPr>
        <w:pStyle w:val="ListBullet"/>
      </w:pPr>
      <w:r>
        <w:t>Tripod at the height of the shelf the object lives on.</w:t>
      </w:r>
    </w:p>
    <w:p>
      <w:pPr>
        <w:pStyle w:val="ListBullet"/>
      </w:pPr>
      <w:r>
        <w:t>Two frames per item: the whole object, then the detail that dates it.</w:t>
      </w:r>
    </w:p>
    <w:p>
      <w:pPr>
        <w:pStyle w:val="ListBullet"/>
      </w:pPr>
      <w:r>
        <w:t>Colour reference card in the first frame of every session.</w:t>
      </w:r>
    </w:p>
    <w:p>
      <w:pPr>
        <w:pStyle w:val="Heading1"/>
      </w:pPr>
      <w:r>
        <w:t>Checklist before publishing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Pass condition</w:t>
            </w:r>
          </w:p>
        </w:tc>
      </w:tr>
      <w:tr>
        <w:tc>
          <w:tcPr>
            <w:tcW w:type="dxa" w:w="4320"/>
          </w:tcPr>
          <w:p>
            <w:r>
              <w:t>Focus</w:t>
            </w:r>
          </w:p>
        </w:tc>
        <w:tc>
          <w:tcPr>
            <w:tcW w:type="dxa" w:w="4320"/>
          </w:tcPr>
          <w:p>
            <w:r>
              <w:t>Detail frame sharp at 100%</w:t>
            </w:r>
          </w:p>
        </w:tc>
      </w:tr>
      <w:tr>
        <w:tc>
          <w:tcPr>
            <w:tcW w:type="dxa" w:w="4320"/>
          </w:tcPr>
          <w:p>
            <w:r>
              <w:t>Colour</w:t>
            </w:r>
          </w:p>
        </w:tc>
        <w:tc>
          <w:tcPr>
            <w:tcW w:type="dxa" w:w="4320"/>
          </w:tcPr>
          <w:p>
            <w:r>
              <w:t>Reference card reads neutral grey</w:t>
            </w:r>
          </w:p>
        </w:tc>
      </w:tr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A known object in frame, or dimensions in the caption</w:t>
            </w:r>
          </w:p>
        </w:tc>
      </w:tr>
      <w:tr>
        <w:tc>
          <w:tcPr>
            <w:tcW w:type="dxa" w:w="4320"/>
          </w:tcPr>
          <w:p>
            <w:r>
              <w:t>Caption</w:t>
            </w:r>
          </w:p>
        </w:tc>
        <w:tc>
          <w:tcPr>
            <w:tcW w:type="dxa" w:w="4320"/>
          </w:tcPr>
          <w:p>
            <w:r>
              <w:t>States what, when, and where it sits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Named for the object, not the camera</w:t>
            </w:r>
          </w:p>
        </w:tc>
      </w:tr>
    </w:tbl>
    <w:p>
      <w:r>
        <w:br w:type="page"/>
      </w:r>
    </w:p>
    <w:p>
      <w:pPr>
        <w:pStyle w:val="Heading1"/>
      </w:pPr>
      <w:r>
        <w:t>Working with difficult surfaces</w:t>
      </w:r>
    </w:p>
    <w:p>
      <w:r>
        <w:t>Printed tin throws the light straight back at the lens. Move the light source rather than the object: a card angled into the window softens the highlight without flattening the print. Glazed ceramics behave the same way, though a small aperture recovers more detail than it does on tin.</w:t>
      </w:r>
    </w:p>
    <w:p>
      <w:pPr>
        <w:pStyle w:val="Heading1"/>
      </w:pPr>
      <w:r>
        <w:t>Filing</w:t>
      </w:r>
    </w:p>
    <w:p>
      <w:r>
        <w:t>Drop finished frames into the article package under images/, name them for the object rather than the camera, and let the importer assign identifiers. Never rename a file after import — the identifier, not the filename, is what the article references.</w:t>
      </w:r>
    </w:p>
    <w:p>
      <w:pPr>
        <w:pStyle w:val="Heading1"/>
      </w:pPr>
      <w: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12 March 2026</w:t>
            </w:r>
          </w:p>
        </w:tc>
        <w:tc>
          <w:tcPr>
            <w:tcW w:type="dxa" w:w="2880"/>
          </w:tcPr>
          <w:p>
            <w:r>
              <w:t>First draft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04 May 2026</w:t>
            </w:r>
          </w:p>
        </w:tc>
        <w:tc>
          <w:tcPr>
            <w:tcW w:type="dxa" w:w="2880"/>
          </w:tcPr>
          <w:p>
            <w:r>
              <w:t>Added difficult surfaces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18 July 2026</w:t>
            </w:r>
          </w:p>
        </w:tc>
        <w:tc>
          <w:tcPr>
            <w:tcW w:type="dxa" w:w="2880"/>
          </w:tcPr>
          <w:p>
            <w:r>
              <w:t>Checklist expanded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