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REFERENCE BRIEF</w:t>
      </w:r>
    </w:p>
    <w:p>
      <w:pPr>
        <w:pStyle w:val="Title"/>
      </w:pPr>
      <w:r>
        <w:t>Three steps to eight hours</w:t>
      </w:r>
    </w:p>
    <w:p>
      <w:pPr>
        <w:pStyle w:val="Subtitle"/>
      </w:pPr>
      <w:r>
        <w:t>Melbourne’s 1856 campaign, its achievement and its limits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Article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Three steps to eight hours: Melbourne’s 1856 campaign</w:t>
            </w:r>
          </w:p>
        </w:tc>
      </w:tr>
      <w:tr>
        <w:trPr/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Scope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A compact companion drawn only from the article and its cited sources</w:t>
            </w:r>
          </w:p>
        </w:tc>
      </w:tr>
      <w:tr>
        <w:trPr/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Use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Preview in the browser, download for reference, and follow the source links for fuller context</w:t>
            </w:r>
          </w:p>
        </w:tc>
      </w:tr>
    </w:tbl>
    <w:p>
      <w:pPr>
        <w:pStyle w:val="Heading1"/>
      </w:pPr>
      <w:r>
        <w:t>What happened</w:t>
      </w:r>
    </w:p>
    <w:p>
      <w:r>
        <w:t>On 21 April 1856, Melbourne stonemasons stopped work and marched for an eight-hour day. The action became a landmark in Australian labour history, but the change was neither instant nor universal.</w:t>
      </w:r>
    </w:p>
    <w:p>
      <w:pPr>
        <w:pStyle w:val="Heading1"/>
      </w:pPr>
      <w:r>
        <w:t>The campaign in three steps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80"/>
        <w:gridCol w:w="2520"/>
        <w:gridCol w:w="5760"/>
      </w:tblGrid>
      <w:tr>
        <w:trPr>
          <w:tblHeader w:val="true"/>
        </w:trPr>
        <w:tc>
          <w:tcPr>
            <w:tcW w:type="dxa" w:w="1080"/>
            <w:shd w:fill="1477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520"/>
            <w:shd w:fill="1477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5760"/>
            <w:shd w:fill="1477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What the article records</w:t>
            </w:r>
          </w:p>
        </w:tc>
      </w:tr>
      <w:tr>
        <w:trPr/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E86F51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Set the date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A Queen’s Theatre meeting resolved that building trades would begin eight-hour days on 21 April.</w:t>
            </w:r>
          </w:p>
        </w:tc>
      </w:tr>
      <w:tr>
        <w:trPr/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E86F51"/>
              </w:rPr>
              <w:t>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Walk out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Stonemasons left the University of Melbourne building site and marched towards Parliament House, gathering other workers.</w:t>
            </w:r>
          </w:p>
        </w:tc>
      </w:tr>
      <w:tr>
        <w:trPr/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E86F51"/>
              </w:rPr>
              <w:t>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Keep negotiating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An agreement later gave stonemasons eight-hour days without reducing the pay previously received for ten hours.</w:t>
            </w:r>
          </w:p>
        </w:tc>
      </w:tr>
    </w:tbl>
    <w:p>
      <w:pPr>
        <w:pStyle w:val="Heading1"/>
      </w:pPr>
      <w:r>
        <w:t>The important limitation</w:t>
      </w:r>
    </w:p>
    <w:p>
      <w:r>
        <w:rPr>
          <w:b/>
        </w:rPr>
        <w:t xml:space="preserve">The first victory covered only a minority of workers, mainly in building trades. </w:t>
      </w:r>
      <w:r>
        <w:t>Victoria did not pass an Eight Hours Act until 1916, and a nationwide 40-hour, five-day week was not approved until 1948.</w:t>
      </w:r>
    </w:p>
    <w:p>
      <w:pPr>
        <w:pStyle w:val="Heading1"/>
      </w:pPr>
      <w:r>
        <w:t>Why the idea endured</w:t>
      </w:r>
    </w:p>
    <w:p>
      <w:r>
        <w:t>The campaign expressed a day divided into equal parts: work, recreation and rest. Melbourne’s Eight Hour Monument, at Russell and Victoria streets, still records that “888” principle.</w:t>
      </w:r>
    </w:p>
    <w:p>
      <w:pPr>
        <w:pStyle w:val="Heading1"/>
      </w:pPr>
      <w:r>
        <w:t>Sources from the article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3000"/>
        <w:gridCol w:w="3960"/>
      </w:tblGrid>
      <w:tr>
        <w:trPr>
          <w:tblHeader w:val="true"/>
        </w:trPr>
        <w:tc>
          <w:tcPr>
            <w:tcW w:type="dxa" w:w="2400"/>
            <w:shd w:fill="1477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Organisation</w:t>
            </w:r>
          </w:p>
        </w:tc>
        <w:tc>
          <w:tcPr>
            <w:tcW w:type="dxa" w:w="3000"/>
            <w:shd w:fill="1477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3960"/>
            <w:shd w:fill="1477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National Museum of Australia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Eight-hour day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147799"/>
                <w:sz w:val="17"/>
              </w:rPr>
              <w:t>https://www.nma.gov.au/defining-moments/resources/eight-hour-day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University of Melbourne Archives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Melbourne Eight Hour Day Anniversary Committee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147799"/>
                <w:sz w:val="17"/>
              </w:rPr>
              <w:t>https://archives.library.unimelb.edu.au/nodes/view/58444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State Library Victoria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Moomba and the Eight Hour Monument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147799"/>
                <w:sz w:val="17"/>
              </w:rPr>
              <w:t>https://blogs.slv.vic.gov.au/such-was-life/moomba/</w:t>
            </w:r>
          </w:p>
        </w:tc>
      </w:tr>
    </w:tbl>
    <w:p>
      <w:pPr>
        <w:pStyle w:val="Heading2"/>
      </w:pPr>
      <w:r>
        <w:t>Editorial note</w:t>
      </w:r>
    </w:p>
    <w:p>
      <w:pPr>
        <w:spacing w:before="80" w:after="80"/>
        <w:ind w:left="259" w:right="259"/>
      </w:pPr>
      <w:r>
        <w:rPr>
          <w:i/>
        </w:rPr>
        <w:t>This companion intentionally preserves the article’s qualification: a landmark campaign can be celebrated without pretending its benefits reached everyone at once.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26579"/>
        <w:sz w:val="18"/>
      </w:rPr>
      <w:t>Reading brief · 22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t>SNOOPY HQ JOURNAL  ·  ARTICLE COMPANION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8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77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477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8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265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80"/>
    </w:pPr>
    <w:rPr>
      <w:rFonts w:ascii="Calibri" w:hAnsi="Calibri"/>
      <w:b/>
      <w:color w:val="14779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steps to eight hours: reading brief</dc:title>
  <dc:subject>Companion to the Snoopy HQ Journal article on Melbourne’s 1856 eight-hour day campaign</dc:subject>
  <dc:creator>Snoopy HQ Journal</dc:creator>
  <cp:keywords>Melbourne, eight-hour day, labour history, article companion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