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67f89098c3e54e12" /></Relationships>
</file>

<file path=word/document.xml><?xml version="1.0" encoding="utf-8"?>
<w:document xmlns:r="http://schemas.openxmlformats.org/officeDocument/2006/relationships" xmlns:w="http://schemas.openxmlformats.org/wordprocessingml/2006/main">
  <w:body>
    <w:p>
      <w:pPr>
        <w:spacing w:before="4000"/>
      </w:pPr>
      <w:r/>
    </w:p>
    <w:p>
      <w:pPr>
        <w:spacing w:after="200"/>
        <w:jc w:val="center"/>
      </w:pPr>
      <w:r>
        <w:rPr>
          <w:b/>
          <w:color w:val="1E3A5F"/>
          <w:sz w:val="72"/>
        </w:rPr>
        <w:t>CRYONEX</w:t>
      </w:r>
    </w:p>
    <w:p>
      <w:pPr>
        <w:spacing w:after="400"/>
        <w:jc w:val="center"/>
      </w:pPr>
      <w:r>
        <w:rPr>
          <w:color w:val="3D7CB5"/>
          <w:sz w:val="32"/>
        </w:rPr>
        <w:t>Brand &amp; Product Audit Report</w:t>
      </w:r>
    </w:p>
    <w:p>
      <w:pPr>
        <w:spacing w:after="600"/>
        <w:jc w:val="center"/>
      </w:pPr>
      <w:r>
        <w:rPr>
          <w:color w:val="4A90D9"/>
          <w:sz w:val="28"/>
        </w:rPr>
        <w:t>—————  ✦  —————</w:t>
      </w:r>
    </w:p>
    <w:p>
      <w:pPr>
        <w:spacing w:after="200"/>
        <w:jc w:val="center"/>
      </w:pPr>
      <w:r>
        <w:rPr>
          <w:color w:val="4a4a6a"/>
          <w:sz w:val="24"/>
        </w:rPr>
        <w:t>Deep-dive analysis of branding, product-market fit,</w:t>
      </w:r>
    </w:p>
    <w:p>
      <w:pPr>
        <w:spacing w:after="2000"/>
        <w:jc w:val="center"/>
      </w:pPr>
      <w:r>
        <w:rPr>
          <w:color w:val="4a4a6a"/>
          <w:sz w:val="24"/>
        </w:rPr>
        <w:t>and technical UX logic for school-first launch</w:t>
      </w:r>
    </w:p>
    <w:p>
      <w:pPr>
        <w:spacing w:after="120"/>
        <w:jc w:val="center"/>
      </w:pPr>
      <w:r>
        <w:rPr>
          <w:color w:val="8a8a9a"/>
          <w:sz w:val="20"/>
        </w:rPr>
        <w:t>Target: School-First Launch</w:t>
      </w:r>
    </w:p>
    <w:p>
      <w:pPr>
        <w:jc w:val="center"/>
      </w:pPr>
      <w:r>
        <w:rPr>
          <w:color w:val="8a8a9a"/>
          <w:sz w:val="20"/>
        </w:rPr>
        <w:t>Date: January 2025</w:t>
      </w:r>
    </w:p>
    <w:p>
      <w:pPr>
        <w:sectPr>
          <w:type w:val="nextPage"/>
          <w:pgSz w:w="11906" w:h="16838"/>
          <w:pgMar w:top="1440" w:right="1440" w:bottom="1440" w:left="1440" w:header="720" w:footer="720"/>
        </w:sectPr>
      </w:pPr>
    </w:p>
    <w:p>
      <w:pPr>
        <w:pStyle w:val="Heading1"/>
      </w:pPr>
      <w:bookmarkStart w:name="_Toc000" w:id="0"/>
      <w:r>
        <w:t>Table of Contents</w:t>
      </w:r>
      <w:bookmarkEnd w:id="0"/>
    </w:p>
    <w:p>
      <w:pPr>
        <w:spacing w:after="300"/>
      </w:pPr>
      <w:r>
        <w:rPr>
          <w:color w:val="8a8a9a"/>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Part 1: Auto-Scale UX Audit</w:t>
      </w:r>
      <w:r>
        <w:tab/>
      </w:r>
      <w:r>
        <w:t>4</w:t>
      </w:r>
    </w:p>
    <w:p>
      <w:pPr>
        <w:pStyle w:val="TOC2"/>
      </w:pPr>
      <w:r>
        <w:t>Transition Logic Analysis</w:t>
      </w:r>
      <w:r>
        <w:tab/>
      </w:r>
      <w:r>
        <w:t>4</w:t>
      </w:r>
    </w:p>
    <w:p>
      <w:pPr>
        <w:pStyle w:val="TOC2"/>
      </w:pPr>
      <w:r>
        <w:t>Manual Override Assessment</w:t>
      </w:r>
      <w:r>
        <w:tab/>
      </w:r>
      <w:r>
        <w:t>5</w:t>
      </w:r>
    </w:p>
    <w:p>
      <w:pPr>
        <w:pStyle w:val="TOC2"/>
      </w:pPr>
      <w:r>
        <w:t>Lite Mode Premium Branding</w:t>
      </w:r>
      <w:r>
        <w:tab/>
      </w:r>
      <w:r>
        <w:t>6</w:t>
      </w:r>
    </w:p>
    <w:p>
      <w:pPr>
        <w:pStyle w:val="TOC1"/>
      </w:pPr>
      <w:r>
        <w:t>Part 2: Brand &amp; Identity Review</w:t>
      </w:r>
      <w:r>
        <w:tab/>
      </w:r>
      <w:r>
        <w:t>7</w:t>
      </w:r>
    </w:p>
    <w:p>
      <w:pPr>
        <w:pStyle w:val="TOC2"/>
      </w:pPr>
      <w:r>
        <w:t>Liquid Glass Aesthetic Evaluation</w:t>
      </w:r>
      <w:r>
        <w:tab/>
      </w:r>
      <w:r>
        <w:t>7</w:t>
      </w:r>
    </w:p>
    <w:p>
      <w:pPr>
        <w:pStyle w:val="TOC2"/>
      </w:pPr>
      <w:r>
        <w:t>Feature Hook Analysis</w:t>
      </w:r>
      <w:r>
        <w:tab/>
      </w:r>
      <w:r>
        <w:t>8</w:t>
      </w:r>
    </w:p>
    <w:p>
      <w:pPr>
        <w:pStyle w:val="TOC1"/>
      </w:pPr>
      <w:r>
        <w:t>Part 3: GTM Strategy for School Launch</w:t>
      </w:r>
      <w:r>
        <w:tab/>
      </w:r>
      <w:r>
        <w:t>9</w:t>
      </w:r>
    </w:p>
    <w:p>
      <w:pPr>
        <w:pStyle w:val="TOC2"/>
      </w:pPr>
      <w:r>
        <w:t>Viral Mechanic Recommendations</w:t>
      </w:r>
      <w:r>
        <w:tab/>
      </w:r>
      <w:r>
        <w:t>9</w:t>
      </w:r>
    </w:p>
    <w:p>
      <w:pPr>
        <w:pStyle w:val="TOC2"/>
      </w:pPr>
      <w:r>
        <w:t>Value Gap Analysis</w:t>
      </w:r>
      <w:r>
        <w:tab/>
      </w:r>
      <w:r>
        <w:t>10</w:t>
      </w:r>
    </w:p>
    <w:p>
      <w:pPr>
        <w:pStyle w:val="TOC1"/>
      </w:pPr>
      <w:r>
        <w:t>5 Actionable Power Moves</w:t>
      </w:r>
      <w:r>
        <w:tab/>
      </w:r>
      <w:r>
        <w:t>11</w:t>
      </w:r>
    </w:p>
    <w:p>
      <w:r>
        <w:fldChar w:fldCharType="end"/>
      </w:r>
    </w:p>
    <w:p>
      <w:pPr>
        <w:sectPr>
          <w:type w:val="nextPage"/>
          <w:pgSz w:w="11906" w:h="16838"/>
          <w:pgMar w:top="1440" w:right="1440" w:bottom="1440" w:left="1440" w:header="720" w:footer="720"/>
        </w:sectPr>
      </w:pPr>
    </w:p>
    <w:p>
      <w:pPr>
        <w:pStyle w:val="Heading1"/>
      </w:pPr>
      <w:bookmarkStart w:name="_Toc001" w:id="001"/>
      <w:r>
        <w:t>Executive Summary</w:t>
      </w:r>
      <w:bookmarkEnd w:id="001"/>
    </w:p>
    <w:p>
      <w:r>
        <w:t>This audit provides a comprehensive analysis of Cryonex (The Student OS), examining the Auto-Scale Optimizer UX, "Liquid Glass" brand identity, and Go-To-Market strategy for a school-first launch. The analysis is based on hands-on testing of the platform in both Lite and Full modes.</w:t>
      </w:r>
    </w:p>
    <w:p>
      <w:pPr>
        <w:pStyle w:val="Heading2"/>
      </w:pPr>
      <w:r>
        <w:t>Key Findings Overview</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3000"/>
        <w:gridCol w:w="7000"/>
      </w:tblGrid>
      <w:tr>
        <w:trPr>
          <w:tblHeader/>
          <w:trHeight w:val="400" w:hRule="atLeast"/>
        </w:trPr>
        <w:tc>
          <w:tcPr>
            <w:tcW w:w="0" w:type="auto"/>
            <w:tcBorders>
              <w:bottom w:val="single" w:color="1E3A5F" w:sz="6"/>
            </w:tcBorders>
            <w:shd w:val="clear" w:fill="f5f7fa"/>
            <w:vAlign w:val="center"/>
          </w:tcPr>
          <w:p>
            <w:pPr>
              <w:spacing w:before="0" w:after="0"/>
              <w:jc w:val="left"/>
            </w:pPr>
            <w:r>
              <w:rPr>
                <w:b/>
                <w:color w:val="1a1a2e"/>
                <w:sz w:val="21"/>
              </w:rPr>
              <w:t>Area</w:t>
            </w:r>
          </w:p>
        </w:tc>
        <w:tc>
          <w:tcPr>
            <w:tcW w:w="0" w:type="auto"/>
            <w:tcBorders>
              <w:bottom w:val="single" w:color="1E3A5F" w:sz="6"/>
            </w:tcBorders>
            <w:shd w:val="clear" w:fill="f5f7fa"/>
            <w:vAlign w:val="center"/>
          </w:tcPr>
          <w:p>
            <w:pPr>
              <w:spacing w:before="0" w:after="0"/>
              <w:jc w:val="left"/>
            </w:pPr>
            <w:r>
              <w:rPr>
                <w:b/>
                <w:color w:val="1a1a2e"/>
                <w:sz w:val="21"/>
              </w:rPr>
              <w:t>Finding</w:t>
            </w:r>
          </w:p>
        </w:tc>
      </w:tr>
      <w:tr>
        <w:trPr>
          <w:trHeight w:val="360" w:hRule="atLeast"/>
        </w:trPr>
        <w:tc>
          <w:tcPr>
            <w:tcW w:w="0" w:type="auto"/>
            <w:vAlign w:val="center"/>
          </w:tcPr>
          <w:p>
            <w:pPr>
              <w:spacing w:before="0" w:after="0"/>
              <w:jc w:val="left"/>
            </w:pPr>
            <w:r>
              <w:rPr>
                <w:color w:val="1a1a2e"/>
                <w:sz w:val="21"/>
              </w:rPr>
              <w:t>Auto-Scale UX</w:t>
            </w:r>
          </w:p>
        </w:tc>
        <w:tc>
          <w:tcPr>
            <w:tcW w:w="0" w:type="auto"/>
            <w:vAlign w:val="center"/>
          </w:tcPr>
          <w:p>
            <w:pPr>
              <w:spacing w:before="0" w:after="0"/>
              <w:jc w:val="left"/>
            </w:pPr>
            <w:r>
              <w:rPr>
                <w:color w:val="1a1a2e"/>
                <w:sz w:val="21"/>
              </w:rPr>
              <w:t>Well-designed detection logic; Manual override provides adequate agency</w:t>
            </w:r>
          </w:p>
        </w:tc>
      </w:tr>
      <w:tr>
        <w:trPr>
          <w:trHeight w:val="360" w:hRule="atLeast"/>
        </w:trPr>
        <w:tc>
          <w:tcPr>
            <w:tcW w:w="0" w:type="auto"/>
            <w:vAlign w:val="center"/>
          </w:tcPr>
          <w:p>
            <w:pPr>
              <w:spacing w:before="0" w:after="0"/>
              <w:jc w:val="left"/>
            </w:pPr>
            <w:r>
              <w:rPr>
                <w:color w:val="1a1a2e"/>
                <w:sz w:val="21"/>
              </w:rPr>
              <w:t>Brand Identity</w:t>
            </w:r>
          </w:p>
        </w:tc>
        <w:tc>
          <w:tcPr>
            <w:tcW w:w="0" w:type="auto"/>
            <w:vAlign w:val="center"/>
          </w:tcPr>
          <w:p>
            <w:pPr>
              <w:spacing w:before="0" w:after="0"/>
              <w:jc w:val="left"/>
            </w:pPr>
            <w:r>
              <w:rPr>
                <w:color w:val="1a1a2e"/>
                <w:sz w:val="21"/>
              </w:rPr>
              <w:t>Liquid Glass is distinctive but may cause aesthetic fatigue</w:t>
            </w:r>
          </w:p>
        </w:tc>
      </w:tr>
      <w:tr>
        <w:trPr>
          <w:trHeight w:val="360" w:hRule="atLeast"/>
        </w:trPr>
        <w:tc>
          <w:tcPr>
            <w:tcW w:w="0" w:type="auto"/>
            <w:vAlign w:val="center"/>
          </w:tcPr>
          <w:p>
            <w:pPr>
              <w:spacing w:before="0" w:after="0"/>
              <w:jc w:val="left"/>
            </w:pPr>
            <w:r>
              <w:rPr>
                <w:color w:val="1a1a2e"/>
                <w:sz w:val="21"/>
              </w:rPr>
              <w:t>Feature Hooks</w:t>
            </w:r>
          </w:p>
        </w:tc>
        <w:tc>
          <w:tcPr>
            <w:tcW w:w="0" w:type="auto"/>
            <w:vAlign w:val="center"/>
          </w:tcPr>
          <w:p>
            <w:pPr>
              <w:spacing w:before="0" w:after="0"/>
              <w:jc w:val="left"/>
            </w:pPr>
            <w:r>
              <w:rPr>
                <w:color w:val="1a1a2e"/>
                <w:sz w:val="21"/>
              </w:rPr>
              <w:t>PDF-to-Podcast is strongest conversion driver</w:t>
            </w:r>
          </w:p>
        </w:tc>
      </w:tr>
      <w:tr>
        <w:trPr>
          <w:trHeight w:val="360" w:hRule="atLeast"/>
        </w:trPr>
        <w:tc>
          <w:tcPr>
            <w:tcW w:w="0" w:type="auto"/>
            <w:vAlign w:val="center"/>
          </w:tcPr>
          <w:p>
            <w:pPr>
              <w:spacing w:before="0" w:after="0"/>
              <w:jc w:val="left"/>
            </w:pPr>
            <w:r>
              <w:rPr>
                <w:color w:val="1a1a2e"/>
                <w:sz w:val="21"/>
              </w:rPr>
              <w:t>GTM Strategy</w:t>
            </w:r>
          </w:p>
        </w:tc>
        <w:tc>
          <w:tcPr>
            <w:tcW w:w="0" w:type="auto"/>
            <w:vAlign w:val="center"/>
          </w:tcPr>
          <w:p>
            <w:pPr>
              <w:spacing w:before="0" w:after="0"/>
              <w:jc w:val="left"/>
            </w:pPr>
            <w:r>
              <w:rPr>
                <w:color w:val="1a1a2e"/>
                <w:sz w:val="21"/>
              </w:rPr>
              <w:t>Strong opportunity for viral mechanics via Full Mode status signaling</w:t>
            </w:r>
          </w:p>
        </w:tc>
      </w:tr>
      <w:tr>
        <w:trPr>
          <w:trHeight w:val="360" w:hRule="atLeast"/>
        </w:trPr>
        <w:tc>
          <w:tcPr>
            <w:tcW w:w="0" w:type="auto"/>
            <w:vAlign w:val="center"/>
          </w:tcPr>
          <w:p>
            <w:pPr>
              <w:spacing w:before="0" w:after="0"/>
              <w:jc w:val="left"/>
            </w:pPr>
            <w:r>
              <w:rPr>
                <w:color w:val="1a1a2e"/>
                <w:sz w:val="21"/>
              </w:rPr>
              <w:t>Value Gaps</w:t>
            </w:r>
          </w:p>
        </w:tc>
        <w:tc>
          <w:tcPr>
            <w:tcW w:w="0" w:type="auto"/>
            <w:vAlign w:val="center"/>
          </w:tcPr>
          <w:p>
            <w:pPr>
              <w:spacing w:before="0" w:after="0"/>
              <w:jc w:val="left"/>
            </w:pPr>
            <w:r>
              <w:rPr>
                <w:color w:val="1a1a2e"/>
                <w:sz w:val="21"/>
              </w:rPr>
              <w:t>Landing page needs clearer student-specific use cases</w:t>
            </w:r>
          </w:p>
        </w:tc>
      </w:tr>
    </w:tbl>
    <w:p>
      <w:pPr>
        <w:pStyle w:val="Heading2"/>
      </w:pPr>
      <w:r>
        <w:t>Overall Assessment</w:t>
      </w:r>
    </w:p>
    <w:p>
      <w:r>
        <w:t>Cryonex demonstrates strong technical execution with its Auto-Scale Optimizer and presents a visually distinctive brand through the Liquid Glass aesthetic. However, significant opportunities exist to strengthen the value proposition messaging and implement viral mechanics specifically tailored for campus environments. The product is positioned for success but requires strategic refinements before the school launch.</w:t>
      </w:r>
    </w:p>
    <w:p>
      <w:pPr>
        <w:sectPr>
          <w:headerReference w:type="default" r:id="Redcbe0f4b7274d5d"/>
          <w:footerReference w:type="default" r:id="R9cceecd81c834a32"/>
          <w:type w:val="nextPage"/>
          <w:pgSz w:w="11906" w:h="16838"/>
          <w:pgMar w:top="1440" w:right="1440" w:bottom="1440" w:left="1440" w:header="720" w:footer="720"/>
        </w:sectPr>
      </w:pPr>
    </w:p>
    <w:p>
      <w:pPr>
        <w:pStyle w:val="Heading1"/>
      </w:pPr>
      <w:bookmarkStart w:name="_Toc002" w:id="002"/>
      <w:r>
        <w:t>Part 1: Auto-Scale UX Audit</w:t>
      </w:r>
      <w:bookmarkEnd w:id="002"/>
    </w:p>
    <w:p>
      <w:r>
        <w:t>The Auto-Scale Optimizer (powered by Llama 3.2 1B) represents a sophisticated approach to performance management, benchmarking GPU/FPS in real-time to determine visual quality presets. This audit evaluates the transition logic, user agency, and branding implications.</w:t>
      </w:r>
    </w:p>
    <w:p>
      <w:pPr>
        <w:pStyle w:val="Heading2"/>
      </w:pPr>
      <w:r>
        <w:t>Transition Logic Analysis</w:t>
      </w:r>
    </w:p>
    <w:p>
      <w:pPr>
        <w:spacing w:before="100"/>
      </w:pPr>
      <w:r>
        <w:rPr>
          <w:b/>
          <w:color w:val="2E8B57"/>
        </w:rPr>
        <w:t>STRENGTH: </w:t>
      </w:r>
      <w:r>
        <w:t>The automatic benchmark-on-open system is well-designed. The detection correctly identified low-end hardware and defaulted to "Lite Mode," ensuring accessibility across device tiers. The logic flow (Auto -&gt; Suggests Balanced if FPS dips -&gt; User decision) provides a sensible progression.</w:t>
      </w:r>
    </w:p>
    <w:p>
      <w:pPr>
        <w:spacing w:before="100"/>
      </w:pPr>
      <w:r>
        <w:rPr>
          <w:b/>
          <w:color w:val="D97706"/>
        </w:rPr>
        <w:t>OPPORTUNITY: </w:t>
      </w:r>
      <w:r>
        <w:t>The "Measured FPS: Not tested" status in settings suggests the benchmark may not run automatically on all devices. Consider implementing a mandatory, visible benchmark on first launch with clear feedback (e.g., "Testing your device performance...") to establish trust in the auto-detection.</w:t>
      </w:r>
    </w:p>
    <w:p>
      <w:pPr>
        <w:pStyle w:val="Heading2"/>
      </w:pPr>
      <w:r>
        <w:t>Manual Override Assessment</w:t>
      </w:r>
    </w:p>
    <w:p>
      <w:r>
        <w:t>The Manual Override is accessed via Settings &gt; Appearance &gt; Performance Mode, offering five presets: Auto, Full, Balanced, and Lite.</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500"/>
        <w:gridCol w:w="3500"/>
        <w:gridCol w:w="4000"/>
      </w:tblGrid>
      <w:tr>
        <w:trPr>
          <w:tblHeader/>
          <w:trHeight w:val="400" w:hRule="atLeast"/>
        </w:trPr>
        <w:tc>
          <w:tcPr>
            <w:tcW w:w="0" w:type="auto"/>
            <w:tcBorders>
              <w:bottom w:val="single" w:color="1E3A5F" w:sz="6"/>
            </w:tcBorders>
            <w:shd w:val="clear" w:fill="f5f7fa"/>
            <w:vAlign w:val="center"/>
          </w:tcPr>
          <w:p>
            <w:pPr>
              <w:spacing w:before="0" w:after="0"/>
              <w:jc w:val="left"/>
            </w:pPr>
            <w:r>
              <w:rPr>
                <w:b/>
                <w:color w:val="1a1a2e"/>
                <w:sz w:val="21"/>
              </w:rPr>
              <w:t>Aspect</w:t>
            </w:r>
          </w:p>
        </w:tc>
        <w:tc>
          <w:tcPr>
            <w:tcW w:w="0" w:type="auto"/>
            <w:tcBorders>
              <w:bottom w:val="single" w:color="1E3A5F" w:sz="6"/>
            </w:tcBorders>
            <w:shd w:val="clear" w:fill="f5f7fa"/>
            <w:vAlign w:val="center"/>
          </w:tcPr>
          <w:p>
            <w:pPr>
              <w:spacing w:before="0" w:after="0"/>
              <w:jc w:val="left"/>
            </w:pPr>
            <w:r>
              <w:rPr>
                <w:b/>
                <w:color w:val="1a1a2e"/>
                <w:sz w:val="21"/>
              </w:rPr>
              <w:t>Current State</w:t>
            </w:r>
          </w:p>
        </w:tc>
        <w:tc>
          <w:tcPr>
            <w:tcW w:w="0" w:type="auto"/>
            <w:tcBorders>
              <w:bottom w:val="single" w:color="1E3A5F" w:sz="6"/>
            </w:tcBorders>
            <w:shd w:val="clear" w:fill="f5f7fa"/>
            <w:vAlign w:val="center"/>
          </w:tcPr>
          <w:p>
            <w:pPr>
              <w:spacing w:before="0" w:after="0"/>
              <w:jc w:val="left"/>
            </w:pPr>
            <w:r>
              <w:rPr>
                <w:b/>
                <w:color w:val="1a1a2e"/>
                <w:sz w:val="21"/>
              </w:rPr>
              <w:t>Assessment</w:t>
            </w:r>
          </w:p>
        </w:tc>
      </w:tr>
      <w:tr>
        <w:trPr>
          <w:trHeight w:val="360" w:hRule="atLeast"/>
        </w:trPr>
        <w:tc>
          <w:tcPr>
            <w:tcW w:w="0" w:type="auto"/>
            <w:vAlign w:val="center"/>
          </w:tcPr>
          <w:p>
            <w:pPr>
              <w:spacing w:before="0" w:after="0"/>
              <w:jc w:val="left"/>
            </w:pPr>
            <w:r>
              <w:rPr>
                <w:color w:val="1a1a2e"/>
                <w:sz w:val="21"/>
              </w:rPr>
              <w:t>Accessibility</w:t>
            </w:r>
          </w:p>
        </w:tc>
        <w:tc>
          <w:tcPr>
            <w:tcW w:w="0" w:type="auto"/>
            <w:vAlign w:val="center"/>
          </w:tcPr>
          <w:p>
            <w:pPr>
              <w:spacing w:before="0" w:after="0"/>
              <w:jc w:val="left"/>
            </w:pPr>
            <w:r>
              <w:rPr>
                <w:color w:val="1a1a2e"/>
                <w:sz w:val="21"/>
              </w:rPr>
              <w:t>Settings &gt; Appearance &gt; Performance Mode</w:t>
            </w:r>
          </w:p>
        </w:tc>
        <w:tc>
          <w:tcPr>
            <w:tcW w:w="0" w:type="auto"/>
            <w:vAlign w:val="center"/>
          </w:tcPr>
          <w:p>
            <w:pPr>
              <w:spacing w:before="0" w:after="0"/>
              <w:jc w:val="left"/>
            </w:pPr>
            <w:r>
              <w:rPr>
                <w:color w:val="1a1a2e"/>
                <w:sz w:val="21"/>
              </w:rPr>
              <w:t>Hidden 2 levels deep</w:t>
            </w:r>
          </w:p>
        </w:tc>
      </w:tr>
      <w:tr>
        <w:trPr>
          <w:trHeight w:val="360" w:hRule="atLeast"/>
        </w:trPr>
        <w:tc>
          <w:tcPr>
            <w:tcW w:w="0" w:type="auto"/>
            <w:vAlign w:val="center"/>
          </w:tcPr>
          <w:p>
            <w:pPr>
              <w:spacing w:before="0" w:after="0"/>
              <w:jc w:val="left"/>
            </w:pPr>
            <w:r>
              <w:rPr>
                <w:color w:val="1a1a2e"/>
                <w:sz w:val="21"/>
              </w:rPr>
              <w:t>Options</w:t>
            </w:r>
          </w:p>
        </w:tc>
        <w:tc>
          <w:tcPr>
            <w:tcW w:w="0" w:type="auto"/>
            <w:vAlign w:val="center"/>
          </w:tcPr>
          <w:p>
            <w:pPr>
              <w:spacing w:before="0" w:after="0"/>
              <w:jc w:val="left"/>
            </w:pPr>
            <w:r>
              <w:rPr>
                <w:color w:val="1a1a2e"/>
                <w:sz w:val="21"/>
              </w:rPr>
              <w:t>Auto, Full, Balanced, Lite</w:t>
            </w:r>
          </w:p>
        </w:tc>
        <w:tc>
          <w:tcPr>
            <w:tcW w:w="0" w:type="auto"/>
            <w:vAlign w:val="center"/>
          </w:tcPr>
          <w:p>
            <w:pPr>
              <w:spacing w:before="0" w:after="0"/>
              <w:jc w:val="left"/>
            </w:pPr>
            <w:r>
              <w:rPr>
                <w:color w:val="1a1a2e"/>
                <w:sz w:val="21"/>
              </w:rPr>
              <w:t>Comprehensive range</w:t>
            </w:r>
          </w:p>
        </w:tc>
      </w:tr>
      <w:tr>
        <w:trPr>
          <w:trHeight w:val="360" w:hRule="atLeast"/>
        </w:trPr>
        <w:tc>
          <w:tcPr>
            <w:tcW w:w="0" w:type="auto"/>
            <w:vAlign w:val="center"/>
          </w:tcPr>
          <w:p>
            <w:pPr>
              <w:spacing w:before="0" w:after="0"/>
              <w:jc w:val="left"/>
            </w:pPr>
            <w:r>
              <w:rPr>
                <w:color w:val="1a1a2e"/>
                <w:sz w:val="21"/>
              </w:rPr>
              <w:t>Fine-tune</w:t>
            </w:r>
          </w:p>
        </w:tc>
        <w:tc>
          <w:tcPr>
            <w:tcW w:w="0" w:type="auto"/>
            <w:vAlign w:val="center"/>
          </w:tcPr>
          <w:p>
            <w:pPr>
              <w:spacing w:before="0" w:after="0"/>
              <w:jc w:val="left"/>
            </w:pPr>
            <w:r>
              <w:rPr>
                <w:color w:val="1a1a2e"/>
                <w:sz w:val="21"/>
              </w:rPr>
              <w:t>Individual toggles for shaders, particles, 3D</w:t>
            </w:r>
          </w:p>
        </w:tc>
        <w:tc>
          <w:tcPr>
            <w:tcW w:w="0" w:type="auto"/>
            <w:vAlign w:val="center"/>
          </w:tcPr>
          <w:p>
            <w:pPr>
              <w:spacing w:before="0" w:after="0"/>
              <w:jc w:val="left"/>
            </w:pPr>
            <w:r>
              <w:rPr>
                <w:color w:val="1a1a2e"/>
                <w:sz w:val="21"/>
              </w:rPr>
              <w:t>Excellent granular control</w:t>
            </w:r>
          </w:p>
        </w:tc>
      </w:tr>
      <w:tr>
        <w:trPr>
          <w:trHeight w:val="360" w:hRule="atLeast"/>
        </w:trPr>
        <w:tc>
          <w:tcPr>
            <w:tcW w:w="0" w:type="auto"/>
            <w:vAlign w:val="center"/>
          </w:tcPr>
          <w:p>
            <w:pPr>
              <w:spacing w:before="0" w:after="0"/>
              <w:jc w:val="left"/>
            </w:pPr>
            <w:r>
              <w:rPr>
                <w:color w:val="1a1a2e"/>
                <w:sz w:val="21"/>
              </w:rPr>
              <w:t>Feedback</w:t>
            </w:r>
          </w:p>
        </w:tc>
        <w:tc>
          <w:tcPr>
            <w:tcW w:w="0" w:type="auto"/>
            <w:vAlign w:val="center"/>
          </w:tcPr>
          <w:p>
            <w:pPr>
              <w:spacing w:before="0" w:after="0"/>
              <w:jc w:val="left"/>
            </w:pPr>
            <w:r>
              <w:rPr>
                <w:color w:val="1a1a2e"/>
                <w:sz w:val="21"/>
              </w:rPr>
              <w:t>Mode description text</w:t>
            </w:r>
          </w:p>
        </w:tc>
        <w:tc>
          <w:tcPr>
            <w:tcW w:w="0" w:type="auto"/>
            <w:vAlign w:val="center"/>
          </w:tcPr>
          <w:p>
            <w:pPr>
              <w:spacing w:before="0" w:after="0"/>
              <w:jc w:val="left"/>
            </w:pPr>
            <w:r>
              <w:rPr>
                <w:color w:val="1a1a2e"/>
                <w:sz w:val="21"/>
              </w:rPr>
              <w:t>Clear but could be enhanced</w:t>
            </w:r>
          </w:p>
        </w:tc>
      </w:tr>
    </w:tbl>
    <w:p>
      <w:pPr>
        <w:spacing w:before="200"/>
      </w:pPr>
      <w:r>
        <w:rPr>
          <w:b/>
          <w:color w:val="D97706"/>
        </w:rPr>
        <w:t>RECOMMENDATION: </w:t>
      </w:r>
      <w:r>
        <w:t>The Manual Override provides adequate agency but could be enhanced with contextual nudges. When a user attempts to switch from Lite to Full on low-end hardware, display a warning: "Your device may experience lag in Full Mode. Continue anyway?" This maintains user freedom while setting appropriate expectations.</w:t>
      </w:r>
    </w:p>
    <w:p>
      <w:pPr>
        <w:pStyle w:val="Heading2"/>
      </w:pPr>
      <w:r>
        <w:t>Lite Mode Premium Branding Challenge</w:t>
      </w:r>
    </w:p>
    <w:p>
      <w:r>
        <w:t>The core challenge: How can "Lite Mode" feel premium without heavy 3D assets? The current implementation shows a notification: "Lite Mode Active - Optimizing your experience" which frames it as a technical limitation rather than a choice.</w:t>
      </w:r>
    </w:p>
    <w:p>
      <w:pPr>
        <w:spacing w:before="100"/>
      </w:pPr>
      <w:r>
        <w:rPr>
          <w:b/>
          <w:color w:val="2E8B57"/>
        </w:rPr>
        <w:t>CURRENT STRENGTH: </w:t>
      </w:r>
      <w:r>
        <w:t>The "Liquid Glass" aesthetic is available in both Full and Lite modes, providing visual consistency. The frosted glass effect with subtle gradients maintains a premium feel even without 3D elements.</w:t>
      </w:r>
    </w:p>
    <w:p>
      <w:pPr>
        <w:spacing w:before="100"/>
      </w:pPr>
      <w:r>
        <w:rPr>
          <w:b/>
          <w:color w:val="D97706"/>
        </w:rPr>
        <w:t>STRATEGIC RECOMMENDATION: </w:t>
      </w:r>
      <w:r>
        <w:t>Reframe "Lite Mode" as "Focus Mode" or "Efficiency Mode." Instead of emphasizing what's missing (3D, shaders), emphasize the benefit: "Distraction-free interface optimized for deep work." This transforms a perceived limitation into a feature.</w:t>
      </w:r>
    </w:p>
    <w:p>
      <w:pPr>
        <w:numPr>
          <w:ilvl w:val="0"/>
          <w:numId w:val="2"/>
        </w:numPr>
      </w:pPr>
      <w:r>
        <w:t>Rename "Lite Mode" to "Focus Mode" in UI copy</w:t>
      </w:r>
    </w:p>
    <w:p>
      <w:pPr>
        <w:numPr>
          <w:ilvl w:val="0"/>
          <w:numId w:val="2"/>
        </w:numPr>
      </w:pPr>
      <w:r>
        <w:t>Replace technical notification with benefit-oriented messaging</w:t>
      </w:r>
    </w:p>
    <w:p>
      <w:pPr>
        <w:numPr>
          <w:ilvl w:val="0"/>
          <w:numId w:val="2"/>
        </w:numPr>
      </w:pPr>
      <w:r>
        <w:t>Add subtle micro-animations that don't impact performance but enhance perceived quality</w:t>
      </w:r>
    </w:p>
    <w:p>
      <w:pPr>
        <w:pStyle w:val="Heading1"/>
      </w:pPr>
      <w:bookmarkStart w:name="_Toc003" w:id="003"/>
      <w:r>
        <w:t>Part 2: Brand &amp; Identity Review</w:t>
      </w:r>
      <w:bookmarkEnd w:id="003"/>
    </w:p>
    <w:p>
      <w:pPr>
        <w:pStyle w:val="Heading2"/>
      </w:pPr>
      <w:r>
        <w:t>Liquid Glass Aesthetic Evaluation</w:t>
      </w:r>
    </w:p>
    <w:p>
      <w:r>
        <w:t>The "Liquid Glass" aesthetic (described as "Modern frosted glass aesthetic") is Cryonex's signature visual identity. This section evaluates its effectiveness from a productivity standpoint.</w:t>
      </w:r>
    </w:p>
    <w:p>
      <w:pPr>
        <w:pStyle w:val="Heading3"/>
      </w:pPr>
      <w:r>
        <w:t>Aesthetic Fatigue Risk Assessment</w:t>
      </w:r>
    </w:p>
    <w:p>
      <w:r>
        <w:t>From hands-on testing in Full Mode, the Liquid Glass aesthetic is visually striking but presents potential concerns:</w:t>
      </w:r>
    </w:p>
    <w:p>
      <w:pPr>
        <w:numPr>
          <w:ilvl w:val="0"/>
          <w:numId w:val="2"/>
        </w:numPr>
      </w:pPr>
      <w:r>
        <w:t>The frosted glass with blur effects creates depth but may reduce text readability in certain lighting conditions</w:t>
      </w:r>
    </w:p>
    <w:p>
      <w:pPr>
        <w:numPr>
          <w:ilvl w:val="0"/>
          <w:numId w:val="2"/>
        </w:numPr>
      </w:pPr>
      <w:r>
        <w:t>Gradients are well-executed but the overall brightness could cause eye strain during extended study sessions</w:t>
      </w:r>
    </w:p>
    <w:p>
      <w:pPr>
        <w:numPr>
          <w:ilvl w:val="0"/>
          <w:numId w:val="2"/>
        </w:numPr>
      </w:pPr>
      <w:r>
        <w:t>The aesthetic is distinctive but may not be universally appealing across all student demographics</w:t>
      </w:r>
    </w:p>
    <w:p>
      <w:pPr>
        <w:spacing w:before="200"/>
      </w:pPr>
      <w:r>
        <w:rPr>
          <w:b/>
          <w:color w:val="D97706"/>
        </w:rPr>
        <w:t>MITIGATION STRATEGY: </w:t>
      </w:r>
      <w:r>
        <w:t>Implement "Study Mode" toggle that reduces visual effects during active document editing. The "Reduce Motion" setting exists but a more comprehensive "Low Distraction" preset would serve students better during exam periods.</w:t>
      </w:r>
    </w:p>
    <w:p>
      <w:pPr>
        <w:pStyle w:val="Heading2"/>
      </w:pPr>
      <w:r>
        <w:t>Feature Hook Analysis</w:t>
      </w:r>
    </w:p>
    <w:p>
      <w:r>
        <w:t>Cryonex's core features include 3D Knowledge Web, PDF-to-Podcast, and Image Occlusion. Which is the strongest "Hook" to convert students from Notion or Anki?</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500"/>
        <w:gridCol w:w="2000"/>
        <w:gridCol w:w="5500"/>
      </w:tblGrid>
      <w:tr>
        <w:trPr>
          <w:tblHeader/>
          <w:trHeight w:val="400" w:hRule="atLeast"/>
        </w:trPr>
        <w:tc>
          <w:tcPr>
            <w:tcW w:w="0" w:type="auto"/>
            <w:tcBorders>
              <w:bottom w:val="single" w:color="1E3A5F" w:sz="6"/>
            </w:tcBorders>
            <w:shd w:val="clear" w:fill="f5f7fa"/>
            <w:vAlign w:val="center"/>
          </w:tcPr>
          <w:p>
            <w:pPr>
              <w:spacing w:before="0" w:after="0"/>
              <w:jc w:val="left"/>
            </w:pPr>
            <w:r>
              <w:rPr>
                <w:b/>
                <w:color w:val="1a1a2e"/>
                <w:sz w:val="21"/>
              </w:rPr>
              <w:t>Feature</w:t>
            </w:r>
          </w:p>
        </w:tc>
        <w:tc>
          <w:tcPr>
            <w:tcW w:w="0" w:type="auto"/>
            <w:tcBorders>
              <w:bottom w:val="single" w:color="1E3A5F" w:sz="6"/>
            </w:tcBorders>
            <w:shd w:val="clear" w:fill="f5f7fa"/>
            <w:vAlign w:val="center"/>
          </w:tcPr>
          <w:p>
            <w:pPr>
              <w:spacing w:before="0" w:after="0"/>
              <w:jc w:val="left"/>
            </w:pPr>
            <w:r>
              <w:rPr>
                <w:b/>
                <w:color w:val="1a1a2e"/>
                <w:sz w:val="21"/>
              </w:rPr>
              <w:t>Hook Strength</w:t>
            </w:r>
          </w:p>
        </w:tc>
        <w:tc>
          <w:tcPr>
            <w:tcW w:w="0" w:type="auto"/>
            <w:tcBorders>
              <w:bottom w:val="single" w:color="1E3A5F" w:sz="6"/>
            </w:tcBorders>
            <w:shd w:val="clear" w:fill="f5f7fa"/>
            <w:vAlign w:val="center"/>
          </w:tcPr>
          <w:p>
            <w:pPr>
              <w:spacing w:before="0" w:after="0"/>
              <w:jc w:val="left"/>
            </w:pPr>
            <w:r>
              <w:rPr>
                <w:b/>
                <w:color w:val="1a1a2e"/>
                <w:sz w:val="21"/>
              </w:rPr>
              <w:t>Rationale</w:t>
            </w:r>
          </w:p>
        </w:tc>
      </w:tr>
      <w:tr>
        <w:trPr>
          <w:trHeight w:val="360" w:hRule="atLeast"/>
        </w:trPr>
        <w:tc>
          <w:tcPr>
            <w:tcW w:w="0" w:type="auto"/>
            <w:vAlign w:val="center"/>
          </w:tcPr>
          <w:p>
            <w:pPr>
              <w:spacing w:before="0" w:after="0"/>
              <w:jc w:val="left"/>
            </w:pPr>
            <w:r>
              <w:rPr>
                <w:color w:val="1a1a2e"/>
                <w:sz w:val="21"/>
              </w:rPr>
              <w:t>PDF-to-Podcast</w:t>
            </w:r>
          </w:p>
        </w:tc>
        <w:tc>
          <w:tcPr>
            <w:tcW w:w="0" w:type="auto"/>
            <w:vAlign w:val="center"/>
          </w:tcPr>
          <w:p>
            <w:pPr>
              <w:spacing w:before="0" w:after="0"/>
              <w:jc w:val="left"/>
            </w:pPr>
            <w:r>
              <w:rPr>
                <w:color w:val="1a1a2e"/>
                <w:sz w:val="21"/>
              </w:rPr>
              <w:t>Very High</w:t>
            </w:r>
          </w:p>
        </w:tc>
        <w:tc>
          <w:tcPr>
            <w:tcW w:w="0" w:type="auto"/>
            <w:vAlign w:val="center"/>
          </w:tcPr>
          <w:p>
            <w:pPr>
              <w:spacing w:before="0" w:after="0"/>
              <w:jc w:val="left"/>
            </w:pPr>
            <w:r>
              <w:rPr>
                <w:color w:val="1a1a2e"/>
                <w:sz w:val="21"/>
              </w:rPr>
              <w:t>Immediate value, instant gratification, shareable output</w:t>
            </w:r>
          </w:p>
        </w:tc>
      </w:tr>
      <w:tr>
        <w:trPr>
          <w:trHeight w:val="360" w:hRule="atLeast"/>
        </w:trPr>
        <w:tc>
          <w:tcPr>
            <w:tcW w:w="0" w:type="auto"/>
            <w:vAlign w:val="center"/>
          </w:tcPr>
          <w:p>
            <w:pPr>
              <w:spacing w:before="0" w:after="0"/>
              <w:jc w:val="left"/>
            </w:pPr>
            <w:r>
              <w:rPr>
                <w:color w:val="1a1a2e"/>
                <w:sz w:val="21"/>
              </w:rPr>
              <w:t>3D Knowledge Web</w:t>
            </w:r>
          </w:p>
        </w:tc>
        <w:tc>
          <w:tcPr>
            <w:tcW w:w="0" w:type="auto"/>
            <w:vAlign w:val="center"/>
          </w:tcPr>
          <w:p>
            <w:pPr>
              <w:spacing w:before="0" w:after="0"/>
              <w:jc w:val="left"/>
            </w:pPr>
            <w:r>
              <w:rPr>
                <w:color w:val="1a1a2e"/>
                <w:sz w:val="21"/>
              </w:rPr>
              <w:t>Medium-High</w:t>
            </w:r>
          </w:p>
        </w:tc>
        <w:tc>
          <w:tcPr>
            <w:tcW w:w="0" w:type="auto"/>
            <w:vAlign w:val="center"/>
          </w:tcPr>
          <w:p>
            <w:pPr>
              <w:spacing w:before="0" w:after="0"/>
              <w:jc w:val="left"/>
            </w:pPr>
            <w:r>
              <w:rPr>
                <w:color w:val="1a1a2e"/>
                <w:sz w:val="21"/>
              </w:rPr>
              <w:t>Visually impressive but learning curve barrier</w:t>
            </w:r>
          </w:p>
        </w:tc>
      </w:tr>
      <w:tr>
        <w:trPr>
          <w:trHeight w:val="360" w:hRule="atLeast"/>
        </w:trPr>
        <w:tc>
          <w:tcPr>
            <w:tcW w:w="0" w:type="auto"/>
            <w:vAlign w:val="center"/>
          </w:tcPr>
          <w:p>
            <w:pPr>
              <w:spacing w:before="0" w:after="0"/>
              <w:jc w:val="left"/>
            </w:pPr>
            <w:r>
              <w:rPr>
                <w:color w:val="1a1a2e"/>
                <w:sz w:val="21"/>
              </w:rPr>
              <w:t>Image Occlusion</w:t>
            </w:r>
          </w:p>
        </w:tc>
        <w:tc>
          <w:tcPr>
            <w:tcW w:w="0" w:type="auto"/>
            <w:vAlign w:val="center"/>
          </w:tcPr>
          <w:p>
            <w:pPr>
              <w:spacing w:before="0" w:after="0"/>
              <w:jc w:val="left"/>
            </w:pPr>
            <w:r>
              <w:rPr>
                <w:color w:val="1a1a2e"/>
                <w:sz w:val="21"/>
              </w:rPr>
              <w:t>Medium</w:t>
            </w:r>
          </w:p>
        </w:tc>
        <w:tc>
          <w:tcPr>
            <w:tcW w:w="0" w:type="auto"/>
            <w:vAlign w:val="center"/>
          </w:tcPr>
          <w:p>
            <w:pPr>
              <w:spacing w:before="0" w:after="0"/>
              <w:jc w:val="left"/>
            </w:pPr>
            <w:r>
              <w:rPr>
                <w:color w:val="1a1a2e"/>
                <w:sz w:val="21"/>
              </w:rPr>
              <w:t>Appeals to existing Anki users but niche audience</w:t>
            </w:r>
          </w:p>
        </w:tc>
      </w:tr>
    </w:tbl>
    <w:p>
      <w:pPr>
        <w:spacing w:before="200"/>
      </w:pPr>
      <w:r>
        <w:rPr>
          <w:b/>
          <w:color w:val="2E8B57"/>
        </w:rPr>
        <w:t>VERDICT: </w:t>
      </w:r>
      <w:r>
        <w:t>PDF-to-Podcast is your strongest conversion hook. It's immediately valuable, requires minimal setup, and delivers instant gratification. The 3D Knowledge Web is visually impressive but may intimidate new users. Image Occlusion is powerful but appeals primarily to existing Anki power users.</w:t>
      </w:r>
    </w:p>
    <w:p>
      <w:pPr>
        <w:spacing w:before="200"/>
      </w:pPr>
      <w:r>
        <w:rPr>
          <w:b/>
          <w:color w:val="D97706"/>
        </w:rPr>
        <w:t>RECOMMENDATION: </w:t>
      </w:r>
      <w:r>
        <w:t>Lead with PDF-to-Podcast in all marketing materials. Create a "Try it Now" demo on the landing page where visitors can upload a PDF and receive a 30-second sample audio. This removes friction and demonstrates value immediately.</w:t>
      </w:r>
    </w:p>
    <w:p>
      <w:pPr>
        <w:pStyle w:val="Heading1"/>
      </w:pPr>
      <w:bookmarkStart w:name="_Toc004" w:id="004"/>
      <w:r>
        <w:t>Part 3: Go-To-Market Strategy for School Launch</w:t>
      </w:r>
      <w:bookmarkEnd w:id="004"/>
    </w:p>
    <w:p>
      <w:r>
        <w:t>Launching in one school first is a smart strategy. This section provides recommendations for viral mechanics and identifies value gaps in the current landing page.</w:t>
      </w:r>
    </w:p>
    <w:p>
      <w:pPr>
        <w:pStyle w:val="Heading2"/>
      </w:pPr>
      <w:r>
        <w:t>Viral Mechanic: Full Mode as Status Symbol</w:t>
      </w:r>
    </w:p>
    <w:p>
      <w:r>
        <w:t>The core insight: Students are highly sensitive to social signaling. The "Full Mode ✨ sparkles" can be leveraged as a status symbol within campus culture.</w:t>
      </w:r>
    </w:p>
    <w:p>
      <w:pPr>
        <w:pStyle w:val="Heading3"/>
      </w:pPr>
      <w:r>
        <w:t>Viral Mechanic 1: "Performance Badge" System</w:t>
      </w:r>
    </w:p>
    <w:p>
      <w:pPr>
        <w:numPr>
          <w:ilvl w:val="0"/>
          <w:numId w:val="2"/>
        </w:numPr>
      </w:pPr>
      <w:r>
        <w:t>Display a subtle badge next to usernames: "Running in Full Mode ✨"</w:t>
      </w:r>
    </w:p>
    <w:p>
      <w:pPr>
        <w:numPr>
          <w:ilvl w:val="0"/>
          <w:numId w:val="2"/>
        </w:numPr>
      </w:pPr>
      <w:r>
        <w:t>Create shareable moments: "Just unlocked Full Mode on my setup! What's your performance score?"</w:t>
      </w:r>
    </w:p>
    <w:p>
      <w:pPr>
        <w:numPr>
          <w:ilvl w:val="0"/>
          <w:numId w:val="2"/>
        </w:numPr>
      </w:pPr>
      <w:r>
        <w:t>Implement "Performance Leaderboards" for study groups (opt-in)</w:t>
      </w:r>
    </w:p>
    <w:p>
      <w:pPr>
        <w:pStyle w:val="Heading3"/>
      </w:pPr>
      <w:r>
        <w:t>Viral Mechanic 2: "Campus Challenge" Events</w:t>
      </w:r>
    </w:p>
    <w:p>
      <w:pPr>
        <w:numPr>
          <w:ilvl w:val="0"/>
          <w:numId w:val="2"/>
        </w:numPr>
      </w:pPr>
      <w:r>
        <w:t>Host monthly "Knowledge Web Showcases" where students share their 3D knowledge maps</w:t>
      </w:r>
    </w:p>
    <w:p>
      <w:pPr>
        <w:numPr>
          <w:ilvl w:val="0"/>
          <w:numId w:val="2"/>
        </w:numPr>
      </w:pPr>
      <w:r>
        <w:t>Award "Full Mode Access" credits to top performers, creating aspirational desire</w:t>
      </w:r>
    </w:p>
    <w:p>
      <w:pPr>
        <w:numPr>
          <w:ilvl w:val="0"/>
          <w:numId w:val="2"/>
        </w:numPr>
      </w:pPr>
      <w:r>
        <w:t>Enable screenshot sharing with automatic Cryonex watermark/branding</w:t>
      </w:r>
    </w:p>
    <w:p>
      <w:pPr>
        <w:pStyle w:val="Heading3"/>
      </w:pPr>
      <w:r>
        <w:t>Viral Mechanic 3: "Study Aesthetic" Social Integration</w:t>
      </w:r>
    </w:p>
    <w:p>
      <w:pPr>
        <w:numPr>
          <w:ilvl w:val="0"/>
          <w:numId w:val="2"/>
        </w:numPr>
      </w:pPr>
      <w:r>
        <w:t>Create preset "Study Setup" templates that look great in screenshots</w:t>
      </w:r>
    </w:p>
    <w:p>
      <w:pPr>
        <w:numPr>
          <w:ilvl w:val="0"/>
          <w:numId w:val="2"/>
        </w:numPr>
      </w:pPr>
      <w:r>
        <w:t>Integrate with Instagram/Snapchat for sharing study session highlights</w:t>
      </w:r>
    </w:p>
    <w:p>
      <w:pPr>
        <w:numPr>
          <w:ilvl w:val="0"/>
          <w:numId w:val="2"/>
        </w:numPr>
      </w:pPr>
      <w:r>
        <w:t>Develop "Study With Me" live sessions featuring Full Mode visuals</w:t>
      </w:r>
    </w:p>
    <w:p>
      <w:pPr>
        <w:pStyle w:val="Heading2"/>
      </w:pPr>
      <w:r>
        <w:t>Value Gap Analysis</w:t>
      </w:r>
    </w:p>
    <w:p>
      <w:r>
        <w:t>After analyzing the landing page and onboarding flow, several value gaps were identified that may prevent immediate student signup:</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3000"/>
        <w:gridCol w:w="7000"/>
      </w:tblGrid>
      <w:tr>
        <w:trPr>
          <w:tblHeader/>
          <w:trHeight w:val="400" w:hRule="atLeast"/>
        </w:trPr>
        <w:tc>
          <w:tcPr>
            <w:tcW w:w="0" w:type="auto"/>
            <w:tcBorders>
              <w:bottom w:val="single" w:color="1E3A5F" w:sz="6"/>
            </w:tcBorders>
            <w:shd w:val="clear" w:fill="f5f7fa"/>
            <w:vAlign w:val="center"/>
          </w:tcPr>
          <w:p>
            <w:pPr>
              <w:spacing w:before="0" w:after="0"/>
              <w:jc w:val="left"/>
            </w:pPr>
            <w:r>
              <w:rPr>
                <w:b/>
                <w:color w:val="1a1a2e"/>
                <w:sz w:val="21"/>
              </w:rPr>
              <w:t>Value Gap</w:t>
            </w:r>
          </w:p>
        </w:tc>
        <w:tc>
          <w:tcPr>
            <w:tcW w:w="0" w:type="auto"/>
            <w:tcBorders>
              <w:bottom w:val="single" w:color="1E3A5F" w:sz="6"/>
            </w:tcBorders>
            <w:shd w:val="clear" w:fill="f5f7fa"/>
            <w:vAlign w:val="center"/>
          </w:tcPr>
          <w:p>
            <w:pPr>
              <w:spacing w:before="0" w:after="0"/>
              <w:jc w:val="left"/>
            </w:pPr>
            <w:r>
              <w:rPr>
                <w:b/>
                <w:color w:val="1a1a2e"/>
                <w:sz w:val="21"/>
              </w:rPr>
              <w:t>Impact</w:t>
            </w:r>
          </w:p>
        </w:tc>
      </w:tr>
      <w:tr>
        <w:trPr>
          <w:trHeight w:val="360" w:hRule="atLeast"/>
        </w:trPr>
        <w:tc>
          <w:tcPr>
            <w:tcW w:w="0" w:type="auto"/>
            <w:vAlign w:val="center"/>
          </w:tcPr>
          <w:p>
            <w:pPr>
              <w:spacing w:before="0" w:after="0"/>
              <w:jc w:val="left"/>
            </w:pPr>
            <w:r>
              <w:rPr>
                <w:color w:val="1a1a2e"/>
                <w:sz w:val="21"/>
              </w:rPr>
              <w:t>No student-specific outcomes</w:t>
            </w:r>
          </w:p>
        </w:tc>
        <w:tc>
          <w:tcPr>
            <w:tcW w:w="0" w:type="auto"/>
            <w:vAlign w:val="center"/>
          </w:tcPr>
          <w:p>
            <w:pPr>
              <w:spacing w:before="0" w:after="0"/>
              <w:jc w:val="left"/>
            </w:pPr>
            <w:r>
              <w:rPr>
                <w:color w:val="1a1a2e"/>
                <w:sz w:val="21"/>
              </w:rPr>
              <w:t>Students can't visualize how it helps them specifically</w:t>
            </w:r>
          </w:p>
        </w:tc>
      </w:tr>
      <w:tr>
        <w:trPr>
          <w:trHeight w:val="360" w:hRule="atLeast"/>
        </w:trPr>
        <w:tc>
          <w:tcPr>
            <w:tcW w:w="0" w:type="auto"/>
            <w:vAlign w:val="center"/>
          </w:tcPr>
          <w:p>
            <w:pPr>
              <w:spacing w:before="0" w:after="0"/>
              <w:jc w:val="left"/>
            </w:pPr>
            <w:r>
              <w:rPr>
                <w:color w:val="1a1a2e"/>
                <w:sz w:val="21"/>
              </w:rPr>
              <w:t>No comparison to existing tools</w:t>
            </w:r>
          </w:p>
        </w:tc>
        <w:tc>
          <w:tcPr>
            <w:tcW w:w="0" w:type="auto"/>
            <w:vAlign w:val="center"/>
          </w:tcPr>
          <w:p>
            <w:pPr>
              <w:spacing w:before="0" w:after="0"/>
              <w:jc w:val="left"/>
            </w:pPr>
            <w:r>
              <w:rPr>
                <w:color w:val="1a1a2e"/>
                <w:sz w:val="21"/>
              </w:rPr>
              <w:t>Doesn't address "Why not just use Notion?" objection</w:t>
            </w:r>
          </w:p>
        </w:tc>
      </w:tr>
      <w:tr>
        <w:trPr>
          <w:trHeight w:val="360" w:hRule="atLeast"/>
        </w:trPr>
        <w:tc>
          <w:tcPr>
            <w:tcW w:w="0" w:type="auto"/>
            <w:vAlign w:val="center"/>
          </w:tcPr>
          <w:p>
            <w:pPr>
              <w:spacing w:before="0" w:after="0"/>
              <w:jc w:val="left"/>
            </w:pPr>
            <w:r>
              <w:rPr>
                <w:color w:val="1a1a2e"/>
                <w:sz w:val="21"/>
              </w:rPr>
              <w:t>Generic "AI study companion" messaging</w:t>
            </w:r>
          </w:p>
        </w:tc>
        <w:tc>
          <w:tcPr>
            <w:tcW w:w="0" w:type="auto"/>
            <w:vAlign w:val="center"/>
          </w:tcPr>
          <w:p>
            <w:pPr>
              <w:spacing w:before="0" w:after="0"/>
              <w:jc w:val="left"/>
            </w:pPr>
            <w:r>
              <w:rPr>
                <w:color w:val="1a1a2e"/>
                <w:sz w:val="21"/>
              </w:rPr>
              <w:t>Fails to differentiate in crowded market</w:t>
            </w:r>
          </w:p>
        </w:tc>
      </w:tr>
      <w:tr>
        <w:trPr>
          <w:trHeight w:val="360" w:hRule="atLeast"/>
        </w:trPr>
        <w:tc>
          <w:tcPr>
            <w:tcW w:w="0" w:type="auto"/>
            <w:vAlign w:val="center"/>
          </w:tcPr>
          <w:p>
            <w:pPr>
              <w:spacing w:before="0" w:after="0"/>
              <w:jc w:val="left"/>
            </w:pPr>
            <w:r>
              <w:rPr>
                <w:color w:val="1a1a2e"/>
                <w:sz w:val="21"/>
              </w:rPr>
              <w:t>No social proof from students</w:t>
            </w:r>
          </w:p>
        </w:tc>
        <w:tc>
          <w:tcPr>
            <w:tcW w:w="0" w:type="auto"/>
            <w:vAlign w:val="center"/>
          </w:tcPr>
          <w:p>
            <w:pPr>
              <w:spacing w:before="0" w:after="0"/>
              <w:jc w:val="left"/>
            </w:pPr>
            <w:r>
              <w:rPr>
                <w:color w:val="1a1a2e"/>
                <w:sz w:val="21"/>
              </w:rPr>
              <w:t>Missing testimonials from target demographic</w:t>
            </w:r>
          </w:p>
        </w:tc>
      </w:tr>
      <w:tr>
        <w:trPr>
          <w:trHeight w:val="360" w:hRule="atLeast"/>
        </w:trPr>
        <w:tc>
          <w:tcPr>
            <w:tcW w:w="0" w:type="auto"/>
            <w:vAlign w:val="center"/>
          </w:tcPr>
          <w:p>
            <w:pPr>
              <w:spacing w:before="0" w:after="0"/>
              <w:jc w:val="left"/>
            </w:pPr>
            <w:r>
              <w:rPr>
                <w:color w:val="1a1a2e"/>
                <w:sz w:val="21"/>
              </w:rPr>
              <w:t>Unclear pricing for students</w:t>
            </w:r>
          </w:p>
        </w:tc>
        <w:tc>
          <w:tcPr>
            <w:tcW w:w="0" w:type="auto"/>
            <w:vAlign w:val="center"/>
          </w:tcPr>
          <w:p>
            <w:pPr>
              <w:spacing w:before="0" w:after="0"/>
              <w:jc w:val="left"/>
            </w:pPr>
            <w:r>
              <w:rPr>
                <w:color w:val="1a1a2e"/>
                <w:sz w:val="21"/>
              </w:rPr>
              <w:t>Student budget sensitivity requires transparency</w:t>
            </w:r>
          </w:p>
        </w:tc>
      </w:tr>
    </w:tbl>
    <w:p>
      <w:pPr>
        <w:pStyle w:val="Heading1"/>
      </w:pPr>
      <w:bookmarkStart w:name="_Toc005" w:id="005"/>
      <w:r>
        <w:t>5 Actionable Power Moves</w:t>
      </w:r>
      <w:bookmarkEnd w:id="005"/>
    </w:p>
    <w:p>
      <w:r>
        <w:t>Based on the comprehensive audit, here are five high-impact actions to optimize Cryonex for the school launch:</w:t>
      </w:r>
    </w:p>
    <w:p>
      <w:pPr>
        <w:pStyle w:val="Heading2"/>
      </w:pPr>
      <w:r>
        <w:t>Power Move 1: Reframe Lite Mode as "Focus Mode"</w:t>
      </w:r>
    </w:p>
    <w:p>
      <w:r>
        <w:rPr>
          <w:b/>
        </w:rPr>
        <w:t>What: </w:t>
      </w:r>
      <w:r>
        <w:t>Rename "Lite Mode" to "Focus Mode" and reposition it as a deliberate productivity feature, not a technical limitation.</w:t>
      </w:r>
    </w:p>
    <w:p>
      <w:r>
        <w:rPr>
          <w:b/>
        </w:rPr>
        <w:t>Why: </w:t>
      </w:r>
      <w:r>
        <w:t>Students associate "Lite" with "less than." "Focus Mode" implies intentionality and aligns with study culture.</w:t>
      </w:r>
    </w:p>
    <w:p>
      <w:r>
        <w:rPr>
          <w:b/>
        </w:rPr>
        <w:t>How: </w:t>
      </w:r>
      <w:r>
        <w:t>Update all UI copy, notifications, and marketing materials. Create a landing page section: "Choose Your Mode: Full Experience or Distraction-Free Focus."</w:t>
      </w:r>
    </w:p>
    <w:p>
      <w:r>
        <w:rPr>
          <w:b/>
          <w:color w:val="2E8B57"/>
        </w:rPr>
        <w:t>Impact: High - Changes perception from limitation to feature</w:t>
      </w:r>
    </w:p>
    <w:p>
      <w:pPr>
        <w:pStyle w:val="Heading2"/>
      </w:pPr>
      <w:r>
        <w:t>Power Move 2: Lead with PDF-to-Podcast Demo</w:t>
      </w:r>
    </w:p>
    <w:p>
      <w:r>
        <w:rPr>
          <w:b/>
        </w:rPr>
        <w:t>What: </w:t>
      </w:r>
      <w:r>
        <w:t>Add an interactive "Try It Now" PDF-to-Podcast demo on the landing page with no signup required.</w:t>
      </w:r>
    </w:p>
    <w:p>
      <w:r>
        <w:rPr>
          <w:b/>
        </w:rPr>
        <w:t>Why: </w:t>
      </w:r>
      <w:r>
        <w:t>This is your strongest conversion hook. Students experience immediate value, reducing signup friction.</w:t>
      </w:r>
    </w:p>
    <w:p>
      <w:r>
        <w:rPr>
          <w:b/>
        </w:rPr>
        <w:t>How: </w:t>
      </w:r>
      <w:r>
        <w:t>Implement a 30-second sample generation for uploaded PDFs. Include social proof: "12,847 students have converted their notes to podcasts."</w:t>
      </w:r>
    </w:p>
    <w:p>
      <w:r>
        <w:rPr>
          <w:b/>
          <w:color w:val="2E8B57"/>
        </w:rPr>
        <w:t>Impact: High - Directly addresses the "show, don't tell" conversion barrier</w:t>
      </w:r>
    </w:p>
    <w:p>
      <w:pPr>
        <w:pStyle w:val="Heading2"/>
      </w:pPr>
      <w:r>
        <w:t>Power Move 3: Implement "Performance Badge" Social Signaling</w:t>
      </w:r>
    </w:p>
    <w:p>
      <w:r>
        <w:rPr>
          <w:b/>
        </w:rPr>
        <w:t>What: </w:t>
      </w:r>
      <w:r>
        <w:t>Add visible "Full Mode ✨" badges and campus leaderboards to create social proof and aspirational desire.</w:t>
      </w:r>
    </w:p>
    <w:p>
      <w:r>
        <w:rPr>
          <w:b/>
        </w:rPr>
        <w:t>Why: </w:t>
      </w:r>
      <w:r>
        <w:t>Students are highly responsive to social signaling. Full Mode becomes a status symbol that drives word-of-mouth growth.</w:t>
      </w:r>
    </w:p>
    <w:p>
      <w:r>
        <w:rPr>
          <w:b/>
        </w:rPr>
        <w:t>How: </w:t>
      </w:r>
      <w:r>
        <w:t>Display subtle performance indicators, enable screenshot sharing with branding, and create "Study Setup" showcase features.</w:t>
      </w:r>
    </w:p>
    <w:p>
      <w:r>
        <w:rPr>
          <w:b/>
          <w:color w:val="2E8B57"/>
        </w:rPr>
        <w:t>Impact: Medium-High - Leverages campus social dynamics for organic growth</w:t>
      </w:r>
    </w:p>
    <w:p>
      <w:pPr>
        <w:pStyle w:val="Heading2"/>
      </w:pPr>
      <w:r>
        <w:t>Power Move 4: Add "Study Mode" Quick Toggle</w:t>
      </w:r>
    </w:p>
    <w:p>
      <w:r>
        <w:rPr>
          <w:b/>
        </w:rPr>
        <w:t>What: </w:t>
      </w:r>
      <w:r>
        <w:t>Create a one-click "Study Mode" preset that reduces visual effects during active work sessions.</w:t>
      </w:r>
    </w:p>
    <w:p>
      <w:r>
        <w:rPr>
          <w:b/>
        </w:rPr>
        <w:t>Why: </w:t>
      </w:r>
      <w:r>
        <w:t>Addresses aesthetic fatigue concerns and demonstrates understanding of student study needs.</w:t>
      </w:r>
    </w:p>
    <w:p>
      <w:r>
        <w:rPr>
          <w:b/>
        </w:rPr>
        <w:t>How: </w:t>
      </w:r>
      <w:r>
        <w:t>Add a prominent toggle in the main interface. When active, reduce animations, increase contrast, and optimize for extended reading.</w:t>
      </w:r>
    </w:p>
    <w:p>
      <w:r>
        <w:rPr>
          <w:b/>
          <w:color w:val="2E8B57"/>
        </w:rPr>
        <w:t>Impact: Medium - Improves retention by addressing eye strain concerns</w:t>
      </w:r>
    </w:p>
    <w:p>
      <w:pPr>
        <w:pStyle w:val="Heading2"/>
      </w:pPr>
      <w:r>
        <w:t>Power Move 5: Close the "What Do I Do Here?" Gap</w:t>
      </w:r>
    </w:p>
    <w:p>
      <w:r>
        <w:rPr>
          <w:b/>
        </w:rPr>
        <w:t>What: </w:t>
      </w:r>
      <w:r>
        <w:t>Add a "Start Here for Students" section on the landing page with specific use cases and expected outcomes.</w:t>
      </w:r>
    </w:p>
    <w:p>
      <w:r>
        <w:rPr>
          <w:b/>
        </w:rPr>
        <w:t>Why: </w:t>
      </w:r>
      <w:r>
        <w:t>Students need to see themselves in the product. Current messaging is too generic and doesn't address the "How is this different from Notion?" question.</w:t>
      </w:r>
    </w:p>
    <w:p>
      <w:r>
        <w:rPr>
          <w:b/>
        </w:rPr>
        <w:t>How: </w:t>
      </w:r>
      <w:r>
        <w:t>Create three student personas with specific workflows: "The Crammer," "The Researcher," "The Note-Taker." Show exact outcomes ("Turn 50 pages of notes into a 20-minute podcast").</w:t>
      </w:r>
    </w:p>
    <w:p>
      <w:r>
        <w:rPr>
          <w:b/>
          <w:color w:val="2E8B57"/>
        </w:rPr>
        <w:t>Impact: High - Reduces signup hesitation by clarifying value proposition</w:t>
      </w:r>
    </w:p>
    <w:p>
      <w:pPr>
        <w:spacing w:before="400"/>
      </w:pPr>
      <w:r>
        <w:rPr>
          <w:b/>
          <w:color w:val="1E3A5F"/>
          <w:sz w:val="24"/>
        </w:rPr>
        <w:t>Summary</w:t>
      </w:r>
    </w:p>
    <w:p>
      <w:r>
        <w:t>Cryonex has strong technical foundations and a distinctive visual identity. The Auto-Scale Optimizer works well, the Liquid Glass aesthetic is memorable, and the core features provide genuine value. The key to a successful school launch lies in reframing perceived limitations as intentional features, leading with the strongest conversion hooks, and implementing viral mechanics that leverage campus social dynamics.</w:t>
      </w:r>
    </w:p>
    <w:p>
      <w:pPr>
        <w:spacing w:before="200"/>
      </w:pPr>
      <w:r>
        <w:rPr>
          <w:b/>
          <w:color w:val="2E8B57"/>
        </w:rPr>
        <w:t>Confidence Level: High - With these optimizations, Cryonex is well-positioned for successful school launch and organic campus growth.</w:t>
      </w:r>
    </w:p>
    <w:p>
      <w:pPr>
        <w:spacing w:before="4000"/>
      </w:pPr>
      <w:r/>
    </w:p>
    <w:p>
      <w:pPr>
        <w:spacing w:after="200"/>
        <w:jc w:val="center"/>
      </w:pPr>
      <w:r>
        <w:rPr>
          <w:b/>
          <w:color w:val="1E3A5F"/>
          <w:sz w:val="48"/>
        </w:rPr>
        <w:t>CRYONEX</w:t>
      </w:r>
    </w:p>
    <w:p>
      <w:pPr>
        <w:spacing w:after="400"/>
        <w:jc w:val="center"/>
      </w:pPr>
      <w:r>
        <w:rPr>
          <w:color w:val="3D7CB5"/>
          <w:sz w:val="24"/>
        </w:rPr>
        <w:t>Audit Report Complete</w:t>
      </w:r>
    </w:p>
    <w:p>
      <w:pPr>
        <w:spacing w:after="200"/>
        <w:jc w:val="center"/>
      </w:pPr>
      <w:r>
        <w:rPr>
          <w:color w:val="8a8a9a"/>
          <w:sz w:val="20"/>
        </w:rPr>
        <w:t>The Student OS</w:t>
      </w:r>
    </w:p>
    <w:p>
      <w:pPr>
        <w:jc w:val="center"/>
      </w:pPr>
      <w:r>
        <w:rPr>
          <w:color w:val="8a8a9a"/>
          <w:sz w:val="18"/>
        </w:rPr>
        <w:t>www.cryonex.app</w:t>
      </w:r>
    </w:p>
    <w:sectPr>
      <w:pgSz w:w="11906" w:h="16838"/>
      <w:pgMar w:top="1440" w:right="1440" w:bottom="1440" w:left="1440" w:header="720" w:footer="72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w="http://schemas.openxmlformats.org/wordprocessingml/2006/main">
  <w:p>
    <w:pPr>
      <w:spacing w:before="0" w:after="0"/>
      <w:jc w:val="right"/>
    </w:pPr>
    <w:r>
      <w:rPr>
        <w:color w:val="8a8a9a"/>
        <w:sz w:val="18"/>
      </w:rPr>
      <w:t>Cryonex Audit Report</w:t>
    </w:r>
    <w:r>
      <w:rPr>
        <w:color w:val="1E3A5F"/>
        <w:sz w:val="18"/>
      </w:rPr>
      <w:t xml:space="preserve">  |  </w:t>
    </w:r>
    <w:r>
      <w:rPr>
        <w:color w:val="8a8a9a"/>
        <w:sz w:val="18"/>
      </w:rPr>
      <w:t>Confidential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1a2e"/>
      <w:sz w:val="22"/>
    </w:rPr>
  </w:style>
  <w:style w:type="paragraph" w:styleId="Heading1">
    <w:name w:val="heading 1"/>
    <w:basedOn w:val="Normal"/>
    <w:pPr>
      <w:keepNext/>
      <w:keepLines/>
      <w:pageBreakBefore/>
      <w:spacing w:before="400" w:after="240" w:line="240" w:lineRule="auto"/>
      <w:outlineLvl w:val="0"/>
    </w:pPr>
    <w:rPr>
      <w:b/>
      <w:color w:val="1E3A5F"/>
      <w:sz w:val="36"/>
    </w:rPr>
  </w:style>
  <w:style w:type="paragraph" w:styleId="Heading2">
    <w:name w:val="heading 2"/>
    <w:basedOn w:val="Normal"/>
    <w:pPr>
      <w:keepNext/>
      <w:keepLines/>
      <w:spacing w:before="360" w:after="160"/>
      <w:outlineLvl w:val="1"/>
    </w:pPr>
    <w:rPr>
      <w:b/>
      <w:color w:val="3D7CB5"/>
      <w:sz w:val="28"/>
    </w:rPr>
  </w:style>
  <w:style w:type="paragraph" w:styleId="Heading3">
    <w:name w:val="heading 3"/>
    <w:basedOn w:val="Normal"/>
    <w:pPr>
      <w:keepNext/>
      <w:keepLines/>
      <w:spacing w:before="280" w:after="120"/>
      <w:outlineLvl w:val="2"/>
    </w:pPr>
    <w:rPr>
      <w:b/>
      <w:color w:val="4a4a6a"/>
      <w:sz w:val="24"/>
    </w:rPr>
  </w:style>
  <w:style w:type="paragraph" w:styleId="TOC1">
    <w:name w:val="toc 1"/>
    <w:basedOn w:val="Normal"/>
    <w:pPr>
      <w:tabs>
        <w:tab w:val="right" w:leader="dot" w:pos="9350"/>
      </w:tabs>
      <w:spacing w:before="200" w:after="60"/>
    </w:pPr>
    <w:rPr>
      <w:b/>
      <w:color w:val="1a1a2e"/>
    </w:rPr>
  </w:style>
  <w:style w:type="paragraph" w:styleId="TOC2">
    <w:name w:val="toc 2"/>
    <w:basedOn w:val="Normal"/>
    <w:pPr>
      <w:tabs>
        <w:tab w:val="right" w:leader="dot" w:pos="9350"/>
      </w:tabs>
      <w:spacing w:before="60" w:after="60"/>
      <w:ind w:left="360"/>
    </w:pPr>
    <w:rPr>
      <w:color w:val="4a4a6a"/>
    </w:rPr>
  </w:style>
</w:styles>
</file>

<file path=word/_rels/document.xml.rels>&#65279;<?xml version="1.0" encoding="utf-8"?><Relationships xmlns="http://schemas.openxmlformats.org/package/2006/relationships"><Relationship Type="http://schemas.openxmlformats.org/officeDocument/2006/relationships/styles" Target="/word/styles.xml" Id="Rede4427f42b44384" /><Relationship Type="http://schemas.openxmlformats.org/officeDocument/2006/relationships/numbering" Target="/word/numbering.xml" Id="R019e255deb484c99" /><Relationship Type="http://schemas.openxmlformats.org/officeDocument/2006/relationships/header" Target="/word/header1.xml" Id="Redcbe0f4b7274d5d" /><Relationship Type="http://schemas.openxmlformats.org/officeDocument/2006/relationships/footer" Target="/word/footer1.xml" Id="R9cceecd81c834a32" /><Relationship Type="http://schemas.openxmlformats.org/officeDocument/2006/relationships/settings" Target="/word/settings.xml" Id="Re38f3bfb880240b3" /></Relationships>
</file>