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styles.xml" ContentType="application/vnd.openxmlformats-officedocument.wordprocessingml.styles+xml"/>
  <Override PartName="/word/document.xml" ContentType="application/vnd.openxmlformats-officedocument.wordprocessingml.document.main+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drawing>
          <wp:inline distT="0" distB="0" distL="0" distR="0">
            <wp:extent cx="6301105" cy="3476625"/>
            <wp:effectExtent l="0" t="0" r="0" b="0"/>
            <wp:docPr id="1" name="Imagen 18"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8" descr="Forma"/>
                    <pic:cNvPicPr>
                      <a:picLocks noChangeAspect="1" noChangeArrowheads="1"/>
                    </pic:cNvPicPr>
                  </pic:nvPicPr>
                  <pic:blipFill>
                    <a:blip r:embed="rId2"/>
                    <a:stretch>
                      <a:fillRect/>
                    </a:stretch>
                  </pic:blipFill>
                  <pic:spPr bwMode="auto">
                    <a:xfrm>
                      <a:off x="0" y="0"/>
                      <a:ext cx="6301105" cy="3476625"/>
                    </a:xfrm>
                    <a:prstGeom prst="rect">
                      <a:avLst/>
                    </a:prstGeom>
                  </pic:spPr>
                </pic:pic>
              </a:graphicData>
            </a:graphic>
          </wp:inline>
        </w:drawing>
      </w:r>
      <w:r>
        <w:rPr/>
        <mc:AlternateContent>
          <mc:Choice Requires="wps">
            <w:drawing>
              <wp:anchor behindDoc="0" distT="0" distB="3810" distL="0" distR="0" simplePos="0" locked="0" layoutInCell="1" allowOverlap="1" relativeHeight="8">
                <wp:simplePos x="0" y="0"/>
                <wp:positionH relativeFrom="column">
                  <wp:posOffset>1940560</wp:posOffset>
                </wp:positionH>
                <wp:positionV relativeFrom="paragraph">
                  <wp:posOffset>-722630</wp:posOffset>
                </wp:positionV>
                <wp:extent cx="4787265" cy="262890"/>
                <wp:effectExtent l="1270" t="635" r="0" b="1270"/>
                <wp:wrapNone/>
                <wp:docPr id="2" name="Rectángulo: esquinas redondeadas 1"/>
                <a:graphic xmlns:a="http://schemas.openxmlformats.org/drawingml/2006/main">
                  <a:graphicData uri="http://schemas.microsoft.com/office/word/2010/wordprocessingShape">
                    <wps:wsp>
                      <wps:cNvSpPr/>
                      <wps:spPr>
                        <a:xfrm>
                          <a:off x="0" y="0"/>
                          <a:ext cx="4787280" cy="26280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mc:Fallback>
        </mc:AlternateContent>
        <w:drawing>
          <wp:anchor behindDoc="0" distT="0" distB="0" distL="0" distR="0" simplePos="0" locked="0" layoutInCell="1" allowOverlap="1" relativeHeight="12">
            <wp:simplePos x="0" y="0"/>
            <wp:positionH relativeFrom="column">
              <wp:posOffset>-420370</wp:posOffset>
            </wp:positionH>
            <wp:positionV relativeFrom="paragraph">
              <wp:posOffset>-893445</wp:posOffset>
            </wp:positionV>
            <wp:extent cx="2066290" cy="560705"/>
            <wp:effectExtent l="0" t="0" r="0" b="0"/>
            <wp:wrapNone/>
            <wp:docPr id="3" name="Imagen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1" descr=""/>
                    <pic:cNvPicPr>
                      <a:picLocks noChangeAspect="1" noChangeArrowheads="1"/>
                    </pic:cNvPicPr>
                  </pic:nvPicPr>
                  <pic:blipFill>
                    <a:blip r:embed="rId3"/>
                    <a:stretch>
                      <a:fillRect/>
                    </a:stretch>
                  </pic:blipFill>
                  <pic:spPr bwMode="auto">
                    <a:xfrm>
                      <a:off x="0" y="0"/>
                      <a:ext cx="2066290" cy="560705"/>
                    </a:xfrm>
                    <a:prstGeom prst="rect">
                      <a:avLst/>
                    </a:prstGeom>
                  </pic:spPr>
                </pic:pic>
              </a:graphicData>
            </a:graphic>
          </wp:anchor>
        </w:drawing>
      </w:r>
      <w:r>
        <w:rPr/>
        <w:br/>
      </w:r>
    </w:p>
    <w:p>
      <w:pPr>
        <w:pStyle w:val="Normal"/>
        <w:rPr/>
      </w:pPr>
      <w:r>
        <w:rPr/>
        <mc:AlternateContent>
          <mc:Choice Requires="wps">
            <w:drawing>
              <wp:anchor behindDoc="0" distT="0" distB="4445" distL="0" distR="5715" simplePos="0" locked="0" layoutInCell="1" allowOverlap="1" relativeHeight="9">
                <wp:simplePos x="0" y="0"/>
                <wp:positionH relativeFrom="column">
                  <wp:posOffset>-312420</wp:posOffset>
                </wp:positionH>
                <wp:positionV relativeFrom="paragraph">
                  <wp:posOffset>383540</wp:posOffset>
                </wp:positionV>
                <wp:extent cx="108585" cy="720090"/>
                <wp:effectExtent l="0" t="0" r="635" b="635"/>
                <wp:wrapNone/>
                <wp:docPr id="4" name="Rectángulo: esquinas redondeadas 6"/>
                <a:graphic xmlns:a="http://schemas.openxmlformats.org/drawingml/2006/main">
                  <a:graphicData uri="http://schemas.microsoft.com/office/word/2010/wordprocessingShape">
                    <wps:wsp>
                      <wps:cNvSpPr/>
                      <wps:spPr>
                        <a:xfrm>
                          <a:off x="0" y="0"/>
                          <a:ext cx="108720" cy="72000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mc:Fallback>
        </mc:AlternateContent>
      </w:r>
    </w:p>
    <w:p>
      <w:pPr>
        <w:pStyle w:val="Title"/>
        <w:rPr/>
      </w:pPr>
      <w:r>
        <w:rPr/>
        <w:t>DESARROLLO BACKEND</w:t>
      </w:r>
      <w:r>
        <w:rPr>
          <w:lang w:val="es-ES"/>
        </w:rPr>
        <w:t xml:space="preserve"> III</w:t>
      </w:r>
    </w:p>
    <w:p>
      <w:pPr>
        <w:pStyle w:val="Title"/>
        <w:rPr/>
      </w:pPr>
      <w:r>
        <w:rPr/>
        <w:t>(</w:t>
      </w:r>
      <w:r>
        <w:rPr>
          <w:lang w:val="es-ES"/>
        </w:rPr>
        <w:t>PBY2203</w:t>
      </w:r>
      <w:r>
        <w:rPr/>
        <w:t>)</w:t>
      </w:r>
    </w:p>
    <w:p>
      <w:pPr>
        <w:pStyle w:val="Bajada-portada"/>
        <w:rPr/>
      </w:pPr>
      <w:r>
        <w:rPr/>
        <w:t>Informe técnico · Evaluación Final Transversal</w:t>
      </w:r>
    </w:p>
    <w:p>
      <w:pPr>
        <w:pStyle w:val="Normal"/>
        <w:rPr/>
      </w:pPr>
      <w:r>
        <w:rPr>
          <w:sz w:val="28"/>
        </w:rPr>
        <w:t>Modernización del sistema legacy del Banco XYZ</w:t>
        <w:br/>
      </w:r>
      <w:r>
        <w:rPr>
          <w:b/>
          <w:sz w:val="28"/>
        </w:rPr>
        <w:t>Fernando Fuentes Allende</w:t>
      </w:r>
    </w:p>
    <w:p>
      <w:pPr>
        <w:pStyle w:val="Normal"/>
        <w:spacing w:before="0" w:after="160"/>
        <w:ind w:hanging="0" w:left="459" w:right="0"/>
        <w:rPr>
          <w:sz w:val="44"/>
          <w:u w:val="single"/>
          <w14:ligatures w14:val="none"/>
        </w:rPr>
      </w:pPr>
      <w:r>
        <w:rPr>
          <w:sz w:val="44"/>
          <w:u w:val="single"/>
          <w14:ligatures w14:val="none"/>
        </w:rPr>
      </w:r>
      <w:r>
        <w:br w:type="page"/>
      </w:r>
    </w:p>
    <w:p>
      <w:pPr>
        <w:pStyle w:val="Normal"/>
        <w:spacing w:before="0" w:after="0"/>
        <w:rPr>
          <w:b/>
          <w:bCs/>
          <w:sz w:val="44"/>
          <w:szCs w:val="44"/>
        </w:rPr>
      </w:pPr>
      <w:bookmarkStart w:id="0" w:name="_Toc151126479"/>
      <w:bookmarkStart w:id="1" w:name="_Toc147420413"/>
      <w:bookmarkStart w:id="2" w:name="_Toc146721847"/>
      <w:bookmarkStart w:id="3" w:name="_Toc146721644"/>
      <w:bookmarkStart w:id="4" w:name="_Toc146716837"/>
      <w:bookmarkStart w:id="5" w:name="_Toc146716667"/>
      <w:bookmarkStart w:id="6" w:name="_Toc146275583"/>
      <w:bookmarkStart w:id="7" w:name="_Toc144310526"/>
      <w:bookmarkStart w:id="8" w:name="_Toc133231826"/>
      <w:bookmarkStart w:id="9" w:name="_Toc132989341"/>
      <w:bookmarkStart w:id="10" w:name="_Toc132333741"/>
      <w:bookmarkStart w:id="11" w:name="_Toc132333582"/>
      <w:r>
        <w:rPr>
          <w:b/>
          <w:bCs/>
          <w:sz w:val="44"/>
          <w:szCs w:val="44"/>
        </w:rPr>
        <w:t>Índice</w:t>
      </w:r>
      <w:bookmarkEnd w:id="0"/>
      <w:bookmarkEnd w:id="1"/>
      <w:bookmarkEnd w:id="2"/>
      <w:bookmarkEnd w:id="3"/>
      <w:bookmarkEnd w:id="4"/>
      <w:bookmarkEnd w:id="5"/>
      <w:bookmarkEnd w:id="6"/>
      <w:bookmarkEnd w:id="7"/>
      <w:bookmarkEnd w:id="8"/>
      <w:bookmarkEnd w:id="9"/>
      <w:bookmarkEnd w:id="10"/>
      <w:bookmarkEnd w:id="11"/>
    </w:p>
    <w:sdt>
      <w:sdtPr>
        <w:docPartObj>
          <w:docPartGallery w:val="Table of Contents"/>
          <w:docPartUnique w:val="true"/>
        </w:docPartObj>
      </w:sdtPr>
      <w:sdtContent>
        <w:p>
          <w:pPr>
            <w:pStyle w:val="TOC1"/>
            <w:tabs>
              <w:tab w:val="clear" w:pos="708"/>
              <w:tab w:val="right" w:pos="9922" w:leader="dot"/>
            </w:tabs>
            <w:rPr/>
          </w:pPr>
          <w:r>
            <w:fldChar w:fldCharType="begin"/>
          </w:r>
          <w:r>
            <w:rPr>
              <w:webHidden/>
              <w:rStyle w:val="IndexLink"/>
            </w:rPr>
            <w:instrText xml:space="preserve"> TOC \z \o "1-2" \u \h</w:instrText>
          </w:r>
          <w:r>
            <w:rPr>
              <w:webHidden/>
              <w:rStyle w:val="IndexLink"/>
            </w:rPr>
            <w:fldChar w:fldCharType="separate"/>
          </w:r>
          <w:hyperlink w:anchor="__RefHeading___Toc2459_2748266228">
            <w:r>
              <w:rPr>
                <w:webHidden/>
                <w:rStyle w:val="IndexLink"/>
              </w:rPr>
              <w:t>Resumen ejecutivo</w:t>
              <w:tab/>
              <w:t>4</w:t>
            </w:r>
          </w:hyperlink>
        </w:p>
        <w:p>
          <w:pPr>
            <w:pStyle w:val="TOC1"/>
            <w:tabs>
              <w:tab w:val="clear" w:pos="708"/>
              <w:tab w:val="right" w:pos="9922" w:leader="dot"/>
            </w:tabs>
            <w:rPr/>
          </w:pPr>
          <w:hyperlink w:anchor="__RefHeading___Toc2461_2748266228">
            <w:r>
              <w:rPr>
                <w:webHidden/>
                <w:rStyle w:val="IndexLink"/>
              </w:rPr>
              <w:t>Diagnóstico del sistema legacy</w:t>
              <w:tab/>
              <w:t>4</w:t>
            </w:r>
          </w:hyperlink>
        </w:p>
        <w:p>
          <w:pPr>
            <w:pStyle w:val="TOC1"/>
            <w:tabs>
              <w:tab w:val="clear" w:pos="708"/>
              <w:tab w:val="right" w:pos="9922" w:leader="dot"/>
            </w:tabs>
            <w:rPr/>
          </w:pPr>
          <w:hyperlink w:anchor="__RefHeading___Toc2463_2748266228">
            <w:r>
              <w:rPr>
                <w:webHidden/>
                <w:rStyle w:val="IndexLink"/>
              </w:rPr>
              <w:t>Procesos clave de la migración</w:t>
              <w:tab/>
              <w:t>5</w:t>
            </w:r>
          </w:hyperlink>
        </w:p>
        <w:p>
          <w:pPr>
            <w:pStyle w:val="TOC1"/>
            <w:tabs>
              <w:tab w:val="clear" w:pos="708"/>
              <w:tab w:val="right" w:pos="9922" w:leader="dot"/>
            </w:tabs>
            <w:rPr/>
          </w:pPr>
          <w:hyperlink w:anchor="__RefHeading___Toc2465_2748266228">
            <w:r>
              <w:rPr>
                <w:webHidden/>
                <w:rStyle w:val="IndexLink"/>
              </w:rPr>
              <w:t>Requerimientos del negocio y propuesta de arquitectura</w:t>
              <w:tab/>
              <w:t>6</w:t>
            </w:r>
          </w:hyperlink>
        </w:p>
        <w:p>
          <w:pPr>
            <w:pStyle w:val="TOC2"/>
            <w:tabs>
              <w:tab w:val="clear" w:pos="708"/>
              <w:tab w:val="right" w:pos="9922" w:leader="dot"/>
            </w:tabs>
            <w:rPr/>
          </w:pPr>
          <w:hyperlink w:anchor="__RefHeading___Toc2467_2748266228">
            <w:r>
              <w:rPr>
                <w:webHidden/>
                <w:rStyle w:val="IndexLink"/>
              </w:rPr>
              <w:t>Tres requerimientos clave</w:t>
              <w:tab/>
              <w:t>6</w:t>
            </w:r>
          </w:hyperlink>
        </w:p>
        <w:p>
          <w:pPr>
            <w:pStyle w:val="TOC2"/>
            <w:tabs>
              <w:tab w:val="clear" w:pos="708"/>
              <w:tab w:val="right" w:pos="9922" w:leader="dot"/>
            </w:tabs>
            <w:rPr/>
          </w:pPr>
          <w:hyperlink w:anchor="__RefHeading___Toc2469_2748266228">
            <w:r>
              <w:rPr>
                <w:webHidden/>
                <w:rStyle w:val="IndexLink"/>
              </w:rPr>
              <w:t>Arquitectura propuesta</w:t>
              <w:tab/>
              <w:t>7</w:t>
            </w:r>
          </w:hyperlink>
        </w:p>
        <w:p>
          <w:pPr>
            <w:pStyle w:val="TOC2"/>
            <w:tabs>
              <w:tab w:val="clear" w:pos="708"/>
              <w:tab w:val="right" w:pos="9922" w:leader="dot"/>
            </w:tabs>
            <w:rPr/>
          </w:pPr>
          <w:hyperlink w:anchor="__RefHeading___Toc2471_2748266228">
            <w:r>
              <w:rPr>
                <w:webHidden/>
                <w:rStyle w:val="IndexLink"/>
              </w:rPr>
              <w:t>Decisiones de arquitectura y su justificación</w:t>
              <w:tab/>
              <w:t>7</w:t>
            </w:r>
          </w:hyperlink>
        </w:p>
        <w:p>
          <w:pPr>
            <w:pStyle w:val="TOC2"/>
            <w:tabs>
              <w:tab w:val="clear" w:pos="708"/>
              <w:tab w:val="right" w:pos="9922" w:leader="dot"/>
            </w:tabs>
            <w:rPr/>
          </w:pPr>
          <w:hyperlink w:anchor="__RefHeading___Toc2473_2748266228">
            <w:r>
              <w:rPr>
                <w:webHidden/>
                <w:rStyle w:val="IndexLink"/>
              </w:rPr>
              <w:t>Casos de uso</w:t>
              <w:tab/>
              <w:t>9</w:t>
            </w:r>
          </w:hyperlink>
        </w:p>
        <w:p>
          <w:pPr>
            <w:pStyle w:val="TOC1"/>
            <w:tabs>
              <w:tab w:val="clear" w:pos="708"/>
              <w:tab w:val="right" w:pos="9922" w:leader="dot"/>
            </w:tabs>
            <w:rPr/>
          </w:pPr>
          <w:hyperlink w:anchor="__RefHeading___Toc2475_2748266228">
            <w:r>
              <w:rPr>
                <w:webHidden/>
                <w:rStyle w:val="IndexLink"/>
              </w:rPr>
              <w:t>Parte 1: migración de procesos batch</w:t>
              <w:tab/>
              <w:t>10</w:t>
            </w:r>
          </w:hyperlink>
        </w:p>
        <w:p>
          <w:pPr>
            <w:pStyle w:val="TOC2"/>
            <w:tabs>
              <w:tab w:val="clear" w:pos="708"/>
              <w:tab w:val="right" w:pos="9922" w:leader="dot"/>
            </w:tabs>
            <w:rPr/>
          </w:pPr>
          <w:hyperlink w:anchor="__RefHeading___Toc2477_2748266228">
            <w:r>
              <w:rPr>
                <w:webHidden/>
                <w:rStyle w:val="IndexLink"/>
              </w:rPr>
              <w:t>Manejo de errores</w:t>
              <w:tab/>
              <w:t>10</w:t>
            </w:r>
          </w:hyperlink>
        </w:p>
        <w:p>
          <w:pPr>
            <w:pStyle w:val="TOC2"/>
            <w:tabs>
              <w:tab w:val="clear" w:pos="708"/>
              <w:tab w:val="right" w:pos="9922" w:leader="dot"/>
            </w:tabs>
            <w:rPr/>
          </w:pPr>
          <w:hyperlink w:anchor="__RefHeading___Toc2479_2748266228">
            <w:r>
              <w:rPr>
                <w:webHidden/>
                <w:rStyle w:val="IndexLink"/>
              </w:rPr>
              <w:t>Paralelismo y escalabilidad</w:t>
              <w:tab/>
              <w:t>11</w:t>
            </w:r>
          </w:hyperlink>
        </w:p>
        <w:p>
          <w:pPr>
            <w:pStyle w:val="TOC2"/>
            <w:tabs>
              <w:tab w:val="clear" w:pos="708"/>
              <w:tab w:val="right" w:pos="9922" w:leader="dot"/>
            </w:tabs>
            <w:rPr/>
          </w:pPr>
          <w:hyperlink w:anchor="__RefHeading___Toc2481_2748266228">
            <w:r>
              <w:rPr>
                <w:webHidden/>
                <w:rStyle w:val="IndexLink"/>
              </w:rPr>
              <w:t>Políticas de finalización y reejecución</w:t>
              <w:tab/>
              <w:t>11</w:t>
            </w:r>
          </w:hyperlink>
        </w:p>
        <w:p>
          <w:pPr>
            <w:pStyle w:val="TOC2"/>
            <w:tabs>
              <w:tab w:val="clear" w:pos="708"/>
              <w:tab w:val="right" w:pos="9922" w:leader="dot"/>
            </w:tabs>
            <w:rPr/>
          </w:pPr>
          <w:hyperlink w:anchor="__RefHeading___Toc2483_2748266228">
            <w:r>
              <w:rPr>
                <w:webHidden/>
                <w:rStyle w:val="IndexLink"/>
              </w:rPr>
              <w:t>Equivalencia con el legacy</w:t>
              <w:tab/>
              <w:t>12</w:t>
            </w:r>
          </w:hyperlink>
        </w:p>
        <w:p>
          <w:pPr>
            <w:pStyle w:val="TOC1"/>
            <w:tabs>
              <w:tab w:val="clear" w:pos="708"/>
              <w:tab w:val="right" w:pos="9922" w:leader="dot"/>
            </w:tabs>
            <w:rPr/>
          </w:pPr>
          <w:hyperlink w:anchor="__RefHeading___Toc2485_2748266228">
            <w:r>
              <w:rPr>
                <w:webHidden/>
                <w:rStyle w:val="IndexLink"/>
              </w:rPr>
              <w:t>Parte 2: patrón Backend for Frontend</w:t>
              <w:tab/>
              <w:t>12</w:t>
            </w:r>
          </w:hyperlink>
        </w:p>
        <w:p>
          <w:pPr>
            <w:pStyle w:val="TOC2"/>
            <w:tabs>
              <w:tab w:val="clear" w:pos="708"/>
              <w:tab w:val="right" w:pos="9922" w:leader="dot"/>
            </w:tabs>
            <w:rPr/>
          </w:pPr>
          <w:hyperlink w:anchor="__RefHeading___Toc2487_2748266228">
            <w:r>
              <w:rPr>
                <w:webHidden/>
                <w:rStyle w:val="IndexLink"/>
              </w:rPr>
              <w:t>Optimización del rendimiento</w:t>
              <w:tab/>
              <w:t>12</w:t>
            </w:r>
          </w:hyperlink>
        </w:p>
        <w:p>
          <w:pPr>
            <w:pStyle w:val="TOC2"/>
            <w:tabs>
              <w:tab w:val="clear" w:pos="708"/>
              <w:tab w:val="right" w:pos="9922" w:leader="dot"/>
            </w:tabs>
            <w:rPr/>
          </w:pPr>
          <w:hyperlink w:anchor="__RefHeading___Toc2489_2748266228">
            <w:r>
              <w:rPr>
                <w:webHidden/>
                <w:rStyle w:val="IndexLink"/>
              </w:rPr>
              <w:t>Seguridad por canal</w:t>
              <w:tab/>
              <w:t>13</w:t>
            </w:r>
          </w:hyperlink>
        </w:p>
        <w:p>
          <w:pPr>
            <w:pStyle w:val="TOC2"/>
            <w:tabs>
              <w:tab w:val="clear" w:pos="708"/>
              <w:tab w:val="right" w:pos="9922" w:leader="dot"/>
            </w:tabs>
            <w:rPr/>
          </w:pPr>
          <w:hyperlink w:anchor="__RefHeading___Toc2491_2748266228">
            <w:r>
              <w:rPr>
                <w:webHidden/>
                <w:rStyle w:val="IndexLink"/>
              </w:rPr>
              <w:t>Punto de entrada único</w:t>
              <w:tab/>
              <w:t>13</w:t>
            </w:r>
          </w:hyperlink>
        </w:p>
        <w:p>
          <w:pPr>
            <w:pStyle w:val="TOC1"/>
            <w:tabs>
              <w:tab w:val="clear" w:pos="708"/>
              <w:tab w:val="right" w:pos="9922" w:leader="dot"/>
            </w:tabs>
            <w:rPr/>
          </w:pPr>
          <w:hyperlink w:anchor="__RefHeading___Toc2493_2748266228">
            <w:r>
              <w:rPr>
                <w:webHidden/>
                <w:rStyle w:val="IndexLink"/>
              </w:rPr>
              <w:t>Parte 3: microservicios resilientes</w:t>
              <w:tab/>
              <w:t>13</w:t>
            </w:r>
          </w:hyperlink>
        </w:p>
        <w:p>
          <w:pPr>
            <w:pStyle w:val="TOC2"/>
            <w:tabs>
              <w:tab w:val="clear" w:pos="708"/>
              <w:tab w:val="right" w:pos="9922" w:leader="dot"/>
            </w:tabs>
            <w:rPr/>
          </w:pPr>
          <w:hyperlink w:anchor="__RefHeading___Toc2495_2748266228">
            <w:r>
              <w:rPr>
                <w:webHidden/>
                <w:rStyle w:val="IndexLink"/>
              </w:rPr>
              <w:t>Los tres microservicios</w:t>
              <w:tab/>
              <w:t>13</w:t>
            </w:r>
          </w:hyperlink>
        </w:p>
        <w:p>
          <w:pPr>
            <w:pStyle w:val="TOC2"/>
            <w:tabs>
              <w:tab w:val="clear" w:pos="708"/>
              <w:tab w:val="right" w:pos="9922" w:leader="dot"/>
            </w:tabs>
            <w:rPr/>
          </w:pPr>
          <w:hyperlink w:anchor="__RefHeading___Toc2497_2748266228">
            <w:r>
              <w:rPr>
                <w:webHidden/>
                <w:rStyle w:val="IndexLink"/>
              </w:rPr>
              <w:t>Spring Cloud</w:t>
              <w:tab/>
              <w:t>14</w:t>
            </w:r>
          </w:hyperlink>
        </w:p>
        <w:p>
          <w:pPr>
            <w:pStyle w:val="TOC2"/>
            <w:tabs>
              <w:tab w:val="clear" w:pos="708"/>
              <w:tab w:val="right" w:pos="9922" w:leader="dot"/>
            </w:tabs>
            <w:rPr/>
          </w:pPr>
          <w:hyperlink w:anchor="__RefHeading___Toc2499_2748266228">
            <w:r>
              <w:rPr>
                <w:webHidden/>
                <w:rStyle w:val="IndexLink"/>
              </w:rPr>
              <w:t>Seguridad con OAuth2</w:t>
              <w:tab/>
              <w:t>14</w:t>
            </w:r>
          </w:hyperlink>
        </w:p>
        <w:p>
          <w:pPr>
            <w:pStyle w:val="TOC2"/>
            <w:tabs>
              <w:tab w:val="clear" w:pos="708"/>
              <w:tab w:val="right" w:pos="9922" w:leader="dot"/>
            </w:tabs>
            <w:rPr/>
          </w:pPr>
          <w:hyperlink w:anchor="__RefHeading___Toc2501_2748266228">
            <w:r>
              <w:rPr>
                <w:webHidden/>
                <w:rStyle w:val="IndexLink"/>
              </w:rPr>
              <w:t>Resiliencia con Resilience4j</w:t>
              <w:tab/>
              <w:t>14</w:t>
            </w:r>
          </w:hyperlink>
        </w:p>
        <w:p>
          <w:pPr>
            <w:pStyle w:val="TOC2"/>
            <w:tabs>
              <w:tab w:val="clear" w:pos="708"/>
              <w:tab w:val="right" w:pos="9922" w:leader="dot"/>
            </w:tabs>
            <w:rPr/>
          </w:pPr>
          <w:hyperlink w:anchor="__RefHeading___Toc2503_2748266228">
            <w:r>
              <w:rPr>
                <w:webHidden/>
                <w:rStyle w:val="IndexLink"/>
              </w:rPr>
              <w:t>Eventos con Kafka</w:t>
              <w:tab/>
              <w:t>15</w:t>
            </w:r>
          </w:hyperlink>
        </w:p>
        <w:p>
          <w:pPr>
            <w:pStyle w:val="TOC2"/>
            <w:tabs>
              <w:tab w:val="clear" w:pos="708"/>
              <w:tab w:val="right" w:pos="9922" w:leader="dot"/>
            </w:tabs>
            <w:rPr/>
          </w:pPr>
          <w:hyperlink w:anchor="__RefHeading___Toc2505_2748266228">
            <w:r>
              <w:rPr>
                <w:webHidden/>
                <w:rStyle w:val="IndexLink"/>
              </w:rPr>
              <w:t>Consistencia de los datos</w:t>
              <w:tab/>
              <w:t>16</w:t>
            </w:r>
          </w:hyperlink>
        </w:p>
        <w:p>
          <w:pPr>
            <w:pStyle w:val="TOC2"/>
            <w:tabs>
              <w:tab w:val="clear" w:pos="708"/>
              <w:tab w:val="right" w:pos="9922" w:leader="dot"/>
            </w:tabs>
            <w:rPr/>
          </w:pPr>
          <w:hyperlink w:anchor="__RefHeading___Toc2507_2748266228">
            <w:r>
              <w:rPr>
                <w:webHidden/>
                <w:rStyle w:val="IndexLink"/>
              </w:rPr>
              <w:t>Monitoreo y registro de operaciones</w:t>
              <w:tab/>
              <w:t>17</w:t>
            </w:r>
          </w:hyperlink>
        </w:p>
        <w:p>
          <w:pPr>
            <w:pStyle w:val="TOC1"/>
            <w:tabs>
              <w:tab w:val="clear" w:pos="708"/>
              <w:tab w:val="right" w:pos="9922" w:leader="dot"/>
            </w:tabs>
            <w:rPr/>
          </w:pPr>
          <w:hyperlink w:anchor="__RefHeading___Toc2509_2748266228">
            <w:r>
              <w:rPr>
                <w:webHidden/>
                <w:rStyle w:val="IndexLink"/>
              </w:rPr>
              <w:t>Contenedores, escalabilidad y despliegue en AWS</w:t>
              <w:tab/>
              <w:t>17</w:t>
            </w:r>
          </w:hyperlink>
        </w:p>
        <w:p>
          <w:pPr>
            <w:pStyle w:val="TOC2"/>
            <w:tabs>
              <w:tab w:val="clear" w:pos="708"/>
              <w:tab w:val="right" w:pos="9922" w:leader="dot"/>
            </w:tabs>
            <w:rPr/>
          </w:pPr>
          <w:hyperlink w:anchor="__RefHeading___Toc2511_2748266228">
            <w:r>
              <w:rPr>
                <w:webHidden/>
                <w:rStyle w:val="IndexLink"/>
              </w:rPr>
              <w:t>Docker y Docker Compose</w:t>
              <w:tab/>
              <w:t>17</w:t>
            </w:r>
          </w:hyperlink>
        </w:p>
        <w:p>
          <w:pPr>
            <w:pStyle w:val="TOC2"/>
            <w:tabs>
              <w:tab w:val="clear" w:pos="708"/>
              <w:tab w:val="right" w:pos="9922" w:leader="dot"/>
            </w:tabs>
            <w:rPr/>
          </w:pPr>
          <w:hyperlink w:anchor="__RefHeading___Toc2513_2748266228">
            <w:r>
              <w:rPr>
                <w:webHidden/>
                <w:rStyle w:val="IndexLink"/>
              </w:rPr>
              <w:t>Escalabilidad horizontal</w:t>
              <w:tab/>
              <w:t>17</w:t>
            </w:r>
          </w:hyperlink>
        </w:p>
        <w:p>
          <w:pPr>
            <w:pStyle w:val="TOC2"/>
            <w:tabs>
              <w:tab w:val="clear" w:pos="708"/>
              <w:tab w:val="right" w:pos="9922" w:leader="dot"/>
            </w:tabs>
            <w:rPr/>
          </w:pPr>
          <w:hyperlink w:anchor="__RefHeading___Toc2515_2748266228">
            <w:r>
              <w:rPr>
                <w:webHidden/>
                <w:rStyle w:val="IndexLink"/>
              </w:rPr>
              <w:t>Despliegue en AWS</w:t>
              <w:tab/>
              <w:t>18</w:t>
            </w:r>
          </w:hyperlink>
        </w:p>
        <w:p>
          <w:pPr>
            <w:pStyle w:val="TOC1"/>
            <w:tabs>
              <w:tab w:val="clear" w:pos="708"/>
              <w:tab w:val="right" w:pos="9922" w:leader="dot"/>
            </w:tabs>
            <w:rPr/>
          </w:pPr>
          <w:hyperlink w:anchor="__RefHeading___Toc2517_2748266228">
            <w:r>
              <w:rPr>
                <w:webHidden/>
                <w:rStyle w:val="IndexLink"/>
              </w:rPr>
              <w:t>Integración entre los componentes</w:t>
              <w:tab/>
              <w:t>19</w:t>
            </w:r>
          </w:hyperlink>
        </w:p>
        <w:p>
          <w:pPr>
            <w:pStyle w:val="TOC1"/>
            <w:tabs>
              <w:tab w:val="clear" w:pos="708"/>
              <w:tab w:val="right" w:pos="9922" w:leader="dot"/>
            </w:tabs>
            <w:rPr/>
          </w:pPr>
          <w:hyperlink w:anchor="__RefHeading___Toc2519_2748266228">
            <w:r>
              <w:rPr>
                <w:webHidden/>
                <w:rStyle w:val="IndexLink"/>
              </w:rPr>
              <w:t>Verificación</w:t>
              <w:tab/>
              <w:t>19</w:t>
            </w:r>
          </w:hyperlink>
        </w:p>
        <w:p>
          <w:pPr>
            <w:pStyle w:val="TOC1"/>
            <w:tabs>
              <w:tab w:val="clear" w:pos="708"/>
              <w:tab w:val="right" w:pos="9922" w:leader="dot"/>
            </w:tabs>
            <w:rPr/>
          </w:pPr>
          <w:hyperlink w:anchor="__RefHeading___Toc2521_2748266228">
            <w:r>
              <w:rPr>
                <w:webHidden/>
                <w:rStyle w:val="IndexLink"/>
              </w:rPr>
              <w:t>Comparación con el sistema legacy</w:t>
              <w:tab/>
              <w:t>20</w:t>
            </w:r>
          </w:hyperlink>
        </w:p>
        <w:p>
          <w:pPr>
            <w:pStyle w:val="TOC1"/>
            <w:tabs>
              <w:tab w:val="clear" w:pos="708"/>
              <w:tab w:val="right" w:pos="9922" w:leader="dot"/>
            </w:tabs>
            <w:rPr/>
          </w:pPr>
          <w:hyperlink w:anchor="__RefHeading___Toc2523_2748266228">
            <w:r>
              <w:rPr>
                <w:webHidden/>
                <w:rStyle w:val="IndexLink"/>
              </w:rPr>
              <w:t>Desafíos y soluciones</w:t>
              <w:tab/>
              <w:t>21</w:t>
            </w:r>
          </w:hyperlink>
        </w:p>
        <w:p>
          <w:pPr>
            <w:pStyle w:val="TOC1"/>
            <w:tabs>
              <w:tab w:val="clear" w:pos="708"/>
              <w:tab w:val="right" w:pos="9922" w:leader="dot"/>
            </w:tabs>
            <w:rPr/>
          </w:pPr>
          <w:hyperlink w:anchor="__RefHeading___Toc2525_2748266228">
            <w:r>
              <w:rPr>
                <w:webHidden/>
                <w:rStyle w:val="IndexLink"/>
              </w:rPr>
              <w:t>Propuestas de mejora y próximos pasos</w:t>
              <w:tab/>
              <w:t>22</w:t>
            </w:r>
          </w:hyperlink>
        </w:p>
        <w:p>
          <w:pPr>
            <w:pStyle w:val="TOC1"/>
            <w:tabs>
              <w:tab w:val="clear" w:pos="708"/>
              <w:tab w:val="right" w:pos="9922" w:leader="dot"/>
            </w:tabs>
            <w:rPr/>
          </w:pPr>
          <w:hyperlink w:anchor="__RefHeading___Toc2527_2748266228">
            <w:r>
              <w:rPr>
                <w:webHidden/>
                <w:rStyle w:val="IndexLink"/>
              </w:rPr>
              <w:t>Conclusiones</w:t>
              <w:tab/>
              <w:t>22</w:t>
            </w:r>
          </w:hyperlink>
        </w:p>
        <w:p>
          <w:pPr>
            <w:pStyle w:val="TOC1"/>
            <w:tabs>
              <w:tab w:val="clear" w:pos="708"/>
              <w:tab w:val="right" w:pos="9922" w:leader="dot"/>
            </w:tabs>
            <w:rPr/>
          </w:pPr>
          <w:hyperlink w:anchor="__RefHeading___Toc2529_2748266228">
            <w:r>
              <w:rPr>
                <w:webHidden/>
                <w:rStyle w:val="IndexLink"/>
              </w:rPr>
              <w:t>Referencias</w:t>
              <w:tab/>
              <w:t>23</w:t>
            </w:r>
          </w:hyperlink>
          <w:r>
            <w:rPr>
              <w:rStyle w:val="IndexLink"/>
            </w:rPr>
            <w:fldChar w:fldCharType="end"/>
          </w:r>
        </w:p>
      </w:sdtContent>
    </w:sdt>
    <w:p>
      <w:pPr>
        <w:pStyle w:val="Normal"/>
        <w:spacing w:before="0" w:after="160"/>
        <w:ind w:hanging="0" w:left="459" w:right="0"/>
        <w:rPr>
          <w:u w:val="single"/>
        </w:rPr>
      </w:pPr>
      <w:r>
        <w:rPr>
          <w:u w:val="single"/>
        </w:rPr>
      </w:r>
      <w:r>
        <w:br w:type="page"/>
      </w:r>
    </w:p>
    <w:p>
      <w:pPr>
        <w:pStyle w:val="Heading1"/>
        <w:keepNext w:val="true"/>
        <w:spacing w:before="0" w:after="360"/>
        <w:rPr/>
      </w:pPr>
      <w:bookmarkStart w:id="12" w:name="__RefHeading___Toc2459_2748266228"/>
      <w:bookmarkEnd w:id="12"/>
      <w:r>
        <w:rPr/>
        <w:t>Resumen ejecutivo</w:t>
      </w:r>
    </w:p>
    <w:p>
      <w:pPr>
        <w:pStyle w:val="Normal"/>
        <w:spacing w:lineRule="auto" w:line="276" w:before="0" w:after="160"/>
        <w:jc w:val="both"/>
        <w:rPr/>
      </w:pPr>
      <w:r>
        <w:rPr/>
        <w:t>El Banco XYZ opera desde hace más de treinta años sobre una plataforma legacy en COBOL y scripts Shell que corre en mainframe. Esa plataforma es costosa de mantener, no escala y dificulta integrar tecnologías nuevas. Este informe documenta la solución desarrollada para modernizarla: una arquitectura de microservicios, empaquetada en contenedores y lista para desplegarse en la nube.</w:t>
      </w:r>
    </w:p>
    <w:p>
      <w:pPr>
        <w:pStyle w:val="Normal"/>
        <w:spacing w:lineRule="auto" w:line="276" w:before="0" w:after="160"/>
        <w:jc w:val="both"/>
        <w:rPr/>
      </w:pPr>
      <w:r>
        <w:rPr/>
        <w:t>La solución cubre las tres partes del encargo dentro de un mismo repositorio, que se construye y se levanta con un solo comando:</w:t>
      </w:r>
    </w:p>
    <w:p>
      <w:pPr>
        <w:pStyle w:val="ListParagraph"/>
        <w:keepNext w:val="false"/>
        <w:keepLines w:val="false"/>
        <w:numPr>
          <w:ilvl w:val="0"/>
          <w:numId w:val="3"/>
        </w:numPr>
        <w:spacing w:lineRule="auto" w:line="276" w:before="0" w:after="0"/>
        <w:ind w:hanging="360" w:left="720" w:right="0"/>
        <w:contextualSpacing/>
        <w:jc w:val="both"/>
        <w:rPr/>
      </w:pPr>
      <w:r>
        <w:rPr>
          <w:b/>
        </w:rPr>
        <w:t>Parte 1. Procesos batch.</w:t>
      </w:r>
      <w:r>
        <w:rPr/>
        <w:t xml:space="preserve"> Los tres procesos nocturnos del legacy (reporte de transacciones diarias, cálculo de intereses y estados de cuenta anuales) se reescribieron como Jobs de Spring Batch, con manejo de errores, procesamiento en paralelo y reejecución automática.</w:t>
      </w:r>
    </w:p>
    <w:p>
      <w:pPr>
        <w:pStyle w:val="ListParagraph"/>
        <w:keepNext w:val="false"/>
        <w:keepLines w:val="false"/>
        <w:numPr>
          <w:ilvl w:val="0"/>
          <w:numId w:val="3"/>
        </w:numPr>
        <w:spacing w:lineRule="auto" w:line="276" w:before="0" w:after="0"/>
        <w:ind w:hanging="360" w:left="720" w:right="0"/>
        <w:contextualSpacing/>
        <w:jc w:val="both"/>
        <w:rPr/>
      </w:pPr>
      <w:r>
        <w:rPr>
          <w:b/>
        </w:rPr>
        <w:t>Parte 2. Backend for Frontend.</w:t>
      </w:r>
      <w:r>
        <w:rPr/>
        <w:t xml:space="preserve"> Cada canal (web, móvil y cajero automático) tiene su propio backend, con su autenticación, su formato de respuesta y su certificado HTTPS.</w:t>
      </w:r>
    </w:p>
    <w:p>
      <w:pPr>
        <w:pStyle w:val="ListParagraph"/>
        <w:keepNext w:val="false"/>
        <w:keepLines w:val="false"/>
        <w:numPr>
          <w:ilvl w:val="0"/>
          <w:numId w:val="3"/>
        </w:numPr>
        <w:spacing w:lineRule="auto" w:line="276" w:before="0" w:after="80"/>
        <w:ind w:hanging="360" w:left="720" w:right="0"/>
        <w:contextualSpacing/>
        <w:jc w:val="both"/>
        <w:rPr/>
      </w:pPr>
      <w:r>
        <w:rPr>
          <w:b/>
        </w:rPr>
        <w:t>Parte 3. Microservicios resilientes.</w:t>
      </w:r>
      <w:r>
        <w:rPr/>
        <w:t xml:space="preserve"> El monolito se dividió en tres microservicios con base de datos propia (clientes, cuentas y pagos), sobre Spring Cloud, protegidos con OAuth2, tolerantes a fallos con Resilience4j y comunicados por eventos a través de Apache Kafka.</w:t>
      </w:r>
    </w:p>
    <w:p>
      <w:pPr>
        <w:pStyle w:val="Normal"/>
        <w:spacing w:before="0" w:after="40"/>
        <w:rPr/>
      </w:pPr>
      <w:r>
        <w:rPr/>
      </w:r>
    </w:p>
    <w:p>
      <w:pPr>
        <w:pStyle w:val="Normal"/>
        <w:spacing w:lineRule="auto" w:line="276" w:before="0" w:after="160"/>
        <w:jc w:val="both"/>
        <w:rPr/>
      </w:pPr>
      <w:r>
        <w:rPr/>
        <w:t>El sistema completo son doce aplicaciones Spring Boot más PostgreSQL y Kafka, cada una en su contenedor Docker. El mismo archivo de orquestación sirve para ejecutarlo en un computador, en integración continua y en una instancia de AWS, donde los tres microservicios de negocio se escalan a varias réplicas sin detener el servicio.</w:t>
      </w:r>
    </w:p>
    <w:p>
      <w:pPr>
        <w:pStyle w:val="Heading1"/>
        <w:keepNext w:val="true"/>
        <w:rPr/>
      </w:pPr>
      <w:bookmarkStart w:id="13" w:name="__RefHeading___Toc2461_2748266228"/>
      <w:bookmarkEnd w:id="13"/>
      <w:r>
        <w:rPr/>
        <w:t>Diagnóstico del sistema legacy</w:t>
      </w:r>
    </w:p>
    <w:p>
      <w:pPr>
        <w:pStyle w:val="Normal"/>
        <w:spacing w:lineRule="auto" w:line="276" w:before="0" w:after="160"/>
        <w:jc w:val="both"/>
        <w:rPr/>
      </w:pPr>
      <w:r>
        <w:rPr/>
        <w:t>El caso describe tres problemas, uno por cada parte del encargo. La tabla los resume junto con la consecuencia que tienen para el banco.</w:t>
      </w:r>
    </w:p>
    <w:tbl>
      <w:tblPr>
        <w:tblStyle w:val="792"/>
        <w:tblW w:w="9752" w:type="dxa"/>
        <w:jc w:val="center"/>
        <w:tblInd w:w="0" w:type="dxa"/>
        <w:tblLayout w:type="fixed"/>
        <w:tblCellMar>
          <w:top w:w="60" w:type="dxa"/>
          <w:left w:w="90" w:type="dxa"/>
          <w:bottom w:w="60" w:type="dxa"/>
          <w:right w:w="90" w:type="dxa"/>
        </w:tblCellMar>
        <w:tblLook w:val="04a0" w:noHBand="0" w:noVBand="1" w:firstColumn="1" w:lastRow="0" w:lastColumn="0" w:firstRow="1"/>
      </w:tblPr>
      <w:tblGrid>
        <w:gridCol w:w="1700"/>
        <w:gridCol w:w="4082"/>
        <w:gridCol w:w="3970"/>
      </w:tblGrid>
      <w:tr>
        <w:trPr>
          <w:tblHeader w:val="true"/>
          <w:cantSplit w:val="true"/>
        </w:trPr>
        <w:tc>
          <w:tcPr>
            <w:tcW w:w="1700" w:type="dxa"/>
            <w:tcBorders/>
            <w:shd w:color="auto" w:fill="D9E2F3" w:val="clear"/>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b/>
                <w:kern w:val="0"/>
                <w:sz w:val="18"/>
                <w:szCs w:val="22"/>
                <w:lang w:val="es-CL" w:eastAsia="en-US" w:bidi="ar-SA"/>
              </w:rPr>
              <w:t>Ámbito</w:t>
            </w:r>
          </w:p>
        </w:tc>
        <w:tc>
          <w:tcPr>
            <w:tcW w:w="4082" w:type="dxa"/>
            <w:tcBorders/>
            <w:shd w:color="auto" w:fill="D9E2F3" w:val="clear"/>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b/>
                <w:kern w:val="0"/>
                <w:sz w:val="18"/>
                <w:szCs w:val="22"/>
                <w:lang w:val="es-CL" w:eastAsia="en-US" w:bidi="ar-SA"/>
              </w:rPr>
              <w:t>Situación actual</w:t>
            </w:r>
          </w:p>
        </w:tc>
        <w:tc>
          <w:tcPr>
            <w:tcW w:w="3970" w:type="dxa"/>
            <w:tcBorders/>
            <w:shd w:color="auto" w:fill="D9E2F3" w:val="clear"/>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b/>
                <w:kern w:val="0"/>
                <w:sz w:val="18"/>
                <w:szCs w:val="22"/>
                <w:lang w:val="es-CL" w:eastAsia="en-US" w:bidi="ar-SA"/>
              </w:rPr>
              <w:t>Consecuencia para el banco</w:t>
            </w:r>
          </w:p>
        </w:tc>
      </w:tr>
      <w:tr>
        <w:trPr>
          <w:cantSplit w:val="true"/>
        </w:trPr>
        <w:tc>
          <w:tcPr>
            <w:tcW w:w="1700"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Procesos batch</w:t>
            </w:r>
          </w:p>
        </w:tc>
        <w:tc>
          <w:tcPr>
            <w:tcW w:w="4082"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Tres procesos secuenciales en COBOL y Shell. Los archivos de entrada traen errores: fechas en varios formatos, montos negativos o vacíos, tipos inválidos y duplicados.</w:t>
            </w:r>
          </w:p>
        </w:tc>
        <w:tc>
          <w:tcPr>
            <w:tcW w:w="3970"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Un registro inválido puede detener un proceso completo. Ante una falla hay que repetir todo. Los errores llegan a los reportes.</w:t>
            </w:r>
          </w:p>
        </w:tc>
      </w:tr>
      <w:tr>
        <w:trPr>
          <w:cantSplit w:val="true"/>
        </w:trPr>
        <w:tc>
          <w:tcPr>
            <w:tcW w:w="1700"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Canales</w:t>
            </w:r>
          </w:p>
        </w:tc>
        <w:tc>
          <w:tcPr>
            <w:tcW w:w="4082"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Web, móvil y cajeros se conectan al mismo backend monolítico y reciben los mismos datos.</w:t>
            </w:r>
          </w:p>
        </w:tc>
        <w:tc>
          <w:tcPr>
            <w:tcW w:w="3970"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Sobrecarga innecesaria en canales con poco ancho de banda. Los equipos de frontend dependen de los tiempos del backend.</w:t>
            </w:r>
          </w:p>
        </w:tc>
      </w:tr>
      <w:tr>
        <w:trPr>
          <w:cantSplit w:val="true"/>
        </w:trPr>
        <w:tc>
          <w:tcPr>
            <w:tcW w:w="1700"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Arquitectura</w:t>
            </w:r>
          </w:p>
        </w:tc>
        <w:tc>
          <w:tcPr>
            <w:tcW w:w="4082"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Un monolito con seguridad única y centralizada.</w:t>
            </w:r>
          </w:p>
        </w:tc>
        <w:tc>
          <w:tcPr>
            <w:tcW w:w="3970"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Solo escala comprando un mainframe mayor. Una falla en un módulo afecta a todos. El riesgo de seguridad se concentra en un punto.</w:t>
            </w:r>
          </w:p>
        </w:tc>
      </w:tr>
    </w:tbl>
    <w:p>
      <w:pPr>
        <w:pStyle w:val="Normal"/>
        <w:spacing w:before="0" w:after="120"/>
        <w:rPr/>
      </w:pPr>
      <w:r>
        <w:rPr/>
      </w:r>
    </w:p>
    <w:p>
      <w:pPr>
        <w:pStyle w:val="Heading1"/>
        <w:keepNext w:val="true"/>
        <w:rPr/>
      </w:pPr>
      <w:bookmarkStart w:id="14" w:name="__RefHeading___Toc2463_2748266228"/>
      <w:bookmarkEnd w:id="14"/>
      <w:r>
        <w:rPr/>
        <w:t>Procesos clave de la migración</w:t>
      </w:r>
    </w:p>
    <w:p>
      <w:pPr>
        <w:pStyle w:val="Normal"/>
        <w:spacing w:lineRule="auto" w:line="276" w:before="0" w:after="160"/>
        <w:jc w:val="both"/>
        <w:rPr/>
      </w:pPr>
      <w:r>
        <w:rPr/>
        <w:t>Migrar a microservicios no es un único cambio, sino cinco procesos que se apoyan entre sí. Se identificaron los siguientes, y cada uno quedó materializado en módulos concretos del repositorio.</w:t>
      </w:r>
    </w:p>
    <w:tbl>
      <w:tblPr>
        <w:tblStyle w:val="792"/>
        <w:tblW w:w="9752" w:type="dxa"/>
        <w:jc w:val="center"/>
        <w:tblInd w:w="0" w:type="dxa"/>
        <w:tblLayout w:type="fixed"/>
        <w:tblCellMar>
          <w:top w:w="60" w:type="dxa"/>
          <w:left w:w="90" w:type="dxa"/>
          <w:bottom w:w="60" w:type="dxa"/>
          <w:right w:w="90" w:type="dxa"/>
        </w:tblCellMar>
        <w:tblLook w:val="04a0" w:noHBand="0" w:noVBand="1" w:firstColumn="1" w:lastRow="0" w:lastColumn="0" w:firstRow="1"/>
      </w:tblPr>
      <w:tblGrid>
        <w:gridCol w:w="566"/>
        <w:gridCol w:w="2382"/>
        <w:gridCol w:w="3969"/>
        <w:gridCol w:w="2834"/>
      </w:tblGrid>
      <w:tr>
        <w:trPr>
          <w:tblHeader w:val="true"/>
          <w:cantSplit w:val="true"/>
        </w:trPr>
        <w:tc>
          <w:tcPr>
            <w:tcW w:w="566" w:type="dxa"/>
            <w:tcBorders/>
            <w:shd w:color="auto" w:fill="D9E2F3" w:val="clear"/>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b/>
                <w:kern w:val="0"/>
                <w:sz w:val="18"/>
                <w:szCs w:val="22"/>
                <w:lang w:val="es-CL" w:eastAsia="en-US" w:bidi="ar-SA"/>
              </w:rPr>
              <w:t>N.º</w:t>
            </w:r>
          </w:p>
        </w:tc>
        <w:tc>
          <w:tcPr>
            <w:tcW w:w="2382" w:type="dxa"/>
            <w:tcBorders/>
            <w:shd w:color="auto" w:fill="D9E2F3" w:val="clear"/>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b/>
                <w:kern w:val="0"/>
                <w:sz w:val="18"/>
                <w:szCs w:val="22"/>
                <w:lang w:val="es-CL" w:eastAsia="en-US" w:bidi="ar-SA"/>
              </w:rPr>
              <w:t>Proceso clave</w:t>
            </w:r>
          </w:p>
        </w:tc>
        <w:tc>
          <w:tcPr>
            <w:tcW w:w="3969" w:type="dxa"/>
            <w:tcBorders/>
            <w:shd w:color="auto" w:fill="D9E2F3" w:val="clear"/>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b/>
                <w:kern w:val="0"/>
                <w:sz w:val="18"/>
                <w:szCs w:val="22"/>
                <w:lang w:val="es-CL" w:eastAsia="en-US" w:bidi="ar-SA"/>
              </w:rPr>
              <w:t>En qué consiste</w:t>
            </w:r>
          </w:p>
        </w:tc>
        <w:tc>
          <w:tcPr>
            <w:tcW w:w="2834" w:type="dxa"/>
            <w:tcBorders/>
            <w:shd w:color="auto" w:fill="D9E2F3" w:val="clear"/>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b/>
                <w:kern w:val="0"/>
                <w:sz w:val="18"/>
                <w:szCs w:val="22"/>
                <w:lang w:val="es-CL" w:eastAsia="en-US" w:bidi="ar-SA"/>
              </w:rPr>
              <w:t>Dónde se implementó</w:t>
            </w:r>
          </w:p>
        </w:tc>
      </w:tr>
      <w:tr>
        <w:trPr>
          <w:cantSplit w:val="true"/>
        </w:trPr>
        <w:tc>
          <w:tcPr>
            <w:tcW w:w="566"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1</w:t>
            </w:r>
          </w:p>
        </w:tc>
        <w:tc>
          <w:tcPr>
            <w:tcW w:w="2382"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Migración de procesos batch a Spring Batch</w:t>
            </w:r>
          </w:p>
        </w:tc>
        <w:tc>
          <w:tcPr>
            <w:tcW w:w="3969"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Reescribir los tres procesos legacy como Jobs con lectura, procesamiento y escritura por lotes, tolerantes a datos erróneos y reanudables.</w:t>
            </w:r>
          </w:p>
        </w:tc>
        <w:tc>
          <w:tcPr>
            <w:tcW w:w="2834"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Módulo batch</w:t>
            </w:r>
          </w:p>
        </w:tc>
      </w:tr>
      <w:tr>
        <w:trPr>
          <w:cantSplit w:val="true"/>
        </w:trPr>
        <w:tc>
          <w:tcPr>
            <w:tcW w:w="566"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2</w:t>
            </w:r>
          </w:p>
        </w:tc>
        <w:tc>
          <w:tcPr>
            <w:tcW w:w="2382"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División del monolito en microservicios</w:t>
            </w:r>
          </w:p>
        </w:tc>
        <w:tc>
          <w:tcPr>
            <w:tcW w:w="3969"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Separar el sistema por capacidad de negocio. Cada servicio es dueño de sus datos y se despliega por separado.</w:t>
            </w:r>
          </w:p>
        </w:tc>
        <w:tc>
          <w:tcPr>
            <w:tcW w:w="2834"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clientes-service, cuentas-service, pagos-service</w:t>
            </w:r>
          </w:p>
        </w:tc>
      </w:tr>
      <w:tr>
        <w:trPr>
          <w:cantSplit w:val="true"/>
        </w:trPr>
        <w:tc>
          <w:tcPr>
            <w:tcW w:w="566"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3</w:t>
            </w:r>
          </w:p>
        </w:tc>
        <w:tc>
          <w:tcPr>
            <w:tcW w:w="2382"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Implementación del patrón BFF</w:t>
            </w:r>
          </w:p>
        </w:tc>
        <w:tc>
          <w:tcPr>
            <w:tcW w:w="3969"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Dar a cada canal un backend propio que adapta los datos y la seguridad a sus necesidades.</w:t>
            </w:r>
          </w:p>
        </w:tc>
        <w:tc>
          <w:tcPr>
            <w:tcW w:w="2834"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bff-web, bff-mobile, bff-atm y api-gateway</w:t>
            </w:r>
          </w:p>
        </w:tc>
      </w:tr>
      <w:tr>
        <w:trPr>
          <w:cantSplit w:val="true"/>
        </w:trPr>
        <w:tc>
          <w:tcPr>
            <w:tcW w:w="566"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4</w:t>
            </w:r>
          </w:p>
        </w:tc>
        <w:tc>
          <w:tcPr>
            <w:tcW w:w="2382"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Seguridad distribuida con Spring Security y OAuth2</w:t>
            </w:r>
          </w:p>
        </w:tc>
        <w:tc>
          <w:tcPr>
            <w:tcW w:w="3969"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Reemplazar la seguridad central por tokens que cada servicio valida por su cuenta, con permisos mínimos por componente.</w:t>
            </w:r>
          </w:p>
        </w:tc>
        <w:tc>
          <w:tcPr>
            <w:tcW w:w="2834"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auth-server y la configuración de seguridad de cada servicio</w:t>
            </w:r>
          </w:p>
        </w:tc>
      </w:tr>
      <w:tr>
        <w:trPr>
          <w:cantSplit w:val="true"/>
        </w:trPr>
        <w:tc>
          <w:tcPr>
            <w:tcW w:w="566"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5</w:t>
            </w:r>
          </w:p>
        </w:tc>
        <w:tc>
          <w:tcPr>
            <w:tcW w:w="2382"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Mensajería asíncrona con Apache Kafka</w:t>
            </w:r>
          </w:p>
        </w:tc>
        <w:tc>
          <w:tcPr>
            <w:tcW w:w="3969"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Comunicar los servicios mediante eventos, para desacoplarlos y coordinar operaciones que abarcan más de un servicio.</w:t>
            </w:r>
          </w:p>
        </w:tc>
        <w:tc>
          <w:tcPr>
            <w:tcW w:w="2834"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pagos-service, cuentas-service, clientes-service y notificaciones-service</w:t>
            </w:r>
          </w:p>
        </w:tc>
      </w:tr>
    </w:tbl>
    <w:p>
      <w:pPr>
        <w:pStyle w:val="Normal"/>
        <w:spacing w:before="0" w:after="120"/>
        <w:rPr/>
      </w:pPr>
      <w:r>
        <w:rPr/>
      </w:r>
    </w:p>
    <w:p>
      <w:pPr>
        <w:pStyle w:val="Normal"/>
        <w:spacing w:lineRule="auto" w:line="276" w:before="0" w:after="160"/>
        <w:jc w:val="both"/>
        <w:rPr/>
      </w:pPr>
      <w:r>
        <w:rPr/>
        <w:t>El orden importa. La división en microservicios (2) obliga a resolver la seguridad entre ellos (4) y la consistencia de las operaciones que cruzan servicios, que se resuelve con eventos (5). El patrón BFF (3) protege a los canales de esa división: un frontend sigue haciendo una sola llamada aunque detrás haya tres servicios. La migración batch (1) es independiente del resto y por eso pudo abordarse primero.</w:t>
      </w:r>
    </w:p>
    <w:p>
      <w:pPr>
        <w:pStyle w:val="Heading1"/>
        <w:keepNext w:val="true"/>
        <w:rPr/>
      </w:pPr>
      <w:bookmarkStart w:id="15" w:name="__RefHeading___Toc2465_2748266228"/>
      <w:bookmarkEnd w:id="15"/>
      <w:r>
        <w:rPr/>
        <w:t>Requerimientos del negocio y propuesta de arquitectura</w:t>
      </w:r>
    </w:p>
    <w:p>
      <w:pPr>
        <w:pStyle w:val="Heading2"/>
        <w:keepNext w:val="true"/>
        <w:rPr/>
      </w:pPr>
      <w:bookmarkStart w:id="16" w:name="__RefHeading___Toc2467_2748266228"/>
      <w:bookmarkEnd w:id="16"/>
      <w:r>
        <w:rPr/>
        <w:t>Tres requerimientos clave</w:t>
      </w:r>
    </w:p>
    <w:p>
      <w:pPr>
        <w:pStyle w:val="Normal"/>
        <w:spacing w:lineRule="auto" w:line="276" w:before="0" w:after="160"/>
        <w:jc w:val="both"/>
        <w:rPr/>
      </w:pPr>
      <w:r>
        <w:rPr/>
        <w:t>El caso pide que la nueva plataforma cumpla con escalabilidad, seguridad y eficiencia operativa. De ahí se desprenden los tres requerimientos que guiaron cada decisión de diseño.</w:t>
      </w:r>
    </w:p>
    <w:tbl>
      <w:tblPr>
        <w:tblStyle w:val="792"/>
        <w:tblW w:w="9752" w:type="dxa"/>
        <w:jc w:val="center"/>
        <w:tblInd w:w="0" w:type="dxa"/>
        <w:tblLayout w:type="fixed"/>
        <w:tblCellMar>
          <w:top w:w="60" w:type="dxa"/>
          <w:left w:w="90" w:type="dxa"/>
          <w:bottom w:w="60" w:type="dxa"/>
          <w:right w:w="90" w:type="dxa"/>
        </w:tblCellMar>
        <w:tblLook w:val="04a0" w:noHBand="0" w:noVBand="1" w:firstColumn="1" w:lastRow="0" w:lastColumn="0" w:firstRow="1"/>
      </w:tblPr>
      <w:tblGrid>
        <w:gridCol w:w="2438"/>
        <w:gridCol w:w="3004"/>
        <w:gridCol w:w="4310"/>
      </w:tblGrid>
      <w:tr>
        <w:trPr>
          <w:tblHeader w:val="true"/>
          <w:cantSplit w:val="true"/>
        </w:trPr>
        <w:tc>
          <w:tcPr>
            <w:tcW w:w="2438" w:type="dxa"/>
            <w:tcBorders/>
            <w:shd w:color="auto" w:fill="D9E2F3" w:val="clear"/>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b/>
                <w:kern w:val="0"/>
                <w:sz w:val="18"/>
                <w:szCs w:val="22"/>
                <w:lang w:val="es-CL" w:eastAsia="en-US" w:bidi="ar-SA"/>
              </w:rPr>
              <w:t>Requerimiento del negocio</w:t>
            </w:r>
          </w:p>
        </w:tc>
        <w:tc>
          <w:tcPr>
            <w:tcW w:w="3004" w:type="dxa"/>
            <w:tcBorders/>
            <w:shd w:color="auto" w:fill="D9E2F3" w:val="clear"/>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b/>
                <w:kern w:val="0"/>
                <w:sz w:val="18"/>
                <w:szCs w:val="22"/>
                <w:lang w:val="es-CL" w:eastAsia="en-US" w:bidi="ar-SA"/>
              </w:rPr>
              <w:t>Qué exige en concreto</w:t>
            </w:r>
          </w:p>
        </w:tc>
        <w:tc>
          <w:tcPr>
            <w:tcW w:w="4310" w:type="dxa"/>
            <w:tcBorders/>
            <w:shd w:color="auto" w:fill="D9E2F3" w:val="clear"/>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b/>
                <w:kern w:val="0"/>
                <w:sz w:val="18"/>
                <w:szCs w:val="22"/>
                <w:lang w:val="es-CL" w:eastAsia="en-US" w:bidi="ar-SA"/>
              </w:rPr>
              <w:t>Cómo responde la arquitectura</w:t>
            </w:r>
          </w:p>
        </w:tc>
      </w:tr>
      <w:tr>
        <w:trPr>
          <w:cantSplit w:val="true"/>
        </w:trPr>
        <w:tc>
          <w:tcPr>
            <w:tcW w:w="2438"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b/>
                <w:kern w:val="0"/>
                <w:sz w:val="18"/>
                <w:szCs w:val="22"/>
                <w:lang w:val="es-CL" w:eastAsia="en-US" w:bidi="ar-SA"/>
              </w:rPr>
              <w:t>1. Escalabilidad y adaptación a la demanda</w:t>
            </w:r>
          </w:p>
        </w:tc>
        <w:tc>
          <w:tcPr>
            <w:tcW w:w="3004"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Atender más carga agregando capacidad, sin detener el servicio ni reemplazar el hardware.</w:t>
            </w:r>
          </w:p>
        </w:tc>
        <w:tc>
          <w:tcPr>
            <w:tcW w:w="4310"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Microservicios sin estado en memoria, con base de datos propia; réplicas que se registran solas en Eureka; balanceo de carga en el gateway y en cada cliente; particiones de Kafka repartidas entre réplicas; contenedores Docker.</w:t>
            </w:r>
          </w:p>
        </w:tc>
      </w:tr>
      <w:tr>
        <w:trPr>
          <w:cantSplit w:val="true"/>
        </w:trPr>
        <w:tc>
          <w:tcPr>
            <w:tcW w:w="2438"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b/>
                <w:kern w:val="0"/>
                <w:sz w:val="18"/>
                <w:szCs w:val="22"/>
                <w:lang w:val="es-CL" w:eastAsia="en-US" w:bidi="ar-SA"/>
              </w:rPr>
              <w:t>2. Seguridad en un entorno distribuido</w:t>
            </w:r>
          </w:p>
        </w:tc>
        <w:tc>
          <w:tcPr>
            <w:tcW w:w="3004"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Proteger los datos y el dinero cuando ya no existe un único punto de control.</w:t>
            </w:r>
          </w:p>
        </w:tc>
        <w:tc>
          <w:tcPr>
            <w:tcW w:w="4310"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OAuth2 entre servicios con un permiso (scope) por microservicio; autenticación propia de cada canal; HTTPS en cada canal; los microservicios no son alcanzables desde fuera de la red interna.</w:t>
            </w:r>
          </w:p>
        </w:tc>
      </w:tr>
      <w:tr>
        <w:trPr>
          <w:cantSplit w:val="true"/>
        </w:trPr>
        <w:tc>
          <w:tcPr>
            <w:tcW w:w="2438"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b/>
                <w:kern w:val="0"/>
                <w:sz w:val="18"/>
                <w:szCs w:val="22"/>
                <w:lang w:val="es-CL" w:eastAsia="en-US" w:bidi="ar-SA"/>
              </w:rPr>
              <w:t>3. Continuidad operativa y consistencia de los datos</w:t>
            </w:r>
          </w:p>
        </w:tc>
        <w:tc>
          <w:tcPr>
            <w:tcW w:w="3004"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Que la falla de un componente no detenga al resto, y que el dinero nunca se pierda ni se duplique.</w:t>
            </w:r>
          </w:p>
        </w:tc>
        <w:tc>
          <w:tcPr>
            <w:tcW w:w="4310"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Circuit breaker, reintentos y respuestas alternativas con Resilience4j; saga con compensación para las transferencias; operaciones idempotentes; procesos batch que omiten registros inválidos y se reanudan solos.</w:t>
            </w:r>
          </w:p>
        </w:tc>
      </w:tr>
    </w:tbl>
    <w:p>
      <w:pPr>
        <w:pStyle w:val="Normal"/>
        <w:spacing w:before="0" w:after="120"/>
        <w:rPr/>
      </w:pPr>
      <w:r>
        <w:rPr/>
      </w:r>
    </w:p>
    <w:p>
      <w:pPr>
        <w:pStyle w:val="Heading2"/>
        <w:keepNext w:val="true"/>
        <w:rPr/>
      </w:pPr>
      <w:bookmarkStart w:id="17" w:name="__RefHeading___Toc2469_2748266228"/>
      <w:bookmarkEnd w:id="17"/>
      <w:r>
        <w:rPr/>
        <w:t>Arquitectura propuesta</w:t>
      </w:r>
    </w:p>
    <w:p>
      <w:pPr>
        <w:pStyle w:val="Normal"/>
        <w:keepNext w:val="true"/>
        <w:spacing w:before="80" w:after="0"/>
        <w:jc w:val="center"/>
        <w:rPr/>
      </w:pPr>
      <w:r>
        <w:rPr/>
        <w:drawing>
          <wp:inline distT="0" distB="0" distL="0" distR="0">
            <wp:extent cx="6120130" cy="3691255"/>
            <wp:effectExtent l="0" t="0" r="0" b="0"/>
            <wp:docPr id="5" name="Picture 16224033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22403337" descr=""/>
                    <pic:cNvPicPr>
                      <a:picLocks noChangeAspect="1" noChangeArrowheads="1"/>
                    </pic:cNvPicPr>
                  </pic:nvPicPr>
                  <pic:blipFill>
                    <a:blip r:embed="rId4"/>
                    <a:stretch>
                      <a:fillRect/>
                    </a:stretch>
                  </pic:blipFill>
                  <pic:spPr bwMode="auto">
                    <a:xfrm>
                      <a:off x="0" y="0"/>
                      <a:ext cx="6120130" cy="3691255"/>
                    </a:xfrm>
                    <a:prstGeom prst="rect">
                      <a:avLst/>
                    </a:prstGeom>
                  </pic:spPr>
                </pic:pic>
              </a:graphicData>
            </a:graphic>
          </wp:inline>
        </w:drawing>
      </w:r>
    </w:p>
    <w:p>
      <w:pPr>
        <w:pStyle w:val="Caption"/>
        <w:spacing w:before="0" w:after="200"/>
        <w:jc w:val="center"/>
        <w:rPr/>
      </w:pPr>
      <w:r>
        <w:rPr>
          <w:i/>
          <w:sz w:val="18"/>
        </w:rPr>
        <w:t>Figura 1. Arquitectura general del sistema.</w:t>
      </w:r>
    </w:p>
    <w:p>
      <w:pPr>
        <w:pStyle w:val="Normal"/>
        <w:spacing w:lineRule="auto" w:line="276" w:before="0" w:after="160"/>
        <w:jc w:val="both"/>
        <w:rPr/>
      </w:pPr>
      <w:r>
        <w:rPr/>
        <w:t xml:space="preserve">La arquitectura se organiza en capas. Los canales entran por un único punto, el </w:t>
      </w:r>
      <w:r>
        <w:rPr>
          <w:b/>
        </w:rPr>
        <w:t>api-gateway</w:t>
      </w:r>
      <w:r>
        <w:rPr/>
        <w:t xml:space="preserve">, que enruta cada petición al BFF de su canal. Cada </w:t>
      </w:r>
      <w:r>
        <w:rPr>
          <w:b/>
        </w:rPr>
        <w:t>BFF</w:t>
      </w:r>
      <w:r>
        <w:rPr/>
        <w:t xml:space="preserve"> autentica al usuario, consulta los microservicios que necesita y arma una respuesta a la medida del canal. Los tres </w:t>
      </w:r>
      <w:r>
        <w:rPr>
          <w:b/>
        </w:rPr>
        <w:t>microservicios de negocio</w:t>
      </w:r>
      <w:r>
        <w:rPr/>
        <w:t xml:space="preserve"> son los únicos que acceden a los datos, cada uno a su propia base. Las operaciones que involucran a más de un servicio se coordinan con eventos en </w:t>
      </w:r>
      <w:r>
        <w:rPr>
          <w:b/>
        </w:rPr>
        <w:t>Kafka</w:t>
      </w:r>
      <w:r>
        <w:rPr/>
        <w:t xml:space="preserve">. Tres servicios de infraestructura dan soporte a todos: </w:t>
      </w:r>
      <w:r>
        <w:rPr>
          <w:b/>
        </w:rPr>
        <w:t>config-server</w:t>
      </w:r>
      <w:r>
        <w:rPr/>
        <w:t xml:space="preserve"> entrega la configuración, </w:t>
      </w:r>
      <w:r>
        <w:rPr>
          <w:b/>
        </w:rPr>
        <w:t>eureka-server</w:t>
      </w:r>
      <w:r>
        <w:rPr/>
        <w:t xml:space="preserve"> permite que los servicios se encuentren y </w:t>
      </w:r>
      <w:r>
        <w:rPr>
          <w:b/>
        </w:rPr>
        <w:t>auth-server</w:t>
      </w:r>
      <w:r>
        <w:rPr/>
        <w:t xml:space="preserve"> emite los tokens con que se autentican entre sí. Los </w:t>
      </w:r>
      <w:r>
        <w:rPr>
          <w:b/>
        </w:rPr>
        <w:t>procesos batch</w:t>
      </w:r>
      <w:r>
        <w:rPr/>
        <w:t xml:space="preserve"> corren aparte, a pedido, sobre su propia base de datos.</w:t>
      </w:r>
    </w:p>
    <w:p>
      <w:pPr>
        <w:pStyle w:val="Heading2"/>
        <w:keepNext w:val="true"/>
        <w:rPr/>
      </w:pPr>
      <w:bookmarkStart w:id="18" w:name="__RefHeading___Toc2471_2748266228"/>
      <w:bookmarkEnd w:id="18"/>
      <w:r>
        <w:rPr/>
        <w:t>Decisiones de arquitectura y su justificación</w:t>
      </w:r>
    </w:p>
    <w:tbl>
      <w:tblPr>
        <w:tblStyle w:val="792"/>
        <w:tblW w:w="9752" w:type="dxa"/>
        <w:jc w:val="center"/>
        <w:tblInd w:w="0" w:type="dxa"/>
        <w:tblLayout w:type="fixed"/>
        <w:tblCellMar>
          <w:top w:w="60" w:type="dxa"/>
          <w:left w:w="90" w:type="dxa"/>
          <w:bottom w:w="60" w:type="dxa"/>
          <w:right w:w="90" w:type="dxa"/>
        </w:tblCellMar>
        <w:tblLook w:val="04a0" w:noHBand="0" w:noVBand="1" w:firstColumn="1" w:lastRow="0" w:lastColumn="0" w:firstRow="1"/>
      </w:tblPr>
      <w:tblGrid>
        <w:gridCol w:w="2607"/>
        <w:gridCol w:w="2269"/>
        <w:gridCol w:w="4876"/>
      </w:tblGrid>
      <w:tr>
        <w:trPr>
          <w:tblHeader w:val="true"/>
          <w:cantSplit w:val="true"/>
        </w:trPr>
        <w:tc>
          <w:tcPr>
            <w:tcW w:w="2607" w:type="dxa"/>
            <w:tcBorders/>
            <w:shd w:color="auto" w:fill="D9E2F3" w:val="clear"/>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b/>
                <w:kern w:val="0"/>
                <w:sz w:val="18"/>
                <w:szCs w:val="22"/>
                <w:lang w:val="es-CL" w:eastAsia="en-US" w:bidi="ar-SA"/>
              </w:rPr>
              <w:t>Decisión</w:t>
            </w:r>
          </w:p>
        </w:tc>
        <w:tc>
          <w:tcPr>
            <w:tcW w:w="2269" w:type="dxa"/>
            <w:tcBorders/>
            <w:shd w:color="auto" w:fill="D9E2F3" w:val="clear"/>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b/>
                <w:kern w:val="0"/>
                <w:sz w:val="18"/>
                <w:szCs w:val="22"/>
                <w:lang w:val="es-CL" w:eastAsia="en-US" w:bidi="ar-SA"/>
              </w:rPr>
              <w:t>Alternativa descartada</w:t>
            </w:r>
          </w:p>
        </w:tc>
        <w:tc>
          <w:tcPr>
            <w:tcW w:w="4876" w:type="dxa"/>
            <w:tcBorders/>
            <w:shd w:color="auto" w:fill="D9E2F3" w:val="clear"/>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b/>
                <w:kern w:val="0"/>
                <w:sz w:val="18"/>
                <w:szCs w:val="22"/>
                <w:lang w:val="es-CL" w:eastAsia="en-US" w:bidi="ar-SA"/>
              </w:rPr>
              <w:t>Justificación</w:t>
            </w:r>
          </w:p>
        </w:tc>
      </w:tr>
      <w:tr>
        <w:trPr>
          <w:cantSplit w:val="true"/>
        </w:trPr>
        <w:tc>
          <w:tcPr>
            <w:tcW w:w="2607"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Una base de datos por microservicio (PostgreSQL)</w:t>
            </w:r>
          </w:p>
        </w:tc>
        <w:tc>
          <w:tcPr>
            <w:tcW w:w="2269"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Base de datos compartida, o datos en memoria</w:t>
            </w:r>
          </w:p>
        </w:tc>
        <w:tc>
          <w:tcPr>
            <w:tcW w:w="4876"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Es la condición para escalar: todas las réplicas de un servicio ven el mismo estado, y ningún servicio depende del esquema de otro. Con datos en memoria, cada réplica tendría saldos distintos.</w:t>
            </w:r>
          </w:p>
        </w:tc>
      </w:tr>
      <w:tr>
        <w:trPr>
          <w:cantSplit w:val="true"/>
        </w:trPr>
        <w:tc>
          <w:tcPr>
            <w:tcW w:w="2607"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Saga por coreografía con Kafka para las transferencias</w:t>
            </w:r>
          </w:p>
        </w:tc>
        <w:tc>
          <w:tcPr>
            <w:tcW w:w="2269"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Transacción distribuida, u orquestador central</w:t>
            </w:r>
          </w:p>
        </w:tc>
        <w:tc>
          <w:tcPr>
            <w:tcW w:w="4876"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No existe una transacción que abarque dos bases de datos. Cada paso es una transacción local, y un paso fallido se repara con una compensación explícita. No hace falta un componente coordinador adicional.</w:t>
            </w:r>
          </w:p>
        </w:tc>
      </w:tr>
      <w:tr>
        <w:trPr>
          <w:cantSplit w:val="true"/>
        </w:trPr>
        <w:tc>
          <w:tcPr>
            <w:tcW w:w="2607"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REST sincrónico para depósitos y pagos de servicios</w:t>
            </w:r>
          </w:p>
        </w:tc>
        <w:tc>
          <w:tcPr>
            <w:tcW w:w="2269"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Hacer todas las operaciones asíncronas</w:t>
            </w:r>
          </w:p>
        </w:tc>
        <w:tc>
          <w:tcPr>
            <w:tcW w:w="4876"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Tocan una sola cuenta y el canal espera la respuesta. La llamada se protege con reintentos y circuit breaker, y lleva una clave de idempotencia que hace seguro reintentarla.</w:t>
            </w:r>
          </w:p>
        </w:tc>
      </w:tr>
      <w:tr>
        <w:trPr>
          <w:cantSplit w:val="true"/>
        </w:trPr>
        <w:tc>
          <w:tcPr>
            <w:tcW w:w="2607"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OAuth2 con un scope por microservicio</w:t>
            </w:r>
          </w:p>
        </w:tc>
        <w:tc>
          <w:tcPr>
            <w:tcW w:w="2269"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Una clave compartida entre todos los servicios</w:t>
            </w:r>
          </w:p>
        </w:tc>
        <w:tc>
          <w:tcPr>
            <w:tcW w:w="4876"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Mínimo privilegio: si se filtran las credenciales de un canal, el daño se limita a lo que ese canal podía hacer. Se pueden rotar sin afectar a los demás.</w:t>
            </w:r>
          </w:p>
        </w:tc>
      </w:tr>
      <w:tr>
        <w:trPr>
          <w:cantSplit w:val="true"/>
        </w:trPr>
        <w:tc>
          <w:tcPr>
            <w:tcW w:w="2607"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Autenticación de usuario propia en cada BFF</w:t>
            </w:r>
          </w:p>
        </w:tc>
        <w:tc>
          <w:tcPr>
            <w:tcW w:w="2269"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Un único inicio de sesión para todos los canales</w:t>
            </w:r>
          </w:p>
        </w:tc>
        <w:tc>
          <w:tcPr>
            <w:tcW w:w="4876"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Cada canal tiene riesgos distintos: sesión larga en la web, corta en el móvil y de un solo uso en el cajero.</w:t>
            </w:r>
          </w:p>
        </w:tc>
      </w:tr>
      <w:tr>
        <w:trPr>
          <w:cantSplit w:val="true"/>
        </w:trPr>
        <w:tc>
          <w:tcPr>
            <w:tcW w:w="2607"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Bloqueo de fila en PostgreSQL al mover saldos</w:t>
            </w:r>
          </w:p>
        </w:tc>
        <w:tc>
          <w:tcPr>
            <w:tcW w:w="2269"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Sincronización dentro de la aplicación</w:t>
            </w:r>
          </w:p>
        </w:tc>
        <w:tc>
          <w:tcPr>
            <w:tcW w:w="4876"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Con varias réplicas, el único punto común donde se puede ordenar el acceso a un saldo es la base de datos.</w:t>
            </w:r>
          </w:p>
        </w:tc>
      </w:tr>
      <w:tr>
        <w:trPr>
          <w:cantSplit w:val="true"/>
        </w:trPr>
        <w:tc>
          <w:tcPr>
            <w:tcW w:w="2607"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Los microservicios no publican puertos</w:t>
            </w:r>
          </w:p>
        </w:tc>
        <w:tc>
          <w:tcPr>
            <w:tcW w:w="2269"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Publicar cada servicio en el servidor</w:t>
            </w:r>
          </w:p>
        </w:tc>
        <w:tc>
          <w:tcPr>
            <w:tcW w:w="4876"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Seguridad: solo el gateway y los BFF son alcanzables. Escalabilidad: un puerto fijo solo admite un contenedor.</w:t>
            </w:r>
          </w:p>
        </w:tc>
      </w:tr>
      <w:tr>
        <w:trPr>
          <w:cantSplit w:val="true"/>
        </w:trPr>
        <w:tc>
          <w:tcPr>
            <w:tcW w:w="2607"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Módulos independientes, sin código compartido</w:t>
            </w:r>
          </w:p>
        </w:tc>
        <w:tc>
          <w:tcPr>
            <w:tcW w:w="2269"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Una biblioteca común de clases</w:t>
            </w:r>
          </w:p>
        </w:tc>
        <w:tc>
          <w:tcPr>
            <w:tcW w:w="4876"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Cada servicio se construye y despliega por separado. El acoplamiento se limita a contratos HTTP/JSON y a eventos.</w:t>
            </w:r>
          </w:p>
        </w:tc>
      </w:tr>
    </w:tbl>
    <w:p>
      <w:pPr>
        <w:pStyle w:val="Normal"/>
        <w:spacing w:before="0" w:after="120"/>
        <w:rPr/>
      </w:pPr>
      <w:r>
        <w:rPr/>
      </w:r>
    </w:p>
    <w:p>
      <w:pPr>
        <w:pStyle w:val="Heading2"/>
        <w:keepNext w:val="true"/>
        <w:rPr/>
      </w:pPr>
      <w:bookmarkStart w:id="19" w:name="__RefHeading___Toc2473_2748266228"/>
      <w:bookmarkEnd w:id="19"/>
      <w:r>
        <w:rPr/>
        <w:t>Casos de uso</w:t>
      </w:r>
    </w:p>
    <w:p>
      <w:pPr>
        <w:pStyle w:val="Normal"/>
        <w:keepNext w:val="true"/>
        <w:spacing w:before="80" w:after="0"/>
        <w:jc w:val="center"/>
        <w:rPr/>
      </w:pPr>
      <w:r>
        <w:rPr/>
        <w:drawing>
          <wp:inline distT="0" distB="0" distL="0" distR="0">
            <wp:extent cx="3096260" cy="6513830"/>
            <wp:effectExtent l="0" t="0" r="0" b="0"/>
            <wp:docPr id="6" name="Picture 16224033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622403338" descr=""/>
                    <pic:cNvPicPr>
                      <a:picLocks noChangeAspect="1" noChangeArrowheads="1"/>
                    </pic:cNvPicPr>
                  </pic:nvPicPr>
                  <pic:blipFill>
                    <a:blip r:embed="rId5"/>
                    <a:stretch>
                      <a:fillRect/>
                    </a:stretch>
                  </pic:blipFill>
                  <pic:spPr bwMode="auto">
                    <a:xfrm>
                      <a:off x="0" y="0"/>
                      <a:ext cx="3096260" cy="6513830"/>
                    </a:xfrm>
                    <a:prstGeom prst="rect">
                      <a:avLst/>
                    </a:prstGeom>
                  </pic:spPr>
                </pic:pic>
              </a:graphicData>
            </a:graphic>
          </wp:inline>
        </w:drawing>
      </w:r>
    </w:p>
    <w:p>
      <w:pPr>
        <w:pStyle w:val="Caption"/>
        <w:spacing w:before="0" w:after="200"/>
        <w:jc w:val="center"/>
        <w:rPr/>
      </w:pPr>
      <w:r>
        <w:rPr>
          <w:i/>
          <w:sz w:val="18"/>
        </w:rPr>
        <w:t>Figura 2. Casos de uso por actor. En azul, los de los canales; en verde, los de gestión interna; en amarillo, los procesos batch.</w:t>
      </w:r>
    </w:p>
    <w:p>
      <w:pPr>
        <w:pStyle w:val="Heading1"/>
        <w:keepNext w:val="true"/>
        <w:rPr/>
      </w:pPr>
      <w:bookmarkStart w:id="20" w:name="__RefHeading___Toc2475_2748266228"/>
      <w:bookmarkEnd w:id="20"/>
      <w:r>
        <w:rPr/>
        <w:t>Parte 1: migración de procesos batch</w:t>
      </w:r>
    </w:p>
    <w:p>
      <w:pPr>
        <w:pStyle w:val="Normal"/>
        <w:spacing w:lineRule="auto" w:line="276" w:before="0" w:after="160"/>
        <w:jc w:val="both"/>
        <w:rPr/>
      </w:pPr>
      <w:r>
        <w:rPr/>
        <w:t xml:space="preserve">El módulo </w:t>
      </w:r>
      <w:r>
        <w:rPr>
          <w:b/>
        </w:rPr>
        <w:t>batch</w:t>
      </w:r>
      <w:r>
        <w:rPr/>
        <w:t xml:space="preserve"> reescribe en Spring Batch los tres procesos del legacy. Lee los archivos del repositorio oficial del caso (fin_legacy_data, 1.000 filas por archivo) y escribe en PostgreSQL.</w:t>
      </w:r>
    </w:p>
    <w:tbl>
      <w:tblPr>
        <w:tblStyle w:val="792"/>
        <w:tblW w:w="9752" w:type="dxa"/>
        <w:jc w:val="center"/>
        <w:tblInd w:w="0" w:type="dxa"/>
        <w:tblLayout w:type="fixed"/>
        <w:tblCellMar>
          <w:top w:w="60" w:type="dxa"/>
          <w:left w:w="90" w:type="dxa"/>
          <w:bottom w:w="60" w:type="dxa"/>
          <w:right w:w="90" w:type="dxa"/>
        </w:tblCellMar>
        <w:tblLook w:val="04a0" w:noHBand="0" w:noVBand="1" w:firstColumn="1" w:lastRow="0" w:lastColumn="0" w:firstRow="1"/>
      </w:tblPr>
      <w:tblGrid>
        <w:gridCol w:w="2607"/>
        <w:gridCol w:w="3175"/>
        <w:gridCol w:w="3970"/>
      </w:tblGrid>
      <w:tr>
        <w:trPr>
          <w:tblHeader w:val="true"/>
          <w:cantSplit w:val="true"/>
        </w:trPr>
        <w:tc>
          <w:tcPr>
            <w:tcW w:w="2607" w:type="dxa"/>
            <w:tcBorders/>
            <w:shd w:color="auto" w:fill="D9E2F3" w:val="clear"/>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b/>
                <w:kern w:val="0"/>
                <w:sz w:val="18"/>
                <w:szCs w:val="22"/>
                <w:lang w:val="es-CL" w:eastAsia="en-US" w:bidi="ar-SA"/>
              </w:rPr>
              <w:t>Job</w:t>
            </w:r>
          </w:p>
        </w:tc>
        <w:tc>
          <w:tcPr>
            <w:tcW w:w="3175" w:type="dxa"/>
            <w:tcBorders/>
            <w:shd w:color="auto" w:fill="D9E2F3" w:val="clear"/>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b/>
                <w:kern w:val="0"/>
                <w:sz w:val="18"/>
                <w:szCs w:val="22"/>
                <w:lang w:val="es-CL" w:eastAsia="en-US" w:bidi="ar-SA"/>
              </w:rPr>
              <w:t>Archivo de entrada</w:t>
            </w:r>
          </w:p>
        </w:tc>
        <w:tc>
          <w:tcPr>
            <w:tcW w:w="3970" w:type="dxa"/>
            <w:tcBorders/>
            <w:shd w:color="auto" w:fill="D9E2F3" w:val="clear"/>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b/>
                <w:kern w:val="0"/>
                <w:sz w:val="18"/>
                <w:szCs w:val="22"/>
                <w:lang w:val="es-CL" w:eastAsia="en-US" w:bidi="ar-SA"/>
              </w:rPr>
              <w:t>Qué produce</w:t>
            </w:r>
          </w:p>
        </w:tc>
      </w:tr>
      <w:tr>
        <w:trPr>
          <w:cantSplit w:val="true"/>
        </w:trPr>
        <w:tc>
          <w:tcPr>
            <w:tcW w:w="2607"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Reporte de transacciones diarias</w:t>
            </w:r>
          </w:p>
        </w:tc>
        <w:tc>
          <w:tcPr>
            <w:tcW w:w="3175"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movimientos_financieros_diarios.csv</w:t>
            </w:r>
          </w:p>
        </w:tc>
        <w:tc>
          <w:tcPr>
            <w:tcW w:w="3970"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Transacciones validadas, con las anomalías marcadas (monto negativo o cero, tipo no reconocido), y un resumen con totales de créditos y débitos.</w:t>
            </w:r>
          </w:p>
        </w:tc>
      </w:tr>
      <w:tr>
        <w:trPr>
          <w:cantSplit w:val="true"/>
        </w:trPr>
        <w:tc>
          <w:tcPr>
            <w:tcW w:w="2607"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Cálculo de intereses</w:t>
            </w:r>
          </w:p>
        </w:tc>
        <w:tc>
          <w:tcPr>
            <w:tcW w:w="3175"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intereses_trimestrales.csv</w:t>
            </w:r>
          </w:p>
        </w:tc>
        <w:tc>
          <w:tcPr>
            <w:tcW w:w="3970"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Interés y saldo final de cada cuenta de ahorro (1,5%) y de préstamo (2,5%).</w:t>
            </w:r>
          </w:p>
        </w:tc>
      </w:tr>
      <w:tr>
        <w:trPr>
          <w:cantSplit w:val="true"/>
        </w:trPr>
        <w:tc>
          <w:tcPr>
            <w:tcW w:w="2607"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Estados de cuenta anuales</w:t>
            </w:r>
          </w:p>
        </w:tc>
        <w:tc>
          <w:tcPr>
            <w:tcW w:w="3175"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estados_financieros_anuales.csv</w:t>
            </w:r>
          </w:p>
        </w:tc>
        <w:tc>
          <w:tcPr>
            <w:tcW w:w="3970"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Movimientos corregidos y un estado por cuenta: depósitos, retiros, compras y saldo neto del año.</w:t>
            </w:r>
          </w:p>
        </w:tc>
      </w:tr>
    </w:tbl>
    <w:p>
      <w:pPr>
        <w:pStyle w:val="Normal"/>
        <w:spacing w:before="0" w:after="120"/>
        <w:rPr/>
      </w:pPr>
      <w:r>
        <w:rPr/>
      </w:r>
    </w:p>
    <w:p>
      <w:pPr>
        <w:pStyle w:val="Normal"/>
        <w:keepNext w:val="true"/>
        <w:spacing w:before="80" w:after="0"/>
        <w:jc w:val="center"/>
        <w:rPr/>
      </w:pPr>
      <w:r>
        <w:rPr/>
        <w:drawing>
          <wp:inline distT="0" distB="0" distL="0" distR="0">
            <wp:extent cx="4140200" cy="3621405"/>
            <wp:effectExtent l="0" t="0" r="0" b="0"/>
            <wp:docPr id="7" name="Picture 16224033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622403339" descr=""/>
                    <pic:cNvPicPr>
                      <a:picLocks noChangeAspect="1" noChangeArrowheads="1"/>
                    </pic:cNvPicPr>
                  </pic:nvPicPr>
                  <pic:blipFill>
                    <a:blip r:embed="rId6"/>
                    <a:stretch>
                      <a:fillRect/>
                    </a:stretch>
                  </pic:blipFill>
                  <pic:spPr bwMode="auto">
                    <a:xfrm>
                      <a:off x="0" y="0"/>
                      <a:ext cx="4140200" cy="3621405"/>
                    </a:xfrm>
                    <a:prstGeom prst="rect">
                      <a:avLst/>
                    </a:prstGeom>
                  </pic:spPr>
                </pic:pic>
              </a:graphicData>
            </a:graphic>
          </wp:inline>
        </w:drawing>
      </w:r>
    </w:p>
    <w:p>
      <w:pPr>
        <w:pStyle w:val="Caption"/>
        <w:spacing w:before="0" w:after="200"/>
        <w:jc w:val="center"/>
        <w:rPr/>
      </w:pPr>
      <w:r>
        <w:rPr>
          <w:i/>
          <w:sz w:val="18"/>
        </w:rPr>
        <w:t>Figura 3. Estructura común de los tres Jobs.</w:t>
      </w:r>
    </w:p>
    <w:p>
      <w:pPr>
        <w:pStyle w:val="Heading2"/>
        <w:keepNext w:val="true"/>
        <w:rPr/>
      </w:pPr>
      <w:bookmarkStart w:id="21" w:name="__RefHeading___Toc2477_2748266228"/>
      <w:bookmarkEnd w:id="21"/>
      <w:r>
        <w:rPr/>
        <w:t>Manejo de errores</w:t>
      </w:r>
    </w:p>
    <w:p>
      <w:pPr>
        <w:pStyle w:val="Normal"/>
        <w:spacing w:lineRule="auto" w:line="276" w:before="0" w:after="160"/>
        <w:jc w:val="both"/>
        <w:rPr/>
      </w:pPr>
      <w:r>
        <w:rPr/>
        <w:t>Los archivos traen errores intencionales, y el diseño distingue tres situaciones:</w:t>
      </w:r>
    </w:p>
    <w:p>
      <w:pPr>
        <w:pStyle w:val="ListParagraph"/>
        <w:keepNext w:val="false"/>
        <w:keepLines w:val="false"/>
        <w:numPr>
          <w:ilvl w:val="0"/>
          <w:numId w:val="3"/>
        </w:numPr>
        <w:spacing w:lineRule="auto" w:line="276" w:before="0" w:after="0"/>
        <w:ind w:hanging="360" w:left="720" w:right="0"/>
        <w:contextualSpacing/>
        <w:jc w:val="both"/>
        <w:rPr/>
      </w:pPr>
      <w:r>
        <w:rPr>
          <w:b/>
        </w:rPr>
        <w:t>Datos recuperables: se corrigen.</w:t>
      </w:r>
      <w:r>
        <w:rPr/>
        <w:t xml:space="preserve"> Las fechas en formatos antiguos se normalizan, una descripción vacía recibe un texto por defecto, un tipo escrito con tilde se unifica y un monto con el signo equivocado para su tipo se invierte y queda marcado como anomalía.</w:t>
      </w:r>
    </w:p>
    <w:p>
      <w:pPr>
        <w:pStyle w:val="ListParagraph"/>
        <w:keepNext w:val="false"/>
        <w:keepLines w:val="false"/>
        <w:numPr>
          <w:ilvl w:val="0"/>
          <w:numId w:val="3"/>
        </w:numPr>
        <w:spacing w:lineRule="auto" w:line="276" w:before="0" w:after="0"/>
        <w:ind w:hanging="360" w:left="720" w:right="0"/>
        <w:contextualSpacing/>
        <w:jc w:val="both"/>
        <w:rPr/>
      </w:pPr>
      <w:r>
        <w:rPr>
          <w:b/>
        </w:rPr>
        <w:t>Datos irrecuperables: se omiten.</w:t>
      </w:r>
      <w:r>
        <w:rPr/>
        <w:t xml:space="preserve"> Un monto vacío, una edad fuera de rango, un tipo de cuenta no soportado o un registro duplicado se saltan mediante una política de omisión propia, y cada uno queda en el log con su motivo. El proceso continúa.</w:t>
      </w:r>
    </w:p>
    <w:p>
      <w:pPr>
        <w:pStyle w:val="ListParagraph"/>
        <w:keepNext w:val="false"/>
        <w:keepLines w:val="false"/>
        <w:numPr>
          <w:ilvl w:val="0"/>
          <w:numId w:val="3"/>
        </w:numPr>
        <w:spacing w:lineRule="auto" w:line="276" w:before="0" w:after="80"/>
        <w:ind w:hanging="360" w:left="720" w:right="0"/>
        <w:contextualSpacing/>
        <w:jc w:val="both"/>
        <w:rPr/>
      </w:pPr>
      <w:r>
        <w:rPr>
          <w:b/>
        </w:rPr>
        <w:t>Fallas transitorias: se reintenta.</w:t>
      </w:r>
      <w:r>
        <w:rPr/>
        <w:t xml:space="preserve"> Si la base de datos deja de responder un momento, una política de reintento repite la operación hasta tres veces antes de darla por fallida.</w:t>
      </w:r>
    </w:p>
    <w:p>
      <w:pPr>
        <w:pStyle w:val="Normal"/>
        <w:spacing w:before="0" w:after="40"/>
        <w:rPr/>
      </w:pPr>
      <w:r>
        <w:rPr/>
      </w:r>
    </w:p>
    <w:p>
      <w:pPr>
        <w:pStyle w:val="Normal"/>
        <w:spacing w:lineRule="auto" w:line="276" w:before="0" w:after="160"/>
        <w:jc w:val="both"/>
        <w:rPr/>
      </w:pPr>
      <w:r>
        <w:rPr/>
        <w:t>La integridad se refuerza en la base de datos: restricciones de unicidad impiden cargar dos veces el mismo registro, incluso con varios hilos escribiendo a la vez.</w:t>
      </w:r>
    </w:p>
    <w:p>
      <w:pPr>
        <w:pStyle w:val="Heading2"/>
        <w:keepNext w:val="true"/>
        <w:rPr/>
      </w:pPr>
      <w:bookmarkStart w:id="22" w:name="__RefHeading___Toc2479_2748266228"/>
      <w:bookmarkEnd w:id="22"/>
      <w:r>
        <w:rPr/>
        <w:t>Paralelismo y escalabilidad</w:t>
      </w:r>
    </w:p>
    <w:p>
      <w:pPr>
        <w:pStyle w:val="Normal"/>
        <w:spacing w:lineRule="auto" w:line="276" w:before="0" w:after="160"/>
        <w:jc w:val="both"/>
        <w:rPr/>
      </w:pPr>
      <w:r>
        <w:rPr/>
        <w:t>Hay dos formas de procesar en paralelo, y ambas están implementadas:</w:t>
      </w:r>
    </w:p>
    <w:p>
      <w:pPr>
        <w:pStyle w:val="ListParagraph"/>
        <w:keepNext w:val="false"/>
        <w:keepLines w:val="false"/>
        <w:numPr>
          <w:ilvl w:val="0"/>
          <w:numId w:val="3"/>
        </w:numPr>
        <w:spacing w:lineRule="auto" w:line="276" w:before="0" w:after="0"/>
        <w:ind w:hanging="360" w:left="720" w:right="0"/>
        <w:contextualSpacing/>
        <w:jc w:val="both"/>
        <w:rPr/>
      </w:pPr>
      <w:r>
        <w:rPr>
          <w:b/>
        </w:rPr>
        <w:t>Multi-hilo.</w:t>
      </w:r>
      <w:r>
        <w:rPr/>
        <w:t xml:space="preserve"> Los tres Jobs procesan lotes de 5 registros con 3 hilos simultáneos. La lectura está sincronizada; el procesamiento y la escritura, que concentran el trabajo, ocurren en paralelo.</w:t>
      </w:r>
    </w:p>
    <w:p>
      <w:pPr>
        <w:pStyle w:val="ListParagraph"/>
        <w:keepNext w:val="false"/>
        <w:keepLines w:val="false"/>
        <w:numPr>
          <w:ilvl w:val="0"/>
          <w:numId w:val="3"/>
        </w:numPr>
        <w:spacing w:lineRule="auto" w:line="276" w:before="0" w:after="80"/>
        <w:ind w:hanging="360" w:left="720" w:right="0"/>
        <w:contextualSpacing/>
        <w:jc w:val="both"/>
        <w:rPr/>
      </w:pPr>
      <w:r>
        <w:rPr>
          <w:b/>
        </w:rPr>
        <w:t>Particionado.</w:t>
      </w:r>
      <w:r>
        <w:rPr/>
        <w:t xml:space="preserve"> El Job de transacciones, el de mayor volumen, tiene una variante que divide el archivo en rangos de filas y ejecuta cada rango como un Step independiente, con su propio estado. Es la base para repartir el trabajo entre varias máquinas.</w:t>
      </w:r>
    </w:p>
    <w:p>
      <w:pPr>
        <w:pStyle w:val="Normal"/>
        <w:spacing w:before="0" w:after="40"/>
        <w:rPr/>
      </w:pPr>
      <w:r>
        <w:rPr/>
      </w:r>
    </w:p>
    <w:p>
      <w:pPr>
        <w:pStyle w:val="Normal"/>
        <w:spacing w:lineRule="auto" w:line="276" w:before="0" w:after="160"/>
        <w:jc w:val="both"/>
        <w:rPr/>
      </w:pPr>
      <w:r>
        <w:rPr/>
        <w:t>El tamaño de lote, la cantidad de hilos y la cantidad de particiones se cambian por línea de comandos, sin recompilar. El conjunto de conexiones a la base de datos está dimensionado para cubrir todos los hilos.</w:t>
      </w:r>
    </w:p>
    <w:p>
      <w:pPr>
        <w:pStyle w:val="Heading2"/>
        <w:keepNext w:val="true"/>
        <w:rPr/>
      </w:pPr>
      <w:bookmarkStart w:id="23" w:name="__RefHeading___Toc2481_2748266228"/>
      <w:bookmarkEnd w:id="23"/>
      <w:r>
        <w:rPr/>
        <w:t>Políticas de finalización y reejecución</w:t>
      </w:r>
    </w:p>
    <w:p>
      <w:pPr>
        <w:pStyle w:val="ListParagraph"/>
        <w:keepNext w:val="false"/>
        <w:keepLines w:val="false"/>
        <w:numPr>
          <w:ilvl w:val="0"/>
          <w:numId w:val="3"/>
        </w:numPr>
        <w:spacing w:lineRule="auto" w:line="276" w:before="0" w:after="0"/>
        <w:ind w:hanging="360" w:left="720" w:right="0"/>
        <w:contextualSpacing/>
        <w:jc w:val="both"/>
        <w:rPr/>
      </w:pPr>
      <w:r>
        <w:rPr>
          <w:b/>
        </w:rPr>
        <w:t>Control de calidad.</w:t>
      </w:r>
      <w:r>
        <w:rPr/>
        <w:t xml:space="preserve"> Al terminar la carga, un componente de decisión compara el porcentaje de registros omitidos con un umbral. Si lo supera, el Job no genera su reporte y queda derivado a revisión manual: es preferible no entregar un reporte que entregar uno construido sobre un archivo inservible.</w:t>
      </w:r>
    </w:p>
    <w:p>
      <w:pPr>
        <w:pStyle w:val="ListParagraph"/>
        <w:keepNext w:val="false"/>
        <w:keepLines w:val="false"/>
        <w:numPr>
          <w:ilvl w:val="0"/>
          <w:numId w:val="3"/>
        </w:numPr>
        <w:spacing w:lineRule="auto" w:line="276" w:before="0" w:after="0"/>
        <w:ind w:hanging="360" w:left="720" w:right="0"/>
        <w:contextualSpacing/>
        <w:jc w:val="both"/>
        <w:rPr/>
      </w:pPr>
      <w:r>
        <w:rPr>
          <w:b/>
        </w:rPr>
        <w:t>Límite de omisiones.</w:t>
      </w:r>
      <w:r>
        <w:rPr/>
        <w:t xml:space="preserve"> Si los registros omitidos superan un tope, el Step falla en vez de seguir perdiendo datos en silencio.</w:t>
      </w:r>
    </w:p>
    <w:p>
      <w:pPr>
        <w:pStyle w:val="ListParagraph"/>
        <w:keepNext w:val="false"/>
        <w:keepLines w:val="false"/>
        <w:numPr>
          <w:ilvl w:val="0"/>
          <w:numId w:val="3"/>
        </w:numPr>
        <w:spacing w:lineRule="auto" w:line="276" w:before="0" w:after="0"/>
        <w:ind w:hanging="360" w:left="720" w:right="0"/>
        <w:contextualSpacing/>
        <w:jc w:val="both"/>
        <w:rPr/>
      </w:pPr>
      <w:r>
        <w:rPr>
          <w:b/>
        </w:rPr>
        <w:t>Reejecución automática.</w:t>
      </w:r>
      <w:r>
        <w:rPr/>
        <w:t xml:space="preserve"> Si un Job termina fallido, el lanzador lo vuelve a ejecutar hasta dos veces con los mismos parámetros. Spring Batch reconoce que es la misma ejecución y la reanuda a partir de la metadata que guarda en la base de datos.</w:t>
      </w:r>
    </w:p>
    <w:p>
      <w:pPr>
        <w:pStyle w:val="ListParagraph"/>
        <w:keepNext w:val="false"/>
        <w:keepLines w:val="false"/>
        <w:numPr>
          <w:ilvl w:val="0"/>
          <w:numId w:val="3"/>
        </w:numPr>
        <w:spacing w:lineRule="auto" w:line="276" w:before="0" w:after="80"/>
        <w:ind w:hanging="360" w:left="720" w:right="0"/>
        <w:contextualSpacing/>
        <w:jc w:val="both"/>
        <w:rPr/>
      </w:pPr>
      <w:r>
        <w:rPr>
          <w:b/>
        </w:rPr>
        <w:t>Código de salida.</w:t>
      </w:r>
      <w:r>
        <w:rPr/>
        <w:t xml:space="preserve"> El proceso termina con código distinto de cero si un Job no se completó, para que un planificador o un pipeline lo detecten.</w:t>
      </w:r>
    </w:p>
    <w:p>
      <w:pPr>
        <w:pStyle w:val="Normal"/>
        <w:spacing w:before="0" w:after="40"/>
        <w:rPr/>
      </w:pPr>
      <w:r>
        <w:rPr/>
      </w:r>
    </w:p>
    <w:p>
      <w:pPr>
        <w:pStyle w:val="Heading2"/>
        <w:keepNext w:val="true"/>
        <w:rPr/>
      </w:pPr>
      <w:bookmarkStart w:id="24" w:name="__RefHeading___Toc2483_2748266228"/>
      <w:bookmarkEnd w:id="24"/>
      <w:r>
        <w:rPr/>
        <w:t>Equivalencia con el legacy</w:t>
      </w:r>
    </w:p>
    <w:p>
      <w:pPr>
        <w:pStyle w:val="Normal"/>
        <w:spacing w:lineRule="auto" w:line="276" w:before="0" w:after="160"/>
        <w:jc w:val="both"/>
        <w:rPr/>
      </w:pPr>
      <w:r>
        <w:rPr/>
        <w:t>Los procesos nuevos producen los mismos resultados que los antiguos para los registros válidos, y agregan trazabilidad para los inválidos. Al aplicar las reglas de validación al dataset oficial se omite el 23,2% de las transacciones diarias y el 16,4% de los movimientos anuales por datos irrecuperables (cifras registradas por Spring Batch en su metadata durante la corrida de verificación). En el archivo de intereses la proporción llega al 78,2%, pero la mayoría no son errores: son cuentas de tipos que el proceso no cubre, como las hipotecarias. Por eso el umbral del control de calidad se fijó en 85%: deja pasar los tres archivos oficiales y sigue deteniendo uno prácticamente inservible.</w:t>
      </w:r>
    </w:p>
    <w:p>
      <w:pPr>
        <w:pStyle w:val="Heading1"/>
        <w:keepNext w:val="true"/>
        <w:rPr/>
      </w:pPr>
      <w:bookmarkStart w:id="25" w:name="__RefHeading___Toc2485_2748266228"/>
      <w:bookmarkEnd w:id="25"/>
      <w:r>
        <w:rPr/>
        <w:t>Parte 2: patrón Backend for Frontend</w:t>
      </w:r>
    </w:p>
    <w:p>
      <w:pPr>
        <w:pStyle w:val="Normal"/>
        <w:spacing w:lineRule="auto" w:line="276" w:before="0" w:after="160"/>
        <w:jc w:val="both"/>
        <w:rPr/>
      </w:pPr>
      <w:r>
        <w:rPr/>
        <w:t xml:space="preserve">Se eligió la variante de </w:t>
      </w:r>
      <w:r>
        <w:rPr>
          <w:b/>
        </w:rPr>
        <w:t>backends independientes</w:t>
      </w:r>
      <w:r>
        <w:rPr/>
        <w:t>: tres aplicaciones separadas, una por canal, que no comparten código. Así el equipo de cada canal puede cambiar y desplegar su backend sin coordinarse con los otros.</w:t>
      </w:r>
    </w:p>
    <w:tbl>
      <w:tblPr>
        <w:tblStyle w:val="792"/>
        <w:tblW w:w="9752" w:type="dxa"/>
        <w:jc w:val="center"/>
        <w:tblInd w:w="0" w:type="dxa"/>
        <w:tblLayout w:type="fixed"/>
        <w:tblCellMar>
          <w:top w:w="60" w:type="dxa"/>
          <w:left w:w="90" w:type="dxa"/>
          <w:bottom w:w="60" w:type="dxa"/>
          <w:right w:w="90" w:type="dxa"/>
        </w:tblCellMar>
        <w:tblLook w:val="04a0" w:noHBand="0" w:noVBand="1" w:firstColumn="1" w:lastRow="0" w:lastColumn="0" w:firstRow="1"/>
      </w:tblPr>
      <w:tblGrid>
        <w:gridCol w:w="2041"/>
        <w:gridCol w:w="2721"/>
        <w:gridCol w:w="2438"/>
        <w:gridCol w:w="2551"/>
      </w:tblGrid>
      <w:tr>
        <w:trPr>
          <w:tblHeader w:val="true"/>
          <w:cantSplit w:val="true"/>
        </w:trPr>
        <w:tc>
          <w:tcPr>
            <w:tcW w:w="2041" w:type="dxa"/>
            <w:tcBorders/>
            <w:shd w:color="auto" w:fill="D9E2F3" w:val="clear"/>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Cs w:val="22"/>
                <w:lang w:val="es-CL" w:eastAsia="en-US" w:bidi="ar-SA"/>
              </w:rPr>
            </w:r>
          </w:p>
        </w:tc>
        <w:tc>
          <w:tcPr>
            <w:tcW w:w="2721" w:type="dxa"/>
            <w:tcBorders/>
            <w:shd w:color="auto" w:fill="D9E2F3" w:val="clear"/>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b/>
                <w:kern w:val="0"/>
                <w:sz w:val="18"/>
                <w:szCs w:val="22"/>
                <w:lang w:val="es-CL" w:eastAsia="en-US" w:bidi="ar-SA"/>
              </w:rPr>
              <w:t>Canal web</w:t>
            </w:r>
          </w:p>
        </w:tc>
        <w:tc>
          <w:tcPr>
            <w:tcW w:w="2438" w:type="dxa"/>
            <w:tcBorders/>
            <w:shd w:color="auto" w:fill="D9E2F3" w:val="clear"/>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b/>
                <w:kern w:val="0"/>
                <w:sz w:val="18"/>
                <w:szCs w:val="22"/>
                <w:lang w:val="es-CL" w:eastAsia="en-US" w:bidi="ar-SA"/>
              </w:rPr>
              <w:t>Canal móvil</w:t>
            </w:r>
          </w:p>
        </w:tc>
        <w:tc>
          <w:tcPr>
            <w:tcW w:w="2551" w:type="dxa"/>
            <w:tcBorders/>
            <w:shd w:color="auto" w:fill="D9E2F3" w:val="clear"/>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b/>
                <w:kern w:val="0"/>
                <w:sz w:val="18"/>
                <w:szCs w:val="22"/>
                <w:lang w:val="es-CL" w:eastAsia="en-US" w:bidi="ar-SA"/>
              </w:rPr>
              <w:t>Cajero automático</w:t>
            </w:r>
          </w:p>
        </w:tc>
      </w:tr>
      <w:tr>
        <w:trPr>
          <w:cantSplit w:val="true"/>
        </w:trPr>
        <w:tc>
          <w:tcPr>
            <w:tcW w:w="2041"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b/>
                <w:kern w:val="0"/>
                <w:sz w:val="18"/>
                <w:szCs w:val="22"/>
                <w:lang w:val="es-CL" w:eastAsia="en-US" w:bidi="ar-SA"/>
              </w:rPr>
              <w:t>Módulo</w:t>
            </w:r>
          </w:p>
        </w:tc>
        <w:tc>
          <w:tcPr>
            <w:tcW w:w="2721"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bff-web</w:t>
            </w:r>
          </w:p>
        </w:tc>
        <w:tc>
          <w:tcPr>
            <w:tcW w:w="2438"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bff-mobile</w:t>
            </w:r>
          </w:p>
        </w:tc>
        <w:tc>
          <w:tcPr>
            <w:tcW w:w="2551"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bff-atm</w:t>
            </w:r>
          </w:p>
        </w:tc>
      </w:tr>
      <w:tr>
        <w:trPr>
          <w:cantSplit w:val="true"/>
        </w:trPr>
        <w:tc>
          <w:tcPr>
            <w:tcW w:w="2041"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b/>
                <w:kern w:val="0"/>
                <w:sz w:val="18"/>
                <w:szCs w:val="22"/>
                <w:lang w:val="es-CL" w:eastAsia="en-US" w:bidi="ar-SA"/>
              </w:rPr>
              <w:t>Necesidad del canal</w:t>
            </w:r>
          </w:p>
        </w:tc>
        <w:tc>
          <w:tcPr>
            <w:tcW w:w="2721"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Interfaz completa, con tablas y filtros</w:t>
            </w:r>
          </w:p>
        </w:tc>
        <w:tc>
          <w:tcPr>
            <w:tcW w:w="2438"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Rapidez y poco consumo de datos</w:t>
            </w:r>
          </w:p>
        </w:tc>
        <w:tc>
          <w:tcPr>
            <w:tcW w:w="2551"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Operaciones críticas, seguras y breves</w:t>
            </w:r>
          </w:p>
        </w:tc>
      </w:tr>
      <w:tr>
        <w:trPr>
          <w:cantSplit w:val="true"/>
        </w:trPr>
        <w:tc>
          <w:tcPr>
            <w:tcW w:w="2041"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b/>
                <w:kern w:val="0"/>
                <w:sz w:val="18"/>
                <w:szCs w:val="22"/>
                <w:lang w:val="es-CL" w:eastAsia="en-US" w:bidi="ar-SA"/>
              </w:rPr>
              <w:t>Respuesta</w:t>
            </w:r>
          </w:p>
        </w:tc>
        <w:tc>
          <w:tcPr>
            <w:tcW w:w="2721"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Titular, tasa, totales e historial completo de movimientos, con filtros por tipo y fecha</w:t>
            </w:r>
          </w:p>
        </w:tc>
        <w:tc>
          <w:tcPr>
            <w:tcW w:w="2438"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Saldo, tipo de cuenta y los tres últimos movimientos</w:t>
            </w:r>
          </w:p>
        </w:tc>
        <w:tc>
          <w:tcPr>
            <w:tcW w:w="2551"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Solo el saldo, o la confirmación de la operación</w:t>
            </w:r>
          </w:p>
        </w:tc>
      </w:tr>
      <w:tr>
        <w:trPr>
          <w:cantSplit w:val="true"/>
        </w:trPr>
        <w:tc>
          <w:tcPr>
            <w:tcW w:w="2041"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b/>
                <w:kern w:val="0"/>
                <w:sz w:val="18"/>
                <w:szCs w:val="22"/>
                <w:lang w:val="es-CL" w:eastAsia="en-US" w:bidi="ar-SA"/>
              </w:rPr>
              <w:t>Funciones</w:t>
            </w:r>
          </w:p>
        </w:tc>
        <w:tc>
          <w:tcPr>
            <w:tcW w:w="2721"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Consulta, perfil del titular, transferencias, pago de servicios e historial de pagos</w:t>
            </w:r>
          </w:p>
        </w:tc>
        <w:tc>
          <w:tcPr>
            <w:tcW w:w="2438"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Consulta resumida</w:t>
            </w:r>
          </w:p>
        </w:tc>
        <w:tc>
          <w:tcPr>
            <w:tcW w:w="2551"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Saldo, retiro y depósito</w:t>
            </w:r>
          </w:p>
        </w:tc>
      </w:tr>
      <w:tr>
        <w:trPr>
          <w:cantSplit w:val="true"/>
        </w:trPr>
        <w:tc>
          <w:tcPr>
            <w:tcW w:w="2041"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b/>
                <w:kern w:val="0"/>
                <w:sz w:val="18"/>
                <w:szCs w:val="22"/>
                <w:lang w:val="es-CL" w:eastAsia="en-US" w:bidi="ar-SA"/>
              </w:rPr>
              <w:t>Autenticación</w:t>
            </w:r>
          </w:p>
        </w:tc>
        <w:tc>
          <w:tcPr>
            <w:tcW w:w="2721"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Cuenta y nombre del titular; token JWT</w:t>
            </w:r>
          </w:p>
        </w:tc>
        <w:tc>
          <w:tcPr>
            <w:tcW w:w="2438"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Cuenta y PIN; token JWT</w:t>
            </w:r>
          </w:p>
        </w:tc>
        <w:tc>
          <w:tcPr>
            <w:tcW w:w="2551"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Tarjeta y PIN; sesión en el encabezado</w:t>
            </w:r>
          </w:p>
        </w:tc>
      </w:tr>
      <w:tr>
        <w:trPr>
          <w:cantSplit w:val="true"/>
        </w:trPr>
        <w:tc>
          <w:tcPr>
            <w:tcW w:w="2041"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b/>
                <w:kern w:val="0"/>
                <w:sz w:val="18"/>
                <w:szCs w:val="22"/>
                <w:lang w:val="es-CL" w:eastAsia="en-US" w:bidi="ar-SA"/>
              </w:rPr>
              <w:t>Duración de la sesión</w:t>
            </w:r>
          </w:p>
        </w:tc>
        <w:tc>
          <w:tcPr>
            <w:tcW w:w="2721"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30 minutos</w:t>
            </w:r>
          </w:p>
        </w:tc>
        <w:tc>
          <w:tcPr>
            <w:tcW w:w="2438"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5 minutos</w:t>
            </w:r>
          </w:p>
        </w:tc>
        <w:tc>
          <w:tcPr>
            <w:tcW w:w="2551"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2 minutos; se invalida tras cada operación</w:t>
            </w:r>
          </w:p>
        </w:tc>
      </w:tr>
      <w:tr>
        <w:trPr>
          <w:cantSplit w:val="true"/>
        </w:trPr>
        <w:tc>
          <w:tcPr>
            <w:tcW w:w="2041"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b/>
                <w:kern w:val="0"/>
                <w:sz w:val="18"/>
                <w:szCs w:val="22"/>
                <w:lang w:val="es-CL" w:eastAsia="en-US" w:bidi="ar-SA"/>
              </w:rPr>
              <w:t>Microservicios que usa</w:t>
            </w:r>
          </w:p>
        </w:tc>
        <w:tc>
          <w:tcPr>
            <w:tcW w:w="2721"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Clientes, cuentas y pagos</w:t>
            </w:r>
          </w:p>
        </w:tc>
        <w:tc>
          <w:tcPr>
            <w:tcW w:w="2438"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Cuentas</w:t>
            </w:r>
          </w:p>
        </w:tc>
        <w:tc>
          <w:tcPr>
            <w:tcW w:w="2551"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Cuentas y pagos</w:t>
            </w:r>
          </w:p>
        </w:tc>
      </w:tr>
    </w:tbl>
    <w:p>
      <w:pPr>
        <w:pStyle w:val="Normal"/>
        <w:spacing w:before="0" w:after="120"/>
        <w:rPr/>
      </w:pPr>
      <w:r>
        <w:rPr/>
      </w:r>
    </w:p>
    <w:p>
      <w:pPr>
        <w:pStyle w:val="Heading2"/>
        <w:keepNext w:val="true"/>
        <w:rPr/>
      </w:pPr>
      <w:bookmarkStart w:id="26" w:name="__RefHeading___Toc2487_2748266228"/>
      <w:bookmarkEnd w:id="26"/>
      <w:r>
        <w:rPr/>
        <w:t>Optimización del rendimiento</w:t>
      </w:r>
    </w:p>
    <w:p>
      <w:pPr>
        <w:pStyle w:val="Normal"/>
        <w:spacing w:lineRule="auto" w:line="276" w:before="0" w:after="160"/>
        <w:jc w:val="both"/>
        <w:rPr/>
      </w:pPr>
      <w:r>
        <w:rPr/>
        <w:t>Cada BFF pide a los microservicios solo lo que su canal necesita y devuelve solo lo que su canal muestra. El BFF web actúa además como compositor: una sola llamada del navegador se resuelve consultando la cuenta en un servicio y el titular en otro. La respuesta del canal móvil para una misma cuenta pesa una fracción de la del canal web, porque no incluye el historial completo ni los datos del titular.</w:t>
      </w:r>
    </w:p>
    <w:p>
      <w:pPr>
        <w:pStyle w:val="Heading2"/>
        <w:keepNext w:val="true"/>
        <w:rPr/>
      </w:pPr>
      <w:bookmarkStart w:id="27" w:name="__RefHeading___Toc2489_2748266228"/>
      <w:bookmarkEnd w:id="27"/>
      <w:r>
        <w:rPr/>
        <w:t>Seguridad por canal</w:t>
      </w:r>
    </w:p>
    <w:p>
      <w:pPr>
        <w:pStyle w:val="ListParagraph"/>
        <w:keepNext w:val="false"/>
        <w:keepLines w:val="false"/>
        <w:numPr>
          <w:ilvl w:val="0"/>
          <w:numId w:val="3"/>
        </w:numPr>
        <w:spacing w:lineRule="auto" w:line="276" w:before="0" w:after="0"/>
        <w:ind w:hanging="360" w:left="720" w:right="0"/>
        <w:contextualSpacing/>
        <w:jc w:val="both"/>
        <w:rPr/>
      </w:pPr>
      <w:r>
        <w:rPr>
          <w:b/>
        </w:rPr>
        <w:t>Autenticación y autorización son controles separados.</w:t>
      </w:r>
      <w:r>
        <w:rPr/>
        <w:t xml:space="preserve"> Un token válido solo permite operar sobre la cuenta propia: consultar o transferir desde otra cuenta responde con un rechazo.</w:t>
      </w:r>
    </w:p>
    <w:p>
      <w:pPr>
        <w:pStyle w:val="ListParagraph"/>
        <w:keepNext w:val="false"/>
        <w:keepLines w:val="false"/>
        <w:numPr>
          <w:ilvl w:val="0"/>
          <w:numId w:val="3"/>
        </w:numPr>
        <w:spacing w:lineRule="auto" w:line="276" w:before="0" w:after="0"/>
        <w:ind w:hanging="360" w:left="720" w:right="0"/>
        <w:contextualSpacing/>
        <w:jc w:val="both"/>
        <w:rPr/>
      </w:pPr>
      <w:r>
        <w:rPr>
          <w:b/>
        </w:rPr>
        <w:t>Comunicación cifrada.</w:t>
      </w:r>
      <w:r>
        <w:rPr/>
        <w:t xml:space="preserve"> Cada BFF y el gateway atienden solo por HTTPS, cada uno con su propio certificado.</w:t>
      </w:r>
    </w:p>
    <w:p>
      <w:pPr>
        <w:pStyle w:val="ListParagraph"/>
        <w:keepNext w:val="false"/>
        <w:keepLines w:val="false"/>
        <w:numPr>
          <w:ilvl w:val="0"/>
          <w:numId w:val="3"/>
        </w:numPr>
        <w:spacing w:lineRule="auto" w:line="276" w:before="0" w:after="0"/>
        <w:ind w:hanging="360" w:left="720" w:right="0"/>
        <w:contextualSpacing/>
        <w:jc w:val="both"/>
        <w:rPr/>
      </w:pPr>
      <w:r>
        <w:rPr>
          <w:b/>
        </w:rPr>
        <w:t>Mensajes que no revelan información.</w:t>
      </w:r>
      <w:r>
        <w:rPr/>
        <w:t xml:space="preserve"> Un inicio de sesión fallido responde lo mismo exista o no la cuenta.</w:t>
      </w:r>
    </w:p>
    <w:p>
      <w:pPr>
        <w:pStyle w:val="ListParagraph"/>
        <w:keepNext w:val="false"/>
        <w:keepLines w:val="false"/>
        <w:numPr>
          <w:ilvl w:val="0"/>
          <w:numId w:val="3"/>
        </w:numPr>
        <w:spacing w:lineRule="auto" w:line="276" w:before="0" w:after="80"/>
        <w:ind w:hanging="360" w:left="720" w:right="0"/>
        <w:contextualSpacing/>
        <w:jc w:val="both"/>
        <w:rPr/>
      </w:pPr>
      <w:r>
        <w:rPr>
          <w:b/>
        </w:rPr>
        <w:t>Reglas propias del canal.</w:t>
      </w:r>
      <w:r>
        <w:rPr/>
        <w:t xml:space="preserve"> El cajero limita el monto por operación e invalida la sesión después de cada retiro o depósito.</w:t>
      </w:r>
    </w:p>
    <w:p>
      <w:pPr>
        <w:pStyle w:val="Normal"/>
        <w:spacing w:before="0" w:after="40"/>
        <w:rPr/>
      </w:pPr>
      <w:r>
        <w:rPr/>
      </w:r>
    </w:p>
    <w:p>
      <w:pPr>
        <w:pStyle w:val="Heading2"/>
        <w:keepNext w:val="true"/>
        <w:rPr/>
      </w:pPr>
      <w:bookmarkStart w:id="28" w:name="__RefHeading___Toc2491_2748266228"/>
      <w:bookmarkEnd w:id="28"/>
      <w:r>
        <w:rPr/>
        <w:t>Punto de entrada único</w:t>
      </w:r>
    </w:p>
    <w:p>
      <w:pPr>
        <w:pStyle w:val="Normal"/>
        <w:spacing w:lineRule="auto" w:line="276" w:before="0" w:after="160"/>
        <w:jc w:val="both"/>
        <w:rPr/>
      </w:pPr>
      <w:r>
        <w:rPr/>
        <w:t xml:space="preserve">El </w:t>
      </w:r>
      <w:r>
        <w:rPr>
          <w:b/>
        </w:rPr>
        <w:t>api-gateway</w:t>
      </w:r>
      <w:r>
        <w:rPr/>
        <w:t xml:space="preserve"> (Spring Cloud Gateway) es el único componente expuesto a Internet. Enruta por prefijo de ruta al BFF de cada canal, ubica sus instancias en Eureka y reparte las peticiones entre ellas. Los microservicios no tienen ruta en el gateway.</w:t>
      </w:r>
    </w:p>
    <w:p>
      <w:pPr>
        <w:pStyle w:val="Heading1"/>
        <w:keepNext w:val="true"/>
        <w:rPr/>
      </w:pPr>
      <w:bookmarkStart w:id="29" w:name="__RefHeading___Toc2493_2748266228"/>
      <w:bookmarkEnd w:id="29"/>
      <w:r>
        <w:rPr/>
        <w:t>Parte 3: microservicios resilientes</w:t>
      </w:r>
    </w:p>
    <w:p>
      <w:pPr>
        <w:pStyle w:val="Heading2"/>
        <w:keepNext w:val="true"/>
        <w:rPr/>
      </w:pPr>
      <w:bookmarkStart w:id="30" w:name="__RefHeading___Toc2495_2748266228"/>
      <w:bookmarkEnd w:id="30"/>
      <w:r>
        <w:rPr/>
        <w:t>Los tres microservicios</w:t>
      </w:r>
    </w:p>
    <w:tbl>
      <w:tblPr>
        <w:tblStyle w:val="792"/>
        <w:tblW w:w="9752" w:type="dxa"/>
        <w:jc w:val="center"/>
        <w:tblInd w:w="0" w:type="dxa"/>
        <w:tblLayout w:type="fixed"/>
        <w:tblCellMar>
          <w:top w:w="60" w:type="dxa"/>
          <w:left w:w="90" w:type="dxa"/>
          <w:bottom w:w="60" w:type="dxa"/>
          <w:right w:w="90" w:type="dxa"/>
        </w:tblCellMar>
        <w:tblLook w:val="04a0" w:noHBand="0" w:noVBand="1" w:firstColumn="1" w:lastRow="0" w:lastColumn="0" w:firstRow="1"/>
      </w:tblPr>
      <w:tblGrid>
        <w:gridCol w:w="2381"/>
        <w:gridCol w:w="2494"/>
        <w:gridCol w:w="3402"/>
        <w:gridCol w:w="1474"/>
      </w:tblGrid>
      <w:tr>
        <w:trPr>
          <w:tblHeader w:val="true"/>
          <w:cantSplit w:val="true"/>
        </w:trPr>
        <w:tc>
          <w:tcPr>
            <w:tcW w:w="2381" w:type="dxa"/>
            <w:tcBorders/>
            <w:shd w:color="auto" w:fill="D9E2F3" w:val="clear"/>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b/>
                <w:kern w:val="0"/>
                <w:sz w:val="18"/>
                <w:szCs w:val="22"/>
                <w:lang w:val="es-CL" w:eastAsia="en-US" w:bidi="ar-SA"/>
              </w:rPr>
              <w:t>Microservicio</w:t>
            </w:r>
          </w:p>
        </w:tc>
        <w:tc>
          <w:tcPr>
            <w:tcW w:w="2494" w:type="dxa"/>
            <w:tcBorders/>
            <w:shd w:color="auto" w:fill="D9E2F3" w:val="clear"/>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b/>
                <w:kern w:val="0"/>
                <w:sz w:val="18"/>
                <w:szCs w:val="22"/>
                <w:lang w:val="es-CL" w:eastAsia="en-US" w:bidi="ar-SA"/>
              </w:rPr>
              <w:t>Responsabilidad</w:t>
            </w:r>
          </w:p>
        </w:tc>
        <w:tc>
          <w:tcPr>
            <w:tcW w:w="3402" w:type="dxa"/>
            <w:tcBorders/>
            <w:shd w:color="auto" w:fill="D9E2F3" w:val="clear"/>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b/>
                <w:kern w:val="0"/>
                <w:sz w:val="18"/>
                <w:szCs w:val="22"/>
                <w:lang w:val="es-CL" w:eastAsia="en-US" w:bidi="ar-SA"/>
              </w:rPr>
              <w:t>Operaciones</w:t>
            </w:r>
          </w:p>
        </w:tc>
        <w:tc>
          <w:tcPr>
            <w:tcW w:w="1474" w:type="dxa"/>
            <w:tcBorders/>
            <w:shd w:color="auto" w:fill="D9E2F3" w:val="clear"/>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b/>
                <w:kern w:val="0"/>
                <w:sz w:val="18"/>
                <w:szCs w:val="22"/>
                <w:lang w:val="es-CL" w:eastAsia="en-US" w:bidi="ar-SA"/>
              </w:rPr>
              <w:t>Datos propios</w:t>
            </w:r>
          </w:p>
        </w:tc>
      </w:tr>
      <w:tr>
        <w:trPr>
          <w:cantSplit w:val="true"/>
        </w:trPr>
        <w:tc>
          <w:tcPr>
            <w:tcW w:w="2381"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b/>
                <w:kern w:val="0"/>
                <w:sz w:val="18"/>
                <w:szCs w:val="22"/>
                <w:lang w:val="es-CL" w:eastAsia="en-US" w:bidi="ar-SA"/>
              </w:rPr>
              <w:t>clientes-service</w:t>
            </w:r>
            <w:r>
              <w:rPr>
                <w:rFonts w:eastAsia="Arial" w:cs="Arial"/>
                <w:kern w:val="0"/>
                <w:sz w:val="18"/>
                <w:szCs w:val="22"/>
                <w:lang w:val="es-CL" w:eastAsia="en-US" w:bidi="ar-SA"/>
              </w:rPr>
              <w:t xml:space="preserve"> Gestión de Clientes</w:t>
            </w:r>
          </w:p>
        </w:tc>
        <w:tc>
          <w:tcPr>
            <w:tcW w:w="2494"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Información personal y perfil de los clientes</w:t>
            </w:r>
          </w:p>
        </w:tc>
        <w:tc>
          <w:tcPr>
            <w:tcW w:w="3402"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Alta, consulta, actualización de datos de contacto, desactivación y reactivación</w:t>
            </w:r>
          </w:p>
        </w:tc>
        <w:tc>
          <w:tcPr>
            <w:tcW w:w="1474"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clientes_db</w:t>
            </w:r>
          </w:p>
        </w:tc>
      </w:tr>
      <w:tr>
        <w:trPr>
          <w:cantSplit w:val="true"/>
        </w:trPr>
        <w:tc>
          <w:tcPr>
            <w:tcW w:w="2381"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b/>
                <w:kern w:val="0"/>
                <w:sz w:val="18"/>
                <w:szCs w:val="22"/>
                <w:lang w:val="es-CL" w:eastAsia="en-US" w:bidi="ar-SA"/>
              </w:rPr>
              <w:t>cuentas-service</w:t>
            </w:r>
            <w:r>
              <w:rPr>
                <w:rFonts w:eastAsia="Arial" w:cs="Arial"/>
                <w:kern w:val="0"/>
                <w:sz w:val="18"/>
                <w:szCs w:val="22"/>
                <w:lang w:val="es-CL" w:eastAsia="en-US" w:bidi="ar-SA"/>
              </w:rPr>
              <w:t xml:space="preserve"> Gestión de Cuentas</w:t>
            </w:r>
          </w:p>
        </w:tc>
        <w:tc>
          <w:tcPr>
            <w:tcW w:w="2494"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Cuentas y saldos. Es la única fuente de verdad del dinero</w:t>
            </w:r>
          </w:p>
        </w:tc>
        <w:tc>
          <w:tcPr>
            <w:tcW w:w="3402"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Apertura, mantenimiento, cierre, consulta, débito y crédito. Participa en la saga de transferencias</w:t>
            </w:r>
          </w:p>
        </w:tc>
        <w:tc>
          <w:tcPr>
            <w:tcW w:w="1474"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cuentas_db</w:t>
            </w:r>
          </w:p>
        </w:tc>
      </w:tr>
      <w:tr>
        <w:trPr>
          <w:cantSplit w:val="true"/>
        </w:trPr>
        <w:tc>
          <w:tcPr>
            <w:tcW w:w="2381"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b/>
                <w:kern w:val="0"/>
                <w:sz w:val="18"/>
                <w:szCs w:val="22"/>
                <w:lang w:val="es-CL" w:eastAsia="en-US" w:bidi="ar-SA"/>
              </w:rPr>
              <w:t>pagos-service</w:t>
            </w:r>
            <w:r>
              <w:rPr>
                <w:rFonts w:eastAsia="Arial" w:cs="Arial"/>
                <w:kern w:val="0"/>
                <w:sz w:val="18"/>
                <w:szCs w:val="22"/>
                <w:lang w:val="es-CL" w:eastAsia="en-US" w:bidi="ar-SA"/>
              </w:rPr>
              <w:t xml:space="preserve"> Procesamiento de Pagos</w:t>
            </w:r>
          </w:p>
        </w:tc>
        <w:tc>
          <w:tcPr>
            <w:tcW w:w="2494"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Registro y estado de cada operación de pago</w:t>
            </w:r>
          </w:p>
        </w:tc>
        <w:tc>
          <w:tcPr>
            <w:tcW w:w="3402"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Transferencias, depósitos, pagos de servicios e historial</w:t>
            </w:r>
          </w:p>
        </w:tc>
        <w:tc>
          <w:tcPr>
            <w:tcW w:w="1474"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pagos_db</w:t>
            </w:r>
          </w:p>
        </w:tc>
      </w:tr>
    </w:tbl>
    <w:p>
      <w:pPr>
        <w:pStyle w:val="Normal"/>
        <w:spacing w:before="0" w:after="120"/>
        <w:rPr/>
      </w:pPr>
      <w:r>
        <w:rPr/>
      </w:r>
    </w:p>
    <w:p>
      <w:pPr>
        <w:pStyle w:val="Normal"/>
        <w:spacing w:lineRule="auto" w:line="276" w:before="0" w:after="160"/>
        <w:jc w:val="both"/>
        <w:rPr/>
      </w:pPr>
      <w:r>
        <w:rPr/>
        <w:t xml:space="preserve">La división sigue las capacidades del negocio y no las tablas: quién es el cliente, qué cuentas tiene y qué operaciones solicitó son responsabilidades distintas, con reglas y ritmos de cambio distintos. Un cuarto servicio, </w:t>
      </w:r>
      <w:r>
        <w:rPr>
          <w:b/>
        </w:rPr>
        <w:t>notificaciones-service</w:t>
      </w:r>
      <w:r>
        <w:rPr/>
        <w:t>, solo consume eventos.</w:t>
      </w:r>
    </w:p>
    <w:p>
      <w:pPr>
        <w:pStyle w:val="Heading2"/>
        <w:keepNext w:val="true"/>
        <w:rPr/>
      </w:pPr>
      <w:bookmarkStart w:id="31" w:name="__RefHeading___Toc2497_2748266228"/>
      <w:bookmarkEnd w:id="31"/>
      <w:r>
        <w:rPr/>
        <w:t>Spring Cloud</w:t>
      </w:r>
    </w:p>
    <w:tbl>
      <w:tblPr>
        <w:tblStyle w:val="792"/>
        <w:tblW w:w="9752" w:type="dxa"/>
        <w:jc w:val="center"/>
        <w:tblInd w:w="0" w:type="dxa"/>
        <w:tblLayout w:type="fixed"/>
        <w:tblCellMar>
          <w:top w:w="60" w:type="dxa"/>
          <w:left w:w="90" w:type="dxa"/>
          <w:bottom w:w="60" w:type="dxa"/>
          <w:right w:w="90" w:type="dxa"/>
        </w:tblCellMar>
        <w:tblLook w:val="04a0" w:noHBand="0" w:noVBand="1" w:firstColumn="1" w:lastRow="0" w:lastColumn="0" w:firstRow="1"/>
      </w:tblPr>
      <w:tblGrid>
        <w:gridCol w:w="2381"/>
        <w:gridCol w:w="2268"/>
        <w:gridCol w:w="5103"/>
      </w:tblGrid>
      <w:tr>
        <w:trPr>
          <w:tblHeader w:val="true"/>
          <w:cantSplit w:val="true"/>
        </w:trPr>
        <w:tc>
          <w:tcPr>
            <w:tcW w:w="2381" w:type="dxa"/>
            <w:tcBorders/>
            <w:shd w:color="auto" w:fill="D9E2F3" w:val="clear"/>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b/>
                <w:kern w:val="0"/>
                <w:sz w:val="18"/>
                <w:szCs w:val="22"/>
                <w:lang w:val="es-CL" w:eastAsia="en-US" w:bidi="ar-SA"/>
              </w:rPr>
              <w:t>Requerimiento</w:t>
            </w:r>
          </w:p>
        </w:tc>
        <w:tc>
          <w:tcPr>
            <w:tcW w:w="2268" w:type="dxa"/>
            <w:tcBorders/>
            <w:shd w:color="auto" w:fill="D9E2F3" w:val="clear"/>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b/>
                <w:kern w:val="0"/>
                <w:sz w:val="18"/>
                <w:szCs w:val="22"/>
                <w:lang w:val="es-CL" w:eastAsia="en-US" w:bidi="ar-SA"/>
              </w:rPr>
              <w:t>Componente</w:t>
            </w:r>
          </w:p>
        </w:tc>
        <w:tc>
          <w:tcPr>
            <w:tcW w:w="5103" w:type="dxa"/>
            <w:tcBorders/>
            <w:shd w:color="auto" w:fill="D9E2F3" w:val="clear"/>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b/>
                <w:kern w:val="0"/>
                <w:sz w:val="18"/>
                <w:szCs w:val="22"/>
                <w:lang w:val="es-CL" w:eastAsia="en-US" w:bidi="ar-SA"/>
              </w:rPr>
              <w:t>Cómo se usa</w:t>
            </w:r>
          </w:p>
        </w:tc>
      </w:tr>
      <w:tr>
        <w:trPr>
          <w:cantSplit w:val="true"/>
        </w:trPr>
        <w:tc>
          <w:tcPr>
            <w:tcW w:w="2381"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Gestión de configuraciones</w:t>
            </w:r>
          </w:p>
        </w:tc>
        <w:tc>
          <w:tcPr>
            <w:tcW w:w="2268"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Spring Cloud Config</w:t>
            </w:r>
          </w:p>
        </w:tc>
        <w:tc>
          <w:tcPr>
            <w:tcW w:w="5103"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La configuración vive en un solo lugar. Un archivo común define lo que debe ser idéntico en todos los servicios (nombres de los tópicos y dirección del servidor de autorización), y cada servicio tiene además el suyo.</w:t>
            </w:r>
          </w:p>
        </w:tc>
      </w:tr>
      <w:tr>
        <w:trPr>
          <w:cantSplit w:val="true"/>
        </w:trPr>
        <w:tc>
          <w:tcPr>
            <w:tcW w:w="2381"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Detección dinámica de servicios</w:t>
            </w:r>
          </w:p>
        </w:tc>
        <w:tc>
          <w:tcPr>
            <w:tcW w:w="2268"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Eureka</w:t>
            </w:r>
          </w:p>
        </w:tc>
        <w:tc>
          <w:tcPr>
            <w:tcW w:w="5103"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Cada servicio se registra al arrancar y los demás lo ubican por su nombre. No hay direcciones fijas entre servicios.</w:t>
            </w:r>
          </w:p>
        </w:tc>
      </w:tr>
      <w:tr>
        <w:trPr>
          <w:cantSplit w:val="true"/>
        </w:trPr>
        <w:tc>
          <w:tcPr>
            <w:tcW w:w="2381"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Balanceo de carga</w:t>
            </w:r>
          </w:p>
        </w:tc>
        <w:tc>
          <w:tcPr>
            <w:tcW w:w="2268"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Spring Cloud LoadBalancer</w:t>
            </w:r>
          </w:p>
        </w:tc>
        <w:tc>
          <w:tcPr>
            <w:tcW w:w="5103"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Las llamadas entre servicios se reparten entre las instancias registradas.</w:t>
            </w:r>
          </w:p>
        </w:tc>
      </w:tr>
      <w:tr>
        <w:trPr>
          <w:cantSplit w:val="true"/>
        </w:trPr>
        <w:tc>
          <w:tcPr>
            <w:tcW w:w="2381"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Enrutamiento</w:t>
            </w:r>
          </w:p>
        </w:tc>
        <w:tc>
          <w:tcPr>
            <w:tcW w:w="2268"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Spring Cloud Gateway</w:t>
            </w:r>
          </w:p>
        </w:tc>
        <w:tc>
          <w:tcPr>
            <w:tcW w:w="5103"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Punto de entrada único, con una ruta por canal.</w:t>
            </w:r>
          </w:p>
        </w:tc>
      </w:tr>
    </w:tbl>
    <w:p>
      <w:pPr>
        <w:pStyle w:val="Normal"/>
        <w:spacing w:before="0" w:after="120"/>
        <w:rPr/>
      </w:pPr>
      <w:r>
        <w:rPr/>
      </w:r>
    </w:p>
    <w:p>
      <w:pPr>
        <w:pStyle w:val="Heading2"/>
        <w:keepNext w:val="true"/>
        <w:rPr/>
      </w:pPr>
      <w:bookmarkStart w:id="32" w:name="__RefHeading___Toc2499_2748266228"/>
      <w:bookmarkEnd w:id="32"/>
      <w:r>
        <w:rPr/>
        <w:t>Seguridad con OAuth2</w:t>
      </w:r>
    </w:p>
    <w:p>
      <w:pPr>
        <w:pStyle w:val="Normal"/>
        <w:spacing w:lineRule="auto" w:line="276" w:before="0" w:after="160"/>
        <w:jc w:val="both"/>
        <w:rPr/>
      </w:pPr>
      <w:r>
        <w:rPr/>
        <w:t xml:space="preserve">El </w:t>
      </w:r>
      <w:r>
        <w:rPr>
          <w:b/>
        </w:rPr>
        <w:t>auth-server</w:t>
      </w:r>
      <w:r>
        <w:rPr/>
        <w:t xml:space="preserve"> (Spring Authorization Server) emite tokens JWT firmados mediante el flujo client_credentials, pensado para la comunicación entre servicios. Cada microservicio es un Resource Server: valida por su cuenta la firma, la vigencia y el emisor de cada token, y exige además su propio scope.</w:t>
      </w:r>
    </w:p>
    <w:tbl>
      <w:tblPr>
        <w:tblStyle w:val="792"/>
        <w:tblW w:w="9752" w:type="dxa"/>
        <w:jc w:val="center"/>
        <w:tblInd w:w="0" w:type="dxa"/>
        <w:tblLayout w:type="fixed"/>
        <w:tblCellMar>
          <w:top w:w="60" w:type="dxa"/>
          <w:left w:w="90" w:type="dxa"/>
          <w:bottom w:w="60" w:type="dxa"/>
          <w:right w:w="90" w:type="dxa"/>
        </w:tblCellMar>
        <w:tblLook w:val="04a0" w:noHBand="0" w:noVBand="1" w:firstColumn="1" w:lastRow="0" w:lastColumn="0" w:firstRow="1"/>
      </w:tblPr>
      <w:tblGrid>
        <w:gridCol w:w="2494"/>
        <w:gridCol w:w="1474"/>
        <w:gridCol w:w="1531"/>
        <w:gridCol w:w="1418"/>
        <w:gridCol w:w="2835"/>
      </w:tblGrid>
      <w:tr>
        <w:trPr>
          <w:tblHeader w:val="true"/>
          <w:cantSplit w:val="true"/>
        </w:trPr>
        <w:tc>
          <w:tcPr>
            <w:tcW w:w="2494" w:type="dxa"/>
            <w:tcBorders/>
            <w:shd w:color="auto" w:fill="D9E2F3" w:val="clear"/>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b/>
                <w:kern w:val="0"/>
                <w:sz w:val="18"/>
                <w:szCs w:val="22"/>
                <w:lang w:val="es-CL" w:eastAsia="en-US" w:bidi="ar-SA"/>
              </w:rPr>
              <w:t>Cliente registrado</w:t>
            </w:r>
          </w:p>
        </w:tc>
        <w:tc>
          <w:tcPr>
            <w:tcW w:w="1474" w:type="dxa"/>
            <w:tcBorders/>
            <w:shd w:color="auto" w:fill="D9E2F3" w:val="clear"/>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b/>
                <w:kern w:val="0"/>
                <w:sz w:val="18"/>
                <w:szCs w:val="22"/>
                <w:lang w:val="es-CL" w:eastAsia="en-US" w:bidi="ar-SA"/>
              </w:rPr>
              <w:t>cuentas.access</w:t>
            </w:r>
          </w:p>
        </w:tc>
        <w:tc>
          <w:tcPr>
            <w:tcW w:w="1531" w:type="dxa"/>
            <w:tcBorders/>
            <w:shd w:color="auto" w:fill="D9E2F3" w:val="clear"/>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b/>
                <w:kern w:val="0"/>
                <w:sz w:val="18"/>
                <w:szCs w:val="22"/>
                <w:lang w:val="es-CL" w:eastAsia="en-US" w:bidi="ar-SA"/>
              </w:rPr>
              <w:t>clientes.access</w:t>
            </w:r>
          </w:p>
        </w:tc>
        <w:tc>
          <w:tcPr>
            <w:tcW w:w="1418" w:type="dxa"/>
            <w:tcBorders/>
            <w:shd w:color="auto" w:fill="D9E2F3" w:val="clear"/>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b/>
                <w:kern w:val="0"/>
                <w:sz w:val="18"/>
                <w:szCs w:val="22"/>
                <w:lang w:val="es-CL" w:eastAsia="en-US" w:bidi="ar-SA"/>
              </w:rPr>
              <w:t>pagos.access</w:t>
            </w:r>
          </w:p>
        </w:tc>
        <w:tc>
          <w:tcPr>
            <w:tcW w:w="2835" w:type="dxa"/>
            <w:tcBorders/>
            <w:shd w:color="auto" w:fill="D9E2F3" w:val="clear"/>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b/>
                <w:kern w:val="0"/>
                <w:sz w:val="18"/>
                <w:szCs w:val="22"/>
                <w:lang w:val="es-CL" w:eastAsia="en-US" w:bidi="ar-SA"/>
              </w:rPr>
              <w:t>Motivo</w:t>
            </w:r>
          </w:p>
        </w:tc>
      </w:tr>
      <w:tr>
        <w:trPr>
          <w:cantSplit w:val="true"/>
        </w:trPr>
        <w:tc>
          <w:tcPr>
            <w:tcW w:w="2494"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bff-web-client</w:t>
            </w:r>
          </w:p>
        </w:tc>
        <w:tc>
          <w:tcPr>
            <w:tcW w:w="1474"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Sí</w:t>
            </w:r>
          </w:p>
        </w:tc>
        <w:tc>
          <w:tcPr>
            <w:tcW w:w="1531"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Sí</w:t>
            </w:r>
          </w:p>
        </w:tc>
        <w:tc>
          <w:tcPr>
            <w:tcW w:w="1418"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Sí</w:t>
            </w:r>
          </w:p>
        </w:tc>
        <w:tc>
          <w:tcPr>
            <w:tcW w:w="2835"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Canal completo</w:t>
            </w:r>
          </w:p>
        </w:tc>
      </w:tr>
      <w:tr>
        <w:trPr>
          <w:cantSplit w:val="true"/>
        </w:trPr>
        <w:tc>
          <w:tcPr>
            <w:tcW w:w="2494"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bff-mobile-client</w:t>
            </w:r>
          </w:p>
        </w:tc>
        <w:tc>
          <w:tcPr>
            <w:tcW w:w="1474"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Sí</w:t>
            </w:r>
          </w:p>
        </w:tc>
        <w:tc>
          <w:tcPr>
            <w:tcW w:w="1531"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No</w:t>
            </w:r>
          </w:p>
        </w:tc>
        <w:tc>
          <w:tcPr>
            <w:tcW w:w="1418"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No</w:t>
            </w:r>
          </w:p>
        </w:tc>
        <w:tc>
          <w:tcPr>
            <w:tcW w:w="2835"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Canal de solo consulta</w:t>
            </w:r>
          </w:p>
        </w:tc>
      </w:tr>
      <w:tr>
        <w:trPr>
          <w:cantSplit w:val="true"/>
        </w:trPr>
        <w:tc>
          <w:tcPr>
            <w:tcW w:w="2494"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bff-atm-client</w:t>
            </w:r>
          </w:p>
        </w:tc>
        <w:tc>
          <w:tcPr>
            <w:tcW w:w="1474"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Sí</w:t>
            </w:r>
          </w:p>
        </w:tc>
        <w:tc>
          <w:tcPr>
            <w:tcW w:w="1531"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No</w:t>
            </w:r>
          </w:p>
        </w:tc>
        <w:tc>
          <w:tcPr>
            <w:tcW w:w="1418"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Sí</w:t>
            </w:r>
          </w:p>
        </w:tc>
        <w:tc>
          <w:tcPr>
            <w:tcW w:w="2835"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Retiros y depósitos</w:t>
            </w:r>
          </w:p>
        </w:tc>
      </w:tr>
      <w:tr>
        <w:trPr>
          <w:cantSplit w:val="true"/>
        </w:trPr>
        <w:tc>
          <w:tcPr>
            <w:tcW w:w="2494"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pagos-service-client</w:t>
            </w:r>
          </w:p>
        </w:tc>
        <w:tc>
          <w:tcPr>
            <w:tcW w:w="1474"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Sí</w:t>
            </w:r>
          </w:p>
        </w:tc>
        <w:tc>
          <w:tcPr>
            <w:tcW w:w="1531"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No</w:t>
            </w:r>
          </w:p>
        </w:tc>
        <w:tc>
          <w:tcPr>
            <w:tcW w:w="1418"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No</w:t>
            </w:r>
          </w:p>
        </w:tc>
        <w:tc>
          <w:tcPr>
            <w:tcW w:w="2835"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Mueve saldos</w:t>
            </w:r>
          </w:p>
        </w:tc>
      </w:tr>
      <w:tr>
        <w:trPr>
          <w:cantSplit w:val="true"/>
        </w:trPr>
        <w:tc>
          <w:tcPr>
            <w:tcW w:w="2494"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cuentas-service-client</w:t>
            </w:r>
          </w:p>
        </w:tc>
        <w:tc>
          <w:tcPr>
            <w:tcW w:w="1474"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No</w:t>
            </w:r>
          </w:p>
        </w:tc>
        <w:tc>
          <w:tcPr>
            <w:tcW w:w="1531"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Sí</w:t>
            </w:r>
          </w:p>
        </w:tc>
        <w:tc>
          <w:tcPr>
            <w:tcW w:w="1418"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No</w:t>
            </w:r>
          </w:p>
        </w:tc>
        <w:tc>
          <w:tcPr>
            <w:tcW w:w="2835"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Valida al titular al abrir una cuenta</w:t>
            </w:r>
          </w:p>
        </w:tc>
      </w:tr>
    </w:tbl>
    <w:p>
      <w:pPr>
        <w:pStyle w:val="Normal"/>
        <w:spacing w:before="0" w:after="120"/>
        <w:rPr/>
      </w:pPr>
      <w:r>
        <w:rPr/>
      </w:r>
    </w:p>
    <w:p>
      <w:pPr>
        <w:pStyle w:val="Normal"/>
        <w:spacing w:lineRule="auto" w:line="276" w:before="0" w:after="160"/>
        <w:jc w:val="both"/>
        <w:rPr/>
      </w:pPr>
      <w:r>
        <w:rPr/>
        <w:t>El resultado es una seguridad distribuida con mínimo privilegio. El token del canal móvil sirve para leer cuentas, pero un intento de usarlo contra el servicio de clientes o el de pagos es rechazado. Tampoco puede pedir un scope que no tiene registrado: el servidor de autorización se lo niega.</w:t>
      </w:r>
    </w:p>
    <w:p>
      <w:pPr>
        <w:pStyle w:val="Heading2"/>
        <w:keepNext w:val="true"/>
        <w:rPr/>
      </w:pPr>
      <w:bookmarkStart w:id="33" w:name="__RefHeading___Toc2501_2748266228"/>
      <w:bookmarkEnd w:id="33"/>
      <w:r>
        <w:rPr/>
        <w:t>Resiliencia con Resilience4j</w:t>
      </w:r>
    </w:p>
    <w:p>
      <w:pPr>
        <w:pStyle w:val="Normal"/>
        <w:spacing w:lineRule="auto" w:line="276" w:before="0" w:after="160"/>
        <w:jc w:val="both"/>
        <w:rPr/>
      </w:pPr>
      <w:r>
        <w:rPr/>
        <w:t>Cada llamada entre servicios está protegida, y cada protección define qué ocurre cuando la llamada falla.</w:t>
      </w:r>
    </w:p>
    <w:tbl>
      <w:tblPr>
        <w:tblStyle w:val="792"/>
        <w:tblW w:w="9752" w:type="dxa"/>
        <w:jc w:val="center"/>
        <w:tblInd w:w="0" w:type="dxa"/>
        <w:tblLayout w:type="fixed"/>
        <w:tblCellMar>
          <w:top w:w="60" w:type="dxa"/>
          <w:left w:w="90" w:type="dxa"/>
          <w:bottom w:w="60" w:type="dxa"/>
          <w:right w:w="90" w:type="dxa"/>
        </w:tblCellMar>
        <w:tblLook w:val="04a0" w:noHBand="0" w:noVBand="1" w:firstColumn="1" w:lastRow="0" w:lastColumn="0" w:firstRow="1"/>
      </w:tblPr>
      <w:tblGrid>
        <w:gridCol w:w="2608"/>
        <w:gridCol w:w="2041"/>
        <w:gridCol w:w="5103"/>
      </w:tblGrid>
      <w:tr>
        <w:trPr>
          <w:tblHeader w:val="true"/>
          <w:cantSplit w:val="true"/>
        </w:trPr>
        <w:tc>
          <w:tcPr>
            <w:tcW w:w="2608" w:type="dxa"/>
            <w:tcBorders/>
            <w:shd w:color="auto" w:fill="D9E2F3" w:val="clear"/>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b/>
                <w:kern w:val="0"/>
                <w:sz w:val="18"/>
                <w:szCs w:val="22"/>
                <w:lang w:val="es-CL" w:eastAsia="en-US" w:bidi="ar-SA"/>
              </w:rPr>
              <w:t>Llamada protegida</w:t>
            </w:r>
          </w:p>
        </w:tc>
        <w:tc>
          <w:tcPr>
            <w:tcW w:w="2041" w:type="dxa"/>
            <w:tcBorders/>
            <w:shd w:color="auto" w:fill="D9E2F3" w:val="clear"/>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b/>
                <w:kern w:val="0"/>
                <w:sz w:val="18"/>
                <w:szCs w:val="22"/>
                <w:lang w:val="es-CL" w:eastAsia="en-US" w:bidi="ar-SA"/>
              </w:rPr>
              <w:t>Patrón</w:t>
            </w:r>
          </w:p>
        </w:tc>
        <w:tc>
          <w:tcPr>
            <w:tcW w:w="5103" w:type="dxa"/>
            <w:tcBorders/>
            <w:shd w:color="auto" w:fill="D9E2F3" w:val="clear"/>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b/>
                <w:kern w:val="0"/>
                <w:sz w:val="18"/>
                <w:szCs w:val="22"/>
                <w:lang w:val="es-CL" w:eastAsia="en-US" w:bidi="ar-SA"/>
              </w:rPr>
              <w:t>Comportamiento alternativo ante la falla</w:t>
            </w:r>
          </w:p>
        </w:tc>
      </w:tr>
      <w:tr>
        <w:trPr>
          <w:cantSplit w:val="true"/>
        </w:trPr>
        <w:tc>
          <w:tcPr>
            <w:tcW w:w="2608"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BFF hacia cuentas-service</w:t>
            </w:r>
          </w:p>
        </w:tc>
        <w:tc>
          <w:tcPr>
            <w:tcW w:w="2041"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Circuit breaker</w:t>
            </w:r>
          </w:p>
        </w:tc>
        <w:tc>
          <w:tcPr>
            <w:tcW w:w="5103"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Respuesta controlada de servicio no disponible, con un mensaje claro. Tras cinco fallas el circuito se abre y responde de inmediato, sin intentar la llamada.</w:t>
            </w:r>
          </w:p>
        </w:tc>
      </w:tr>
      <w:tr>
        <w:trPr>
          <w:cantSplit w:val="true"/>
        </w:trPr>
        <w:tc>
          <w:tcPr>
            <w:tcW w:w="2608"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bff-web hacia clientes-service</w:t>
            </w:r>
          </w:p>
        </w:tc>
        <w:tc>
          <w:tcPr>
            <w:tcW w:w="2041"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Circuit breaker y degradación</w:t>
            </w:r>
          </w:p>
        </w:tc>
        <w:tc>
          <w:tcPr>
            <w:tcW w:w="5103"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La cuenta se muestra igual, con el titular marcado como no disponible. Un dato accesorio no impide entregar el dato principal.</w:t>
            </w:r>
          </w:p>
        </w:tc>
      </w:tr>
      <w:tr>
        <w:trPr>
          <w:cantSplit w:val="true"/>
        </w:trPr>
        <w:tc>
          <w:tcPr>
            <w:tcW w:w="2608"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pagos-service hacia cuentas-service</w:t>
            </w:r>
          </w:p>
        </w:tc>
        <w:tc>
          <w:tcPr>
            <w:tcW w:w="2041"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Reintento y circuit breaker</w:t>
            </w:r>
          </w:p>
        </w:tc>
        <w:tc>
          <w:tcPr>
            <w:tcW w:w="5103"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Tres intentos, que pueden caer en otra réplica. Si todos fallan, el pago queda registrado como fallido con su motivo.</w:t>
            </w:r>
          </w:p>
        </w:tc>
      </w:tr>
      <w:tr>
        <w:trPr>
          <w:cantSplit w:val="true"/>
        </w:trPr>
        <w:tc>
          <w:tcPr>
            <w:tcW w:w="2608"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cuentas-service hacia clientes-service</w:t>
            </w:r>
          </w:p>
        </w:tc>
        <w:tc>
          <w:tcPr>
            <w:tcW w:w="2041"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Circuit breaker</w:t>
            </w:r>
          </w:p>
        </w:tc>
        <w:tc>
          <w:tcPr>
            <w:tcW w:w="5103"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La apertura de cuenta se rechaza: no se abre una cuenta para un cliente que no se pudo verificar.</w:t>
            </w:r>
          </w:p>
        </w:tc>
      </w:tr>
      <w:tr>
        <w:trPr>
          <w:cantSplit w:val="true"/>
        </w:trPr>
        <w:tc>
          <w:tcPr>
            <w:tcW w:w="2608"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Publicación de eventos en Kafka</w:t>
            </w:r>
          </w:p>
        </w:tc>
        <w:tc>
          <w:tcPr>
            <w:tcW w:w="2041"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Circuit breaker</w:t>
            </w:r>
          </w:p>
        </w:tc>
        <w:tc>
          <w:tcPr>
            <w:tcW w:w="5103"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Si el evento es crítico, la operación se rechaza. Si es informativo, la operación sigue y la falla queda en el log.</w:t>
            </w:r>
          </w:p>
        </w:tc>
      </w:tr>
    </w:tbl>
    <w:p>
      <w:pPr>
        <w:pStyle w:val="Normal"/>
        <w:spacing w:before="0" w:after="120"/>
        <w:rPr/>
      </w:pPr>
      <w:r>
        <w:rPr/>
      </w:r>
    </w:p>
    <w:p>
      <w:pPr>
        <w:pStyle w:val="Normal"/>
        <w:spacing w:lineRule="auto" w:line="276" w:before="0" w:after="160"/>
        <w:jc w:val="both"/>
        <w:rPr/>
      </w:pPr>
      <w:r>
        <w:rPr/>
        <w:t>Cada dependencia tiene su propio circuito: la caída del servicio de pagos no impide consultar una cuenta. Los errores de negocio, como un saldo insuficiente, no cuentan como fallas ni se reintentan, porque son respuestas correctas de un servicio sano.</w:t>
      </w:r>
    </w:p>
    <w:p>
      <w:pPr>
        <w:pStyle w:val="Heading2"/>
        <w:keepNext w:val="true"/>
        <w:rPr/>
      </w:pPr>
      <w:bookmarkStart w:id="34" w:name="__RefHeading___Toc2503_2748266228"/>
      <w:bookmarkEnd w:id="34"/>
      <w:r>
        <w:rPr/>
        <w:t>Eventos con Kafka</w:t>
      </w:r>
    </w:p>
    <w:tbl>
      <w:tblPr>
        <w:tblStyle w:val="792"/>
        <w:tblW w:w="9752" w:type="dxa"/>
        <w:jc w:val="center"/>
        <w:tblInd w:w="0" w:type="dxa"/>
        <w:tblLayout w:type="fixed"/>
        <w:tblCellMar>
          <w:top w:w="60" w:type="dxa"/>
          <w:left w:w="90" w:type="dxa"/>
          <w:bottom w:w="60" w:type="dxa"/>
          <w:right w:w="90" w:type="dxa"/>
        </w:tblCellMar>
        <w:tblLook w:val="04a0" w:noHBand="0" w:noVBand="1" w:firstColumn="1" w:lastRow="0" w:lastColumn="0" w:firstRow="1"/>
      </w:tblPr>
      <w:tblGrid>
        <w:gridCol w:w="2608"/>
        <w:gridCol w:w="2154"/>
        <w:gridCol w:w="2495"/>
        <w:gridCol w:w="2494"/>
      </w:tblGrid>
      <w:tr>
        <w:trPr>
          <w:tblHeader w:val="true"/>
          <w:cantSplit w:val="true"/>
        </w:trPr>
        <w:tc>
          <w:tcPr>
            <w:tcW w:w="2608" w:type="dxa"/>
            <w:tcBorders/>
            <w:shd w:color="auto" w:fill="D9E2F3" w:val="clear"/>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b/>
                <w:kern w:val="0"/>
                <w:sz w:val="18"/>
                <w:szCs w:val="22"/>
                <w:lang w:val="es-CL" w:eastAsia="en-US" w:bidi="ar-SA"/>
              </w:rPr>
              <w:t>Tópico</w:t>
            </w:r>
          </w:p>
        </w:tc>
        <w:tc>
          <w:tcPr>
            <w:tcW w:w="2154" w:type="dxa"/>
            <w:tcBorders/>
            <w:shd w:color="auto" w:fill="D9E2F3" w:val="clear"/>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b/>
                <w:kern w:val="0"/>
                <w:sz w:val="18"/>
                <w:szCs w:val="22"/>
                <w:lang w:val="es-CL" w:eastAsia="en-US" w:bidi="ar-SA"/>
              </w:rPr>
              <w:t>Lo publica</w:t>
            </w:r>
          </w:p>
        </w:tc>
        <w:tc>
          <w:tcPr>
            <w:tcW w:w="2495" w:type="dxa"/>
            <w:tcBorders/>
            <w:shd w:color="auto" w:fill="D9E2F3" w:val="clear"/>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b/>
                <w:kern w:val="0"/>
                <w:sz w:val="18"/>
                <w:szCs w:val="22"/>
                <w:lang w:val="es-CL" w:eastAsia="en-US" w:bidi="ar-SA"/>
              </w:rPr>
              <w:t>Lo consume</w:t>
            </w:r>
          </w:p>
        </w:tc>
        <w:tc>
          <w:tcPr>
            <w:tcW w:w="2494" w:type="dxa"/>
            <w:tcBorders/>
            <w:shd w:color="auto" w:fill="D9E2F3" w:val="clear"/>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b/>
                <w:kern w:val="0"/>
                <w:sz w:val="18"/>
                <w:szCs w:val="22"/>
                <w:lang w:val="es-CL" w:eastAsia="en-US" w:bidi="ar-SA"/>
              </w:rPr>
              <w:t>Contenido</w:t>
            </w:r>
          </w:p>
        </w:tc>
      </w:tr>
      <w:tr>
        <w:trPr>
          <w:cantSplit w:val="true"/>
        </w:trPr>
        <w:tc>
          <w:tcPr>
            <w:tcW w:w="2608"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transferencias.solicitadas</w:t>
            </w:r>
          </w:p>
        </w:tc>
        <w:tc>
          <w:tcPr>
            <w:tcW w:w="2154"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pagos-service</w:t>
            </w:r>
          </w:p>
        </w:tc>
        <w:tc>
          <w:tcPr>
            <w:tcW w:w="2495"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cuentas-service</w:t>
            </w:r>
          </w:p>
        </w:tc>
        <w:tc>
          <w:tcPr>
            <w:tcW w:w="2494"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Inicio de una transferencia</w:t>
            </w:r>
          </w:p>
        </w:tc>
      </w:tr>
      <w:tr>
        <w:trPr>
          <w:cantSplit w:val="true"/>
        </w:trPr>
        <w:tc>
          <w:tcPr>
            <w:tcW w:w="2608"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transferencias.debito-aplicado</w:t>
            </w:r>
          </w:p>
        </w:tc>
        <w:tc>
          <w:tcPr>
            <w:tcW w:w="2154"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cuentas-service</w:t>
            </w:r>
          </w:p>
        </w:tc>
        <w:tc>
          <w:tcPr>
            <w:tcW w:w="2495"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cuentas-service</w:t>
            </w:r>
          </w:p>
        </w:tc>
        <w:tc>
          <w:tcPr>
            <w:tcW w:w="2494"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Paso intermedio de la saga</w:t>
            </w:r>
          </w:p>
        </w:tc>
      </w:tr>
      <w:tr>
        <w:trPr>
          <w:cantSplit w:val="true"/>
        </w:trPr>
        <w:tc>
          <w:tcPr>
            <w:tcW w:w="2608"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transferencias.resultado</w:t>
            </w:r>
          </w:p>
        </w:tc>
        <w:tc>
          <w:tcPr>
            <w:tcW w:w="2154"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cuentas-service</w:t>
            </w:r>
          </w:p>
        </w:tc>
        <w:tc>
          <w:tcPr>
            <w:tcW w:w="2495"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pagos-service y notificaciones-service</w:t>
            </w:r>
          </w:p>
        </w:tc>
        <w:tc>
          <w:tcPr>
            <w:tcW w:w="2494"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Transacción completada, rechazada o compensada</w:t>
            </w:r>
          </w:p>
        </w:tc>
      </w:tr>
      <w:tr>
        <w:trPr>
          <w:cantSplit w:val="true"/>
        </w:trPr>
        <w:tc>
          <w:tcPr>
            <w:tcW w:w="2608"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pagos.completados</w:t>
            </w:r>
          </w:p>
        </w:tc>
        <w:tc>
          <w:tcPr>
            <w:tcW w:w="2154"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pagos-service</w:t>
            </w:r>
          </w:p>
        </w:tc>
        <w:tc>
          <w:tcPr>
            <w:tcW w:w="2495"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notificaciones-service</w:t>
            </w:r>
          </w:p>
        </w:tc>
        <w:tc>
          <w:tcPr>
            <w:tcW w:w="2494"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Depósito o pago completado</w:t>
            </w:r>
          </w:p>
        </w:tc>
      </w:tr>
      <w:tr>
        <w:trPr>
          <w:cantSplit w:val="true"/>
        </w:trPr>
        <w:tc>
          <w:tcPr>
            <w:tcW w:w="2608"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seguridad.alertas</w:t>
            </w:r>
          </w:p>
        </w:tc>
        <w:tc>
          <w:tcPr>
            <w:tcW w:w="2154"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pagos-service y clientes-service</w:t>
            </w:r>
          </w:p>
        </w:tc>
        <w:tc>
          <w:tcPr>
            <w:tcW w:w="2495"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notificaciones-service</w:t>
            </w:r>
          </w:p>
        </w:tc>
        <w:tc>
          <w:tcPr>
            <w:tcW w:w="2494"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Transferencia de monto alto; cambio de datos de un cliente</w:t>
            </w:r>
          </w:p>
        </w:tc>
      </w:tr>
    </w:tbl>
    <w:p>
      <w:pPr>
        <w:pStyle w:val="Normal"/>
        <w:spacing w:before="0" w:after="120"/>
        <w:rPr/>
      </w:pPr>
      <w:r>
        <w:rPr/>
      </w:r>
    </w:p>
    <w:p>
      <w:pPr>
        <w:pStyle w:val="Normal"/>
        <w:spacing w:lineRule="auto" w:line="276" w:before="0" w:after="160"/>
        <w:jc w:val="both"/>
        <w:rPr/>
      </w:pPr>
      <w:r>
        <w:rPr/>
        <w:t xml:space="preserve">Una transferencia modifica dos cuentas y su registro vive en otro servicio, por lo que no puede resolverse con una sola transacción. Se modela como una </w:t>
      </w:r>
      <w:r>
        <w:rPr>
          <w:b/>
        </w:rPr>
        <w:t>saga</w:t>
      </w:r>
      <w:r>
        <w:rPr/>
        <w:t>: una secuencia de pasos, cada uno una transacción local, que se comunican por eventos.</w:t>
      </w:r>
    </w:p>
    <w:p>
      <w:pPr>
        <w:pStyle w:val="Normal"/>
        <w:keepNext w:val="true"/>
        <w:spacing w:before="80" w:after="0"/>
        <w:jc w:val="center"/>
        <w:rPr/>
      </w:pPr>
      <w:r>
        <w:rPr/>
        <w:drawing>
          <wp:inline distT="0" distB="0" distL="0" distR="0">
            <wp:extent cx="5579745" cy="4690745"/>
            <wp:effectExtent l="0" t="0" r="0" b="0"/>
            <wp:docPr id="8" name="Picture 16224033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622403340" descr=""/>
                    <pic:cNvPicPr>
                      <a:picLocks noChangeAspect="1" noChangeArrowheads="1"/>
                    </pic:cNvPicPr>
                  </pic:nvPicPr>
                  <pic:blipFill>
                    <a:blip r:embed="rId7"/>
                    <a:stretch>
                      <a:fillRect/>
                    </a:stretch>
                  </pic:blipFill>
                  <pic:spPr bwMode="auto">
                    <a:xfrm>
                      <a:off x="0" y="0"/>
                      <a:ext cx="5579745" cy="4690745"/>
                    </a:xfrm>
                    <a:prstGeom prst="rect">
                      <a:avLst/>
                    </a:prstGeom>
                  </pic:spPr>
                </pic:pic>
              </a:graphicData>
            </a:graphic>
          </wp:inline>
        </w:drawing>
      </w:r>
    </w:p>
    <w:p>
      <w:pPr>
        <w:pStyle w:val="Caption"/>
        <w:spacing w:before="0" w:after="200"/>
        <w:jc w:val="center"/>
        <w:rPr/>
      </w:pPr>
      <w:r>
        <w:rPr>
          <w:i/>
          <w:sz w:val="18"/>
        </w:rPr>
        <w:t>Figura 4. Saga de una transferencia y sus tres desenlaces posibles.</w:t>
      </w:r>
    </w:p>
    <w:p>
      <w:pPr>
        <w:pStyle w:val="Normal"/>
        <w:spacing w:lineRule="auto" w:line="276" w:before="0" w:after="160"/>
        <w:jc w:val="both"/>
        <w:rPr/>
      </w:pPr>
      <w:r>
        <w:rPr/>
        <w:t xml:space="preserve">Si la cuenta de origen no tiene saldo, la transferencia se </w:t>
      </w:r>
      <w:r>
        <w:rPr>
          <w:b/>
        </w:rPr>
        <w:t>rechaza</w:t>
      </w:r>
      <w:r>
        <w:rPr/>
        <w:t xml:space="preserve"> sin haber tocado nada. Si el débito se aplicó pero la cuenta de destino no existe o está cerrada, se ejecuta la </w:t>
      </w:r>
      <w:r>
        <w:rPr>
          <w:b/>
        </w:rPr>
        <w:t>compensación</w:t>
      </w:r>
      <w:r>
        <w:rPr/>
        <w:t>: el monto vuelve a la cuenta de origen. El canal recibe una respuesta inmediata de solicitud aceptada y consulta después el resultado.</w:t>
      </w:r>
    </w:p>
    <w:p>
      <w:pPr>
        <w:pStyle w:val="Heading2"/>
        <w:keepNext w:val="true"/>
        <w:rPr/>
      </w:pPr>
      <w:bookmarkStart w:id="35" w:name="__RefHeading___Toc2505_2748266228"/>
      <w:bookmarkEnd w:id="35"/>
      <w:r>
        <w:rPr/>
        <w:t>Consistencia de los datos</w:t>
      </w:r>
    </w:p>
    <w:p>
      <w:pPr>
        <w:pStyle w:val="ListParagraph"/>
        <w:keepNext w:val="false"/>
        <w:keepLines w:val="false"/>
        <w:numPr>
          <w:ilvl w:val="0"/>
          <w:numId w:val="3"/>
        </w:numPr>
        <w:spacing w:lineRule="auto" w:line="276" w:before="0" w:after="0"/>
        <w:ind w:hanging="360" w:left="720" w:right="0"/>
        <w:contextualSpacing/>
        <w:jc w:val="both"/>
        <w:rPr/>
      </w:pPr>
      <w:r>
        <w:rPr>
          <w:b/>
        </w:rPr>
        <w:t>Transacciones locales.</w:t>
      </w:r>
      <w:r>
        <w:rPr/>
        <w:t xml:space="preserve"> Cada paso que mueve dinero es una transacción de base de datos: o se aplica completo o no se aplica.</w:t>
      </w:r>
    </w:p>
    <w:p>
      <w:pPr>
        <w:pStyle w:val="ListParagraph"/>
        <w:keepNext w:val="false"/>
        <w:keepLines w:val="false"/>
        <w:numPr>
          <w:ilvl w:val="0"/>
          <w:numId w:val="3"/>
        </w:numPr>
        <w:spacing w:lineRule="auto" w:line="276" w:before="0" w:after="0"/>
        <w:ind w:hanging="360" w:left="720" w:right="0"/>
        <w:contextualSpacing/>
        <w:jc w:val="both"/>
        <w:rPr/>
      </w:pPr>
      <w:r>
        <w:rPr>
          <w:b/>
        </w:rPr>
        <w:t>Bloqueo de fila.</w:t>
      </w:r>
      <w:r>
        <w:rPr/>
        <w:t xml:space="preserve"> Dos operaciones simultáneas sobre la misma cuenta se ordenan en la base de datos, aunque lleguen a réplicas distintas.</w:t>
      </w:r>
    </w:p>
    <w:p>
      <w:pPr>
        <w:pStyle w:val="ListParagraph"/>
        <w:keepNext w:val="false"/>
        <w:keepLines w:val="false"/>
        <w:numPr>
          <w:ilvl w:val="0"/>
          <w:numId w:val="3"/>
        </w:numPr>
        <w:spacing w:lineRule="auto" w:line="276" w:before="0" w:after="0"/>
        <w:ind w:hanging="360" w:left="720" w:right="0"/>
        <w:contextualSpacing/>
        <w:jc w:val="both"/>
        <w:rPr/>
      </w:pPr>
      <w:r>
        <w:rPr>
          <w:b/>
        </w:rPr>
        <w:t>Idempotencia.</w:t>
      </w:r>
      <w:r>
        <w:rPr/>
        <w:t xml:space="preserve"> Kafka puede entregar un evento más de una vez, y un reintento puede repetir una llamada. Cada operación de dinero deja un registro con su identificador en la misma transacción que modifica el saldo; si la operación se repite, se reconoce y no se vuelve a aplicar.</w:t>
      </w:r>
    </w:p>
    <w:p>
      <w:pPr>
        <w:pStyle w:val="ListParagraph"/>
        <w:keepNext w:val="false"/>
        <w:keepLines w:val="false"/>
        <w:numPr>
          <w:ilvl w:val="0"/>
          <w:numId w:val="3"/>
        </w:numPr>
        <w:spacing w:lineRule="auto" w:line="276" w:before="0" w:after="0"/>
        <w:ind w:hanging="360" w:left="720" w:right="0"/>
        <w:contextualSpacing/>
        <w:jc w:val="both"/>
        <w:rPr/>
      </w:pPr>
      <w:r>
        <w:rPr>
          <w:b/>
        </w:rPr>
        <w:t>Reintento de eventos.</w:t>
      </w:r>
      <w:r>
        <w:rPr/>
        <w:t xml:space="preserve"> Si un paso de la saga falla por una causa pasajera, se reintenta durante varios minutos antes de descartarlo.</w:t>
      </w:r>
    </w:p>
    <w:p>
      <w:pPr>
        <w:pStyle w:val="ListParagraph"/>
        <w:keepNext w:val="false"/>
        <w:keepLines w:val="false"/>
        <w:numPr>
          <w:ilvl w:val="0"/>
          <w:numId w:val="3"/>
        </w:numPr>
        <w:spacing w:lineRule="auto" w:line="276" w:before="0" w:after="80"/>
        <w:ind w:hanging="360" w:left="720" w:right="0"/>
        <w:contextualSpacing/>
        <w:jc w:val="both"/>
        <w:rPr/>
      </w:pPr>
      <w:r>
        <w:rPr>
          <w:b/>
        </w:rPr>
        <w:t>Registro previo.</w:t>
      </w:r>
      <w:r>
        <w:rPr/>
        <w:t xml:space="preserve"> Todo pago se registra como en proceso antes de ejecutarse. Pase lo que pase, queda constancia de que se solicitó y de cómo terminó.</w:t>
      </w:r>
    </w:p>
    <w:p>
      <w:pPr>
        <w:pStyle w:val="Normal"/>
        <w:spacing w:before="0" w:after="40"/>
        <w:rPr/>
      </w:pPr>
      <w:r>
        <w:rPr/>
      </w:r>
    </w:p>
    <w:p>
      <w:pPr>
        <w:pStyle w:val="Heading2"/>
        <w:keepNext w:val="true"/>
        <w:rPr/>
      </w:pPr>
      <w:bookmarkStart w:id="36" w:name="__RefHeading___Toc2507_2748266228"/>
      <w:bookmarkEnd w:id="36"/>
      <w:r>
        <w:rPr/>
        <w:t>Monitoreo y registro de operaciones</w:t>
      </w:r>
    </w:p>
    <w:p>
      <w:pPr>
        <w:pStyle w:val="Normal"/>
        <w:spacing w:lineRule="auto" w:line="276" w:before="0" w:after="160"/>
        <w:jc w:val="both"/>
        <w:rPr/>
      </w:pPr>
      <w:r>
        <w:rPr/>
        <w:t>Cada microservicio registra cada petición que atiende: método, ruta, resultado, duración y qué componente la hizo, dato que se obtiene del token. Cada servicio expone además un punto de salud que Docker consulta para saber si está operativo, y métricas a través de Spring Boot Actuator. Los procesos batch guardan en la base de datos el detalle de cada ejecución: registros leídos, escritos y omitidos, duración y estado.</w:t>
      </w:r>
    </w:p>
    <w:p>
      <w:pPr>
        <w:pStyle w:val="Heading1"/>
        <w:keepNext w:val="true"/>
        <w:rPr/>
      </w:pPr>
      <w:bookmarkStart w:id="37" w:name="__RefHeading___Toc2509_2748266228"/>
      <w:bookmarkEnd w:id="37"/>
      <w:r>
        <w:rPr/>
        <w:t>Contenedores, escalabilidad y despliegue en AWS</w:t>
      </w:r>
    </w:p>
    <w:p>
      <w:pPr>
        <w:pStyle w:val="Heading2"/>
        <w:keepNext w:val="true"/>
        <w:rPr/>
      </w:pPr>
      <w:bookmarkStart w:id="38" w:name="__RefHeading___Toc2511_2748266228"/>
      <w:bookmarkEnd w:id="38"/>
      <w:r>
        <w:rPr/>
        <w:t>Docker y Docker Compose</w:t>
      </w:r>
    </w:p>
    <w:p>
      <w:pPr>
        <w:pStyle w:val="Normal"/>
        <w:spacing w:lineRule="auto" w:line="276" w:before="0" w:after="160"/>
        <w:jc w:val="both"/>
        <w:rPr/>
      </w:pPr>
      <w:r>
        <w:rPr/>
        <w:t>Cada módulo tiene su Dockerfile de dos etapas: la primera compila con Maven y la segunda contiene solo el entorno de ejecución de Java y el archivo empaquetado. La imagen final no incluye el código fuente ni las herramientas de compilación. Un único archivo de Docker Compose define los trece servicios, el orden de arranque según el estado de salud de cada dependencia, los límites de memoria y el reinicio automático de un contenedor que falla. La base de datos se inicializa con un script que crea una base por servicio.</w:t>
      </w:r>
    </w:p>
    <w:p>
      <w:pPr>
        <w:pStyle w:val="Heading2"/>
        <w:keepNext w:val="true"/>
        <w:rPr/>
      </w:pPr>
      <w:bookmarkStart w:id="39" w:name="__RefHeading___Toc2513_2748266228"/>
      <w:bookmarkEnd w:id="39"/>
      <w:r>
        <w:rPr/>
        <w:t>Escalabilidad horizontal</w:t>
      </w:r>
    </w:p>
    <w:p>
      <w:pPr>
        <w:pStyle w:val="Normal"/>
        <w:spacing w:lineRule="auto" w:line="276" w:before="0" w:after="160"/>
        <w:jc w:val="both"/>
        <w:rPr/>
      </w:pPr>
      <w:r>
        <w:rPr/>
        <w:t>Los tres microservicios de negocio se escalan con un solo comando, con el sistema en marcha. Esto funciona sin cambiar código por cuatro razones:</w:t>
      </w:r>
    </w:p>
    <w:p>
      <w:pPr>
        <w:pStyle w:val="ListParagraph"/>
        <w:keepNext w:val="false"/>
        <w:keepLines w:val="false"/>
        <w:numPr>
          <w:ilvl w:val="0"/>
          <w:numId w:val="3"/>
        </w:numPr>
        <w:spacing w:lineRule="auto" w:line="276" w:before="0" w:after="0"/>
        <w:ind w:hanging="360" w:left="720" w:right="0"/>
        <w:contextualSpacing/>
        <w:jc w:val="both"/>
        <w:rPr/>
      </w:pPr>
      <w:r>
        <w:rPr/>
        <w:t>No guardan estado en memoria: todas las réplicas comparten la base de datos del servicio.</w:t>
      </w:r>
    </w:p>
    <w:p>
      <w:pPr>
        <w:pStyle w:val="ListParagraph"/>
        <w:keepNext w:val="false"/>
        <w:keepLines w:val="false"/>
        <w:numPr>
          <w:ilvl w:val="0"/>
          <w:numId w:val="3"/>
        </w:numPr>
        <w:spacing w:lineRule="auto" w:line="276" w:before="0" w:after="0"/>
        <w:ind w:hanging="360" w:left="720" w:right="0"/>
        <w:contextualSpacing/>
        <w:jc w:val="both"/>
        <w:rPr/>
      </w:pPr>
      <w:r>
        <w:rPr/>
        <w:t>Cada réplica se registra sola en Eureka, y los clientes reparten las peticiones entre las registradas.</w:t>
      </w:r>
    </w:p>
    <w:p>
      <w:pPr>
        <w:pStyle w:val="ListParagraph"/>
        <w:keepNext w:val="false"/>
        <w:keepLines w:val="false"/>
        <w:numPr>
          <w:ilvl w:val="0"/>
          <w:numId w:val="3"/>
        </w:numPr>
        <w:spacing w:lineRule="auto" w:line="276" w:before="0" w:after="0"/>
        <w:ind w:hanging="360" w:left="720" w:right="0"/>
        <w:contextualSpacing/>
        <w:jc w:val="both"/>
        <w:rPr/>
      </w:pPr>
      <w:r>
        <w:rPr/>
        <w:t>Las réplicas comparten el grupo de consumo de Kafka, que reparte entre ellas las cuatro particiones de cada tópico.</w:t>
      </w:r>
    </w:p>
    <w:p>
      <w:pPr>
        <w:pStyle w:val="ListParagraph"/>
        <w:keepNext w:val="false"/>
        <w:keepLines w:val="false"/>
        <w:numPr>
          <w:ilvl w:val="0"/>
          <w:numId w:val="3"/>
        </w:numPr>
        <w:spacing w:lineRule="auto" w:line="276" w:before="0" w:after="80"/>
        <w:ind w:hanging="360" w:left="720" w:right="0"/>
        <w:contextualSpacing/>
        <w:jc w:val="both"/>
        <w:rPr/>
      </w:pPr>
      <w:r>
        <w:rPr/>
        <w:t>No publican un puerto fijo, de modo que pueden convivir varias en el mismo servidor.</w:t>
      </w:r>
    </w:p>
    <w:p>
      <w:pPr>
        <w:pStyle w:val="Normal"/>
        <w:spacing w:before="0" w:after="40"/>
        <w:rPr/>
      </w:pPr>
      <w:r>
        <w:rPr/>
      </w:r>
    </w:p>
    <w:p>
      <w:pPr>
        <w:pStyle w:val="Heading2"/>
        <w:keepNext w:val="true"/>
        <w:rPr/>
      </w:pPr>
      <w:bookmarkStart w:id="40" w:name="__RefHeading___Toc2515_2748266228"/>
      <w:bookmarkEnd w:id="40"/>
      <w:r>
        <w:rPr/>
        <w:t>Despliegue en AWS</w:t>
      </w:r>
    </w:p>
    <w:p>
      <w:pPr>
        <w:pStyle w:val="Normal"/>
        <w:keepNext w:val="true"/>
        <w:spacing w:before="80" w:after="0"/>
        <w:jc w:val="center"/>
        <w:rPr/>
      </w:pPr>
      <w:r>
        <w:rPr/>
        <w:drawing>
          <wp:inline distT="0" distB="0" distL="0" distR="0">
            <wp:extent cx="4248150" cy="4666615"/>
            <wp:effectExtent l="0" t="0" r="0" b="0"/>
            <wp:docPr id="9" name="Picture 16224033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622403341" descr=""/>
                    <pic:cNvPicPr>
                      <a:picLocks noChangeAspect="1" noChangeArrowheads="1"/>
                    </pic:cNvPicPr>
                  </pic:nvPicPr>
                  <pic:blipFill>
                    <a:blip r:embed="rId8"/>
                    <a:stretch>
                      <a:fillRect/>
                    </a:stretch>
                  </pic:blipFill>
                  <pic:spPr bwMode="auto">
                    <a:xfrm>
                      <a:off x="0" y="0"/>
                      <a:ext cx="4248150" cy="4666615"/>
                    </a:xfrm>
                    <a:prstGeom prst="rect">
                      <a:avLst/>
                    </a:prstGeom>
                  </pic:spPr>
                </pic:pic>
              </a:graphicData>
            </a:graphic>
          </wp:inline>
        </w:drawing>
      </w:r>
    </w:p>
    <w:p>
      <w:pPr>
        <w:pStyle w:val="Caption"/>
        <w:spacing w:before="0" w:after="200"/>
        <w:jc w:val="center"/>
        <w:rPr/>
      </w:pPr>
      <w:r>
        <w:rPr>
          <w:i/>
          <w:sz w:val="18"/>
        </w:rPr>
        <w:t>Figura 5. Despliegue en AWS.</w:t>
      </w:r>
    </w:p>
    <w:p>
      <w:pPr>
        <w:pStyle w:val="Normal"/>
        <w:spacing w:lineRule="auto" w:line="276" w:before="0" w:after="160"/>
        <w:jc w:val="both"/>
        <w:rPr/>
      </w:pPr>
      <w:r>
        <w:rPr/>
        <w:t>El sistema se despliega en una instancia EC2 dentro de AWS Academy Learner Lab. Un script crea el grupo de seguridad y la instancia; al arrancar, la instancia instala Docker, clona el repositorio, construye las imágenes y levanta el sistema sin intervención manual. El grupo de seguridad abre a Internet solo el puerto del gateway; la administración y el panel de Eureka quedan restringidos a la dirección del administrador. Los microservicios, la base de datos y Kafka permanecen en la red interna de Docker.</w:t>
      </w:r>
    </w:p>
    <w:p>
      <w:pPr>
        <w:pStyle w:val="Normal"/>
        <w:spacing w:lineRule="auto" w:line="276" w:before="0" w:after="160"/>
        <w:jc w:val="both"/>
        <w:rPr/>
      </w:pPr>
      <w:r>
        <w:rPr/>
        <w:t>El despliegue se verificó en una instancia t3.large con Ubuntu 24.04. El script de arranque construyó las doce imágenes y levantó el sistema sin intervención manual en unos quince minutos. Desde un computador externo, a través de Internet, el gateway respondió su chequeo de salud y enrutó el inicio de sesión del canal web hasta su BFF: respondió 200 con un token y con la cabecera que agrega el gateway en cada respuesta.</w:t>
      </w:r>
    </w:p>
    <w:p>
      <w:pPr>
        <w:pStyle w:val="Normal"/>
        <w:spacing w:lineRule="auto" w:line="276" w:before="0" w:after="160"/>
        <w:jc w:val="both"/>
        <w:rPr/>
      </w:pPr>
      <w:r>
        <w:rPr/>
        <w:t>El documento despliegue.md detalla el procedimiento, la verificación con sus resultados, el escalado en la nube y la evolución hacia un entorno productivo con servicios administrados.</w:t>
      </w:r>
    </w:p>
    <w:p>
      <w:pPr>
        <w:pStyle w:val="Heading1"/>
        <w:keepNext w:val="true"/>
        <w:rPr/>
      </w:pPr>
      <w:bookmarkStart w:id="41" w:name="__RefHeading___Toc2517_2748266228"/>
      <w:bookmarkEnd w:id="41"/>
      <w:r>
        <w:rPr/>
        <w:t>Integración entre los componentes</w:t>
      </w:r>
    </w:p>
    <w:p>
      <w:pPr>
        <w:pStyle w:val="Normal"/>
        <w:spacing w:lineRule="auto" w:line="276" w:before="0" w:after="160"/>
        <w:jc w:val="both"/>
        <w:rPr/>
      </w:pPr>
      <w:r>
        <w:rPr/>
        <w:t>El recorrido de una transferencia desde el canal web muestra cómo se integran las piezas:</w:t>
      </w:r>
    </w:p>
    <w:p>
      <w:pPr>
        <w:pStyle w:val="ListParagraph"/>
        <w:keepNext w:val="false"/>
        <w:keepLines w:val="false"/>
        <w:numPr>
          <w:ilvl w:val="0"/>
          <w:numId w:val="3"/>
        </w:numPr>
        <w:spacing w:lineRule="auto" w:line="276" w:before="0" w:after="0"/>
        <w:ind w:hanging="360" w:left="720" w:right="0"/>
        <w:contextualSpacing/>
        <w:jc w:val="both"/>
        <w:rPr/>
      </w:pPr>
      <w:r>
        <w:rPr/>
        <w:t xml:space="preserve">El navegador llama al </w:t>
      </w:r>
      <w:r>
        <w:rPr>
          <w:b/>
        </w:rPr>
        <w:t>api-gateway</w:t>
      </w:r>
      <w:r>
        <w:rPr/>
        <w:t xml:space="preserve">, que ubica al BFF web en </w:t>
      </w:r>
      <w:r>
        <w:rPr>
          <w:b/>
        </w:rPr>
        <w:t>Eureka</w:t>
      </w:r>
      <w:r>
        <w:rPr/>
        <w:t xml:space="preserve"> y le reenvía la petición por HTTPS.</w:t>
      </w:r>
    </w:p>
    <w:p>
      <w:pPr>
        <w:pStyle w:val="ListParagraph"/>
        <w:keepNext w:val="false"/>
        <w:keepLines w:val="false"/>
        <w:numPr>
          <w:ilvl w:val="0"/>
          <w:numId w:val="3"/>
        </w:numPr>
        <w:spacing w:lineRule="auto" w:line="276" w:before="0" w:after="0"/>
        <w:ind w:hanging="360" w:left="720" w:right="0"/>
        <w:contextualSpacing/>
        <w:jc w:val="both"/>
        <w:rPr/>
      </w:pPr>
      <w:r>
        <w:rPr/>
        <w:t xml:space="preserve">El </w:t>
      </w:r>
      <w:r>
        <w:rPr>
          <w:b/>
        </w:rPr>
        <w:t>BFF web</w:t>
      </w:r>
      <w:r>
        <w:rPr/>
        <w:t xml:space="preserve"> valida el token del usuario y verifica que la cuenta de origen sea la suya.</w:t>
      </w:r>
    </w:p>
    <w:p>
      <w:pPr>
        <w:pStyle w:val="ListParagraph"/>
        <w:keepNext w:val="false"/>
        <w:keepLines w:val="false"/>
        <w:numPr>
          <w:ilvl w:val="0"/>
          <w:numId w:val="3"/>
        </w:numPr>
        <w:spacing w:lineRule="auto" w:line="276" w:before="0" w:after="0"/>
        <w:ind w:hanging="360" w:left="720" w:right="0"/>
        <w:contextualSpacing/>
        <w:jc w:val="both"/>
        <w:rPr/>
      </w:pPr>
      <w:r>
        <w:rPr/>
        <w:t xml:space="preserve">El BFF pide un token a </w:t>
      </w:r>
      <w:r>
        <w:rPr>
          <w:b/>
        </w:rPr>
        <w:t>auth-server</w:t>
      </w:r>
      <w:r>
        <w:rPr/>
        <w:t xml:space="preserve"> y llama a </w:t>
      </w:r>
      <w:r>
        <w:rPr>
          <w:b/>
        </w:rPr>
        <w:t>pagos-service</w:t>
      </w:r>
      <w:r>
        <w:rPr/>
        <w:t>, a través de un circuit breaker.</w:t>
      </w:r>
    </w:p>
    <w:p>
      <w:pPr>
        <w:pStyle w:val="ListParagraph"/>
        <w:keepNext w:val="false"/>
        <w:keepLines w:val="false"/>
        <w:numPr>
          <w:ilvl w:val="0"/>
          <w:numId w:val="3"/>
        </w:numPr>
        <w:spacing w:lineRule="auto" w:line="276" w:before="0" w:after="0"/>
        <w:ind w:hanging="360" w:left="720" w:right="0"/>
        <w:contextualSpacing/>
        <w:jc w:val="both"/>
        <w:rPr/>
      </w:pPr>
      <w:r>
        <w:rPr>
          <w:b/>
        </w:rPr>
        <w:t>pagos-service</w:t>
      </w:r>
      <w:r>
        <w:rPr/>
        <w:t xml:space="preserve"> valida el token, registra el pago en su base de datos y publica la solicitud en </w:t>
      </w:r>
      <w:r>
        <w:rPr>
          <w:b/>
        </w:rPr>
        <w:t>Kafka</w:t>
      </w:r>
      <w:r>
        <w:rPr/>
        <w:t>.</w:t>
      </w:r>
    </w:p>
    <w:p>
      <w:pPr>
        <w:pStyle w:val="ListParagraph"/>
        <w:keepNext w:val="false"/>
        <w:keepLines w:val="false"/>
        <w:numPr>
          <w:ilvl w:val="0"/>
          <w:numId w:val="3"/>
        </w:numPr>
        <w:spacing w:lineRule="auto" w:line="276" w:before="0" w:after="0"/>
        <w:ind w:hanging="360" w:left="720" w:right="0"/>
        <w:contextualSpacing/>
        <w:jc w:val="both"/>
        <w:rPr/>
      </w:pPr>
      <w:r>
        <w:rPr>
          <w:b/>
        </w:rPr>
        <w:t>cuentas-service</w:t>
      </w:r>
      <w:r>
        <w:rPr/>
        <w:t xml:space="preserve"> consume el evento, debita y acredita en su base de datos, y publica el resultado.</w:t>
      </w:r>
    </w:p>
    <w:p>
      <w:pPr>
        <w:pStyle w:val="ListParagraph"/>
        <w:keepNext w:val="false"/>
        <w:keepLines w:val="false"/>
        <w:numPr>
          <w:ilvl w:val="0"/>
          <w:numId w:val="3"/>
        </w:numPr>
        <w:spacing w:lineRule="auto" w:line="276" w:before="0" w:after="0"/>
        <w:ind w:hanging="360" w:left="720" w:right="0"/>
        <w:contextualSpacing/>
        <w:jc w:val="both"/>
        <w:rPr/>
      </w:pPr>
      <w:r>
        <w:rPr>
          <w:b/>
        </w:rPr>
        <w:t>pagos-service</w:t>
      </w:r>
      <w:r>
        <w:rPr/>
        <w:t xml:space="preserve"> actualiza el estado del pago y </w:t>
      </w:r>
      <w:r>
        <w:rPr>
          <w:b/>
        </w:rPr>
        <w:t>notificaciones-service</w:t>
      </w:r>
      <w:r>
        <w:rPr/>
        <w:t xml:space="preserve"> avisa al cliente.</w:t>
      </w:r>
    </w:p>
    <w:p>
      <w:pPr>
        <w:pStyle w:val="ListParagraph"/>
        <w:keepNext w:val="false"/>
        <w:keepLines w:val="false"/>
        <w:numPr>
          <w:ilvl w:val="0"/>
          <w:numId w:val="3"/>
        </w:numPr>
        <w:spacing w:lineRule="auto" w:line="276" w:before="0" w:after="80"/>
        <w:ind w:hanging="360" w:left="720" w:right="0"/>
        <w:contextualSpacing/>
        <w:jc w:val="both"/>
        <w:rPr/>
      </w:pPr>
      <w:r>
        <w:rPr/>
        <w:t>El navegador consulta el estado y recibe el resultado final.</w:t>
      </w:r>
    </w:p>
    <w:p>
      <w:pPr>
        <w:pStyle w:val="Normal"/>
        <w:spacing w:before="0" w:after="40"/>
        <w:rPr/>
      </w:pPr>
      <w:r>
        <w:rPr/>
      </w:r>
    </w:p>
    <w:p>
      <w:pPr>
        <w:pStyle w:val="Normal"/>
        <w:spacing w:lineRule="auto" w:line="276" w:before="0" w:after="160"/>
        <w:jc w:val="both"/>
        <w:rPr/>
      </w:pPr>
      <w:r>
        <w:rPr/>
        <w:t xml:space="preserve">Todos estos servicios obtuvieron su configuración de </w:t>
      </w:r>
      <w:r>
        <w:rPr>
          <w:b/>
        </w:rPr>
        <w:t>config-server</w:t>
      </w:r>
      <w:r>
        <w:rPr/>
        <w:t xml:space="preserve"> al arrancar. Los procesos batch se integran por los datos: leen los mismos archivos legacy con que los microservicios cargaron sus bases, y aplican las mismas reglas de validación.</w:t>
      </w:r>
    </w:p>
    <w:p>
      <w:pPr>
        <w:pStyle w:val="Heading1"/>
        <w:keepNext w:val="true"/>
        <w:rPr/>
      </w:pPr>
      <w:bookmarkStart w:id="42" w:name="__RefHeading___Toc2519_2748266228"/>
      <w:bookmarkEnd w:id="42"/>
      <w:r>
        <w:rPr/>
        <w:t>Verificación</w:t>
      </w:r>
    </w:p>
    <w:p>
      <w:pPr>
        <w:pStyle w:val="Normal"/>
        <w:spacing w:lineRule="auto" w:line="276" w:before="0" w:after="160"/>
        <w:jc w:val="both"/>
        <w:rPr/>
      </w:pPr>
      <w:r>
        <w:rPr/>
        <w:t xml:space="preserve">El repositorio incluye scripts que ejercitan el sistema de punta a punta y guardan la salida de cada etapa en la carpeta evidencias. Un script los ejecuta todos en orden, partiendo de datos limpios, y el mismo script corre en GitHub Actions con cada cambio que se sube al repositorio. La tabla resume lo que comprueba cada etapa y lo que se obtuvo en la corrida completa sobre Docker, en la que </w:t>
      </w:r>
      <w:r>
        <w:rPr>
          <w:b/>
        </w:rPr>
        <w:t>todas las etapas terminaron correctamente</w:t>
      </w:r>
      <w:r>
        <w:rPr/>
        <w:t>.</w:t>
      </w:r>
    </w:p>
    <w:tbl>
      <w:tblPr>
        <w:tblStyle w:val="792"/>
        <w:tblW w:w="9752" w:type="dxa"/>
        <w:jc w:val="center"/>
        <w:tblInd w:w="0" w:type="dxa"/>
        <w:tblLayout w:type="fixed"/>
        <w:tblCellMar>
          <w:top w:w="60" w:type="dxa"/>
          <w:left w:w="90" w:type="dxa"/>
          <w:bottom w:w="60" w:type="dxa"/>
          <w:right w:w="90" w:type="dxa"/>
        </w:tblCellMar>
        <w:tblLook w:val="04a0" w:noHBand="0" w:noVBand="1" w:firstColumn="1" w:lastRow="0" w:lastColumn="0" w:firstRow="1"/>
      </w:tblPr>
      <w:tblGrid>
        <w:gridCol w:w="1700"/>
        <w:gridCol w:w="3176"/>
        <w:gridCol w:w="4876"/>
      </w:tblGrid>
      <w:tr>
        <w:trPr>
          <w:tblHeader w:val="true"/>
          <w:cantSplit w:val="true"/>
        </w:trPr>
        <w:tc>
          <w:tcPr>
            <w:tcW w:w="1700" w:type="dxa"/>
            <w:tcBorders/>
            <w:shd w:color="auto" w:fill="D9E2F3" w:val="clear"/>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b/>
                <w:kern w:val="0"/>
                <w:sz w:val="18"/>
                <w:szCs w:val="22"/>
                <w:lang w:val="es-CL" w:eastAsia="en-US" w:bidi="ar-SA"/>
              </w:rPr>
              <w:t>Etapa</w:t>
            </w:r>
          </w:p>
        </w:tc>
        <w:tc>
          <w:tcPr>
            <w:tcW w:w="3176" w:type="dxa"/>
            <w:tcBorders/>
            <w:shd w:color="auto" w:fill="D9E2F3" w:val="clear"/>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b/>
                <w:kern w:val="0"/>
                <w:sz w:val="18"/>
                <w:szCs w:val="22"/>
                <w:lang w:val="es-CL" w:eastAsia="en-US" w:bidi="ar-SA"/>
              </w:rPr>
              <w:t>Qué comprueba</w:t>
            </w:r>
          </w:p>
        </w:tc>
        <w:tc>
          <w:tcPr>
            <w:tcW w:w="4876" w:type="dxa"/>
            <w:tcBorders/>
            <w:shd w:color="auto" w:fill="D9E2F3" w:val="clear"/>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b/>
                <w:kern w:val="0"/>
                <w:sz w:val="18"/>
                <w:szCs w:val="22"/>
                <w:lang w:val="es-CL" w:eastAsia="en-US" w:bidi="ar-SA"/>
              </w:rPr>
              <w:t>Resultado obtenido</w:t>
            </w:r>
          </w:p>
        </w:tc>
      </w:tr>
      <w:tr>
        <w:trPr>
          <w:cantSplit w:val="true"/>
        </w:trPr>
        <w:tc>
          <w:tcPr>
            <w:tcW w:w="1700"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Procesos batch</w:t>
            </w:r>
          </w:p>
        </w:tc>
        <w:tc>
          <w:tcPr>
            <w:tcW w:w="3176"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Los tres Jobs y el modo particionado; hilos en paralelo; omisiones; control de calidad; reejecución; metadata.</w:t>
            </w:r>
          </w:p>
        </w:tc>
        <w:tc>
          <w:tcPr>
            <w:tcW w:w="4876"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Los tres Jobs terminan COMPLETED sobre 1.000 registros cada uno, repartidos entre 3 hilos (y en 4 particiones de 250 en el modo particionado). Con un umbral de prueba de 20%, el control de calidad deriva el Job a revisión. Con un límite de omisiones forzado, el Job falla y se reejecuta dos veces sobre la misma instancia.</w:t>
            </w:r>
          </w:p>
        </w:tc>
      </w:tr>
      <w:tr>
        <w:trPr>
          <w:cantSplit w:val="true"/>
        </w:trPr>
        <w:tc>
          <w:tcPr>
            <w:tcW w:w="1700"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Canales</w:t>
            </w:r>
          </w:p>
        </w:tc>
        <w:tc>
          <w:tcPr>
            <w:tcW w:w="3176"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Operaciones de cada canal; tamaño de las respuestas; autorización; enrutamiento por el gateway.</w:t>
            </w:r>
          </w:p>
        </w:tc>
        <w:tc>
          <w:tcPr>
            <w:tcW w:w="4876"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Para la misma cuenta, la respuesta web pesa 4.984 bytes y la móvil 221. Una cuenta ajena responde 403 y la sesión del cajero, ya usada, 401. El gateway enruta los tres canales (200) y no expone rutas internas (404).</w:t>
            </w:r>
          </w:p>
        </w:tc>
      </w:tr>
      <w:tr>
        <w:trPr>
          <w:cantSplit w:val="true"/>
        </w:trPr>
        <w:tc>
          <w:tcPr>
            <w:tcW w:w="1700"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Seguridad entre servicios</w:t>
            </w:r>
          </w:p>
        </w:tc>
        <w:tc>
          <w:tcPr>
            <w:tcW w:w="3176"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Rechazo sin token; emisión de tokens; mínimo privilegio.</w:t>
            </w:r>
          </w:p>
        </w:tc>
        <w:tc>
          <w:tcPr>
            <w:tcW w:w="4876"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Sin token, los tres microservicios responden 401. El token móvil obtiene 403 en clientes y pagos, y auth-server se niega a emitirle un scope que no tiene registrado (invalid_scope).</w:t>
            </w:r>
          </w:p>
        </w:tc>
      </w:tr>
      <w:tr>
        <w:trPr>
          <w:cantSplit w:val="true"/>
        </w:trPr>
        <w:tc>
          <w:tcPr>
            <w:tcW w:w="1700"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Microservicios</w:t>
            </w:r>
          </w:p>
        </w:tc>
        <w:tc>
          <w:tcPr>
            <w:tcW w:w="3176"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Ciclo completo de cliente y cuenta, con validaciones e idempotencia.</w:t>
            </w:r>
          </w:p>
        </w:tc>
        <w:tc>
          <w:tcPr>
            <w:tcW w:w="4876"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Alta, apertura, mantenimiento, depósito, pago, cierre y baja completados. Se rechazan un cliente menor de edad (400), un cliente inexistente (404) y el cierre de una cuenta con saldo (422).</w:t>
            </w:r>
          </w:p>
        </w:tc>
      </w:tr>
      <w:tr>
        <w:trPr>
          <w:cantSplit w:val="true"/>
        </w:trPr>
        <w:tc>
          <w:tcPr>
            <w:tcW w:w="1700"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Saga de transferencias</w:t>
            </w:r>
          </w:p>
        </w:tc>
        <w:tc>
          <w:tcPr>
            <w:tcW w:w="3176"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Los tres desenlaces, con saldos antes y después.</w:t>
            </w:r>
          </w:p>
        </w:tc>
        <w:tc>
          <w:tcPr>
            <w:tcW w:w="4876"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Una transferencia COMPLETADA, una RECHAZADA por fondos insuficientes y una COMPENSADA (destino inexistente), con los saldos cuadrados.</w:t>
            </w:r>
          </w:p>
        </w:tc>
      </w:tr>
      <w:tr>
        <w:trPr>
          <w:cantSplit w:val="true"/>
        </w:trPr>
        <w:tc>
          <w:tcPr>
            <w:tcW w:w="1700"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Eventos</w:t>
            </w:r>
          </w:p>
        </w:tc>
        <w:tc>
          <w:tcPr>
            <w:tcW w:w="3176"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Consumo de notificaciones y alertas por réplica y partición.</w:t>
            </w:r>
          </w:p>
        </w:tc>
        <w:tc>
          <w:tcPr>
            <w:tcW w:w="4876"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Los mensajes de los cinco tópicos se reparten entre las dos réplicas de notificaciones-service, sin que ninguna procese un evento dos veces.</w:t>
            </w:r>
          </w:p>
        </w:tc>
      </w:tr>
      <w:tr>
        <w:trPr>
          <w:cantSplit w:val="true"/>
        </w:trPr>
        <w:tc>
          <w:tcPr>
            <w:tcW w:w="1700"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Escalabilidad</w:t>
            </w:r>
          </w:p>
        </w:tc>
        <w:tc>
          <w:tcPr>
            <w:tcW w:w="3176"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Escalado a dos réplicas con el sistema en marcha y reparto de la carga.</w:t>
            </w:r>
          </w:p>
        </w:tc>
        <w:tc>
          <w:tcPr>
            <w:tcW w:w="4876"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Los tres microservicios pasan a dos réplicas que se registran solas en Eureka; 30 de 30 consultas responden 200 y las peticiones se reparten por igual entre réplicas.</w:t>
            </w:r>
          </w:p>
        </w:tc>
      </w:tr>
      <w:tr>
        <w:trPr>
          <w:cantSplit w:val="true"/>
        </w:trPr>
        <w:tc>
          <w:tcPr>
            <w:tcW w:w="1700"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Tolerancia a fallos</w:t>
            </w:r>
          </w:p>
        </w:tc>
        <w:tc>
          <w:tcPr>
            <w:tcW w:w="3176"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Detención deliberada de servicios y recuperación.</w:t>
            </w:r>
          </w:p>
        </w:tc>
        <w:tc>
          <w:tcPr>
            <w:tcW w:w="4876"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Sin clientes-service, la cuenta sigue respondiendo sin datos del titular. Sin cuentas-service, el circuito se abre, el pago queda FALLIDA tras tres reintentos y una transferencia queda retenida en Kafka. Al volver el servicio, el circuito se cierra solo y la transferencia termina COMPLETADA.</w:t>
            </w:r>
          </w:p>
        </w:tc>
      </w:tr>
    </w:tbl>
    <w:p>
      <w:pPr>
        <w:pStyle w:val="Normal"/>
        <w:spacing w:before="0" w:after="120"/>
        <w:rPr/>
      </w:pPr>
      <w:r>
        <w:rPr/>
      </w:r>
    </w:p>
    <w:p>
      <w:pPr>
        <w:pStyle w:val="Heading1"/>
        <w:keepNext w:val="true"/>
        <w:rPr/>
      </w:pPr>
      <w:bookmarkStart w:id="43" w:name="__RefHeading___Toc2521_2748266228"/>
      <w:bookmarkEnd w:id="43"/>
      <w:r>
        <w:rPr/>
        <w:t>Comparación con el sistema legacy</w:t>
      </w:r>
    </w:p>
    <w:tbl>
      <w:tblPr>
        <w:tblStyle w:val="792"/>
        <w:tblW w:w="9752" w:type="dxa"/>
        <w:jc w:val="center"/>
        <w:tblInd w:w="0" w:type="dxa"/>
        <w:tblLayout w:type="fixed"/>
        <w:tblCellMar>
          <w:top w:w="60" w:type="dxa"/>
          <w:left w:w="90" w:type="dxa"/>
          <w:bottom w:w="60" w:type="dxa"/>
          <w:right w:w="90" w:type="dxa"/>
        </w:tblCellMar>
        <w:tblLook w:val="04a0" w:noHBand="0" w:noVBand="1" w:firstColumn="1" w:lastRow="0" w:lastColumn="0" w:firstRow="1"/>
      </w:tblPr>
      <w:tblGrid>
        <w:gridCol w:w="1927"/>
        <w:gridCol w:w="3573"/>
        <w:gridCol w:w="4252"/>
      </w:tblGrid>
      <w:tr>
        <w:trPr>
          <w:tblHeader w:val="true"/>
          <w:cantSplit w:val="true"/>
        </w:trPr>
        <w:tc>
          <w:tcPr>
            <w:tcW w:w="1927" w:type="dxa"/>
            <w:tcBorders/>
            <w:shd w:color="auto" w:fill="D9E2F3" w:val="clear"/>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b/>
                <w:kern w:val="0"/>
                <w:sz w:val="18"/>
                <w:szCs w:val="22"/>
                <w:lang w:val="es-CL" w:eastAsia="en-US" w:bidi="ar-SA"/>
              </w:rPr>
              <w:t>Aspecto</w:t>
            </w:r>
          </w:p>
        </w:tc>
        <w:tc>
          <w:tcPr>
            <w:tcW w:w="3573" w:type="dxa"/>
            <w:tcBorders/>
            <w:shd w:color="auto" w:fill="D9E2F3" w:val="clear"/>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b/>
                <w:kern w:val="0"/>
                <w:sz w:val="18"/>
                <w:szCs w:val="22"/>
                <w:lang w:val="es-CL" w:eastAsia="en-US" w:bidi="ar-SA"/>
              </w:rPr>
              <w:t>Sistema legacy</w:t>
            </w:r>
          </w:p>
        </w:tc>
        <w:tc>
          <w:tcPr>
            <w:tcW w:w="4252" w:type="dxa"/>
            <w:tcBorders/>
            <w:shd w:color="auto" w:fill="D9E2F3" w:val="clear"/>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b/>
                <w:kern w:val="0"/>
                <w:sz w:val="18"/>
                <w:szCs w:val="22"/>
                <w:lang w:val="es-CL" w:eastAsia="en-US" w:bidi="ar-SA"/>
              </w:rPr>
              <w:t>Sistema nuevo</w:t>
            </w:r>
          </w:p>
        </w:tc>
      </w:tr>
      <w:tr>
        <w:trPr>
          <w:cantSplit w:val="true"/>
        </w:trPr>
        <w:tc>
          <w:tcPr>
            <w:tcW w:w="1927"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Procesos batch</w:t>
            </w:r>
          </w:p>
        </w:tc>
        <w:tc>
          <w:tcPr>
            <w:tcW w:w="3573"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Secuenciales. Un registro inválido detiene el proceso. Ante una falla se repite todo.</w:t>
            </w:r>
          </w:p>
        </w:tc>
        <w:tc>
          <w:tcPr>
            <w:tcW w:w="4252"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En paralelo, con tres hilos o cuatro particiones. Los registros inválidos se omiten y se registran. Se reanuda y se reejecuta de forma automática.</w:t>
            </w:r>
          </w:p>
        </w:tc>
      </w:tr>
      <w:tr>
        <w:trPr>
          <w:cantSplit w:val="true"/>
        </w:trPr>
        <w:tc>
          <w:tcPr>
            <w:tcW w:w="1927"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Calidad de datos</w:t>
            </w:r>
          </w:p>
        </w:tc>
        <w:tc>
          <w:tcPr>
            <w:tcW w:w="3573"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Sin control: los errores llegan a los reportes.</w:t>
            </w:r>
          </w:p>
        </w:tc>
        <w:tc>
          <w:tcPr>
            <w:tcW w:w="4252"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Validación, corrección automática y un control que impide generar un reporte sobre datos inservibles.</w:t>
            </w:r>
          </w:p>
        </w:tc>
      </w:tr>
      <w:tr>
        <w:trPr>
          <w:cantSplit w:val="true"/>
        </w:trPr>
        <w:tc>
          <w:tcPr>
            <w:tcW w:w="1927"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Canales</w:t>
            </w:r>
          </w:p>
        </w:tc>
        <w:tc>
          <w:tcPr>
            <w:tcW w:w="3573"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Todos reciben la misma respuesta.</w:t>
            </w:r>
          </w:p>
        </w:tc>
        <w:tc>
          <w:tcPr>
            <w:tcW w:w="4252"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Cada canal recibe lo que necesita, con su propia seguridad.</w:t>
            </w:r>
          </w:p>
        </w:tc>
      </w:tr>
      <w:tr>
        <w:trPr>
          <w:cantSplit w:val="true"/>
        </w:trPr>
        <w:tc>
          <w:tcPr>
            <w:tcW w:w="1927"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Escalabilidad</w:t>
            </w:r>
          </w:p>
        </w:tc>
        <w:tc>
          <w:tcPr>
            <w:tcW w:w="3573"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Vertical: un mainframe mayor.</w:t>
            </w:r>
          </w:p>
        </w:tc>
        <w:tc>
          <w:tcPr>
            <w:tcW w:w="4252"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Horizontal: más réplicas, sin detener el servicio.</w:t>
            </w:r>
          </w:p>
        </w:tc>
      </w:tr>
      <w:tr>
        <w:trPr>
          <w:cantSplit w:val="true"/>
        </w:trPr>
        <w:tc>
          <w:tcPr>
            <w:tcW w:w="1927"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Tolerancia a fallos</w:t>
            </w:r>
          </w:p>
        </w:tc>
        <w:tc>
          <w:tcPr>
            <w:tcW w:w="3573"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Una falla afecta a todo el sistema.</w:t>
            </w:r>
          </w:p>
        </w:tc>
        <w:tc>
          <w:tcPr>
            <w:tcW w:w="4252"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Fallas aisladas, con respuestas alternativas y recuperación automática.</w:t>
            </w:r>
          </w:p>
        </w:tc>
      </w:tr>
      <w:tr>
        <w:trPr>
          <w:cantSplit w:val="true"/>
        </w:trPr>
        <w:tc>
          <w:tcPr>
            <w:tcW w:w="1927"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Seguridad</w:t>
            </w:r>
          </w:p>
        </w:tc>
        <w:tc>
          <w:tcPr>
            <w:tcW w:w="3573"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Única y centralizada.</w:t>
            </w:r>
          </w:p>
        </w:tc>
        <w:tc>
          <w:tcPr>
            <w:tcW w:w="4252"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Distribuida, con mínimo privilegio por componente y cifrado en cada canal.</w:t>
            </w:r>
          </w:p>
        </w:tc>
      </w:tr>
      <w:tr>
        <w:trPr>
          <w:cantSplit w:val="true"/>
        </w:trPr>
        <w:tc>
          <w:tcPr>
            <w:tcW w:w="1927"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Integración</w:t>
            </w:r>
          </w:p>
        </w:tc>
        <w:tc>
          <w:tcPr>
            <w:tcW w:w="3573"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Acoplada, por archivos y llamadas directas.</w:t>
            </w:r>
          </w:p>
        </w:tc>
        <w:tc>
          <w:tcPr>
            <w:tcW w:w="4252"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Por eventos: se agregan consumidores sin modificar a quienes publican.</w:t>
            </w:r>
          </w:p>
        </w:tc>
      </w:tr>
      <w:tr>
        <w:trPr>
          <w:cantSplit w:val="true"/>
        </w:trPr>
        <w:tc>
          <w:tcPr>
            <w:tcW w:w="1927"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Despliegue</w:t>
            </w:r>
          </w:p>
        </w:tc>
        <w:tc>
          <w:tcPr>
            <w:tcW w:w="3573"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Manual, sobre el mainframe.</w:t>
            </w:r>
          </w:p>
        </w:tc>
        <w:tc>
          <w:tcPr>
            <w:tcW w:w="4252"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Contenedores reproducibles; el mismo procedimiento en un computador, en integración continua y en la nube.</w:t>
            </w:r>
          </w:p>
        </w:tc>
      </w:tr>
      <w:tr>
        <w:trPr>
          <w:cantSplit w:val="true"/>
        </w:trPr>
        <w:tc>
          <w:tcPr>
            <w:tcW w:w="1927"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Costo de cambio</w:t>
            </w:r>
          </w:p>
        </w:tc>
        <w:tc>
          <w:tcPr>
            <w:tcW w:w="3573"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Cualquier cambio exige probar y desplegar todo.</w:t>
            </w:r>
          </w:p>
        </w:tc>
        <w:tc>
          <w:tcPr>
            <w:tcW w:w="4252"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Cada servicio cambia y se despliega por separado.</w:t>
            </w:r>
          </w:p>
        </w:tc>
      </w:tr>
    </w:tbl>
    <w:p>
      <w:pPr>
        <w:pStyle w:val="Normal"/>
        <w:spacing w:before="0" w:after="120"/>
        <w:rPr/>
      </w:pPr>
      <w:r>
        <w:rPr/>
      </w:r>
    </w:p>
    <w:p>
      <w:pPr>
        <w:pStyle w:val="Heading1"/>
        <w:keepNext w:val="true"/>
        <w:rPr/>
      </w:pPr>
      <w:bookmarkStart w:id="44" w:name="__RefHeading___Toc2523_2748266228"/>
      <w:bookmarkEnd w:id="44"/>
      <w:r>
        <w:rPr/>
        <w:t>Desafíos y soluciones</w:t>
      </w:r>
    </w:p>
    <w:tbl>
      <w:tblPr>
        <w:tblStyle w:val="792"/>
        <w:tblW w:w="9752" w:type="dxa"/>
        <w:jc w:val="center"/>
        <w:tblInd w:w="0" w:type="dxa"/>
        <w:tblLayout w:type="fixed"/>
        <w:tblCellMar>
          <w:top w:w="60" w:type="dxa"/>
          <w:left w:w="90" w:type="dxa"/>
          <w:bottom w:w="60" w:type="dxa"/>
          <w:right w:w="90" w:type="dxa"/>
        </w:tblCellMar>
        <w:tblLook w:val="04a0" w:noHBand="0" w:noVBand="1" w:firstColumn="1" w:lastRow="0" w:lastColumn="0" w:firstRow="1"/>
      </w:tblPr>
      <w:tblGrid>
        <w:gridCol w:w="2154"/>
        <w:gridCol w:w="3402"/>
        <w:gridCol w:w="4196"/>
      </w:tblGrid>
      <w:tr>
        <w:trPr>
          <w:tblHeader w:val="true"/>
          <w:cantSplit w:val="true"/>
        </w:trPr>
        <w:tc>
          <w:tcPr>
            <w:tcW w:w="2154" w:type="dxa"/>
            <w:tcBorders/>
            <w:shd w:color="auto" w:fill="D9E2F3" w:val="clear"/>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b/>
                <w:kern w:val="0"/>
                <w:sz w:val="18"/>
                <w:szCs w:val="22"/>
                <w:lang w:val="es-CL" w:eastAsia="en-US" w:bidi="ar-SA"/>
              </w:rPr>
              <w:t>Desafío</w:t>
            </w:r>
          </w:p>
        </w:tc>
        <w:tc>
          <w:tcPr>
            <w:tcW w:w="3402" w:type="dxa"/>
            <w:tcBorders/>
            <w:shd w:color="auto" w:fill="D9E2F3" w:val="clear"/>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b/>
                <w:kern w:val="0"/>
                <w:sz w:val="18"/>
                <w:szCs w:val="22"/>
                <w:lang w:val="es-CL" w:eastAsia="en-US" w:bidi="ar-SA"/>
              </w:rPr>
              <w:t>Qué ocurría</w:t>
            </w:r>
          </w:p>
        </w:tc>
        <w:tc>
          <w:tcPr>
            <w:tcW w:w="4196" w:type="dxa"/>
            <w:tcBorders/>
            <w:shd w:color="auto" w:fill="D9E2F3" w:val="clear"/>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b/>
                <w:kern w:val="0"/>
                <w:sz w:val="18"/>
                <w:szCs w:val="22"/>
                <w:lang w:val="es-CL" w:eastAsia="en-US" w:bidi="ar-SA"/>
              </w:rPr>
              <w:t>Solución</w:t>
            </w:r>
          </w:p>
        </w:tc>
      </w:tr>
      <w:tr>
        <w:trPr>
          <w:cantSplit w:val="true"/>
        </w:trPr>
        <w:tc>
          <w:tcPr>
            <w:tcW w:w="2154"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Tokens sin permisos</w:t>
            </w:r>
          </w:p>
        </w:tc>
        <w:tc>
          <w:tcPr>
            <w:tcW w:w="3402"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Los servicios rechazaban todas las llamadas con un error de scope insuficiente, que el circuit breaker mostraba como servicio no disponible.</w:t>
            </w:r>
          </w:p>
        </w:tc>
        <w:tc>
          <w:tcPr>
            <w:tcW w:w="4196"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El servidor de autorización no entrega scopes si la petición no los solicita. Se piden de forma explícita en cada solicitud de token. Se aisló el problema llamando al servicio directamente, sin pasar por el BFF.</w:t>
            </w:r>
          </w:p>
        </w:tc>
      </w:tr>
      <w:tr>
        <w:trPr>
          <w:cantSplit w:val="true"/>
        </w:trPr>
        <w:tc>
          <w:tcPr>
            <w:tcW w:w="2154"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Estado en memoria al escalar</w:t>
            </w:r>
          </w:p>
        </w:tc>
        <w:tc>
          <w:tcPr>
            <w:tcW w:w="3402"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Con los datos en memoria, dos réplicas del mismo servicio habrían tenido saldos distintos.</w:t>
            </w:r>
          </w:p>
        </w:tc>
        <w:tc>
          <w:tcPr>
            <w:tcW w:w="4196"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Se llevó cada servicio a su propia base PostgreSQL, con bloqueo de fila para los saldos.</w:t>
            </w:r>
          </w:p>
        </w:tc>
      </w:tr>
      <w:tr>
        <w:trPr>
          <w:cantSplit w:val="true"/>
        </w:trPr>
        <w:tc>
          <w:tcPr>
            <w:tcW w:w="2154"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Una transferencia entre dos servicios</w:t>
            </w:r>
          </w:p>
        </w:tc>
        <w:tc>
          <w:tcPr>
            <w:tcW w:w="3402"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Dividir el monolito separó el registro del pago y el saldo de las cuentas en bases de datos distintas.</w:t>
            </w:r>
          </w:p>
        </w:tc>
        <w:tc>
          <w:tcPr>
            <w:tcW w:w="4196"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Saga por eventos, con un paso de compensación y operaciones idempotentes.</w:t>
            </w:r>
          </w:p>
        </w:tc>
      </w:tr>
      <w:tr>
        <w:trPr>
          <w:cantSplit w:val="true"/>
        </w:trPr>
        <w:tc>
          <w:tcPr>
            <w:tcW w:w="2154"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Entregas repetidas</w:t>
            </w:r>
          </w:p>
        </w:tc>
        <w:tc>
          <w:tcPr>
            <w:tcW w:w="3402"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Kafka puede entregar un evento dos veces, y un reintento puede repetir un débito.</w:t>
            </w:r>
          </w:p>
        </w:tc>
        <w:tc>
          <w:tcPr>
            <w:tcW w:w="4196"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Registro de idempotencia en la misma transacción que modifica el saldo.</w:t>
            </w:r>
          </w:p>
        </w:tc>
      </w:tr>
      <w:tr>
        <w:trPr>
          <w:cantSplit w:val="true"/>
        </w:trPr>
        <w:tc>
          <w:tcPr>
            <w:tcW w:w="2154"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Arranque simultáneo de réplicas</w:t>
            </w:r>
          </w:p>
        </w:tc>
        <w:tc>
          <w:tcPr>
            <w:tcW w:w="3402"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Varias réplicas intentando crear las tablas y cargar los datos iniciales a la vez.</w:t>
            </w:r>
          </w:p>
        </w:tc>
        <w:tc>
          <w:tcPr>
            <w:tcW w:w="4196"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El esquema lo crea la base de datos al inicializarse. La carga inicial toma un bloqueo, de modo que solo una réplica la ejecuta.</w:t>
            </w:r>
          </w:p>
        </w:tc>
      </w:tr>
      <w:tr>
        <w:trPr>
          <w:cantSplit w:val="true"/>
        </w:trPr>
        <w:tc>
          <w:tcPr>
            <w:tcW w:w="2154"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Demoras del registro de servicios</w:t>
            </w:r>
          </w:p>
        </w:tc>
        <w:tc>
          <w:tcPr>
            <w:tcW w:w="3402"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Un servicio recién levantado respondía, pero los demás aún no lo encontraban.</w:t>
            </w:r>
          </w:p>
        </w:tc>
        <w:tc>
          <w:tcPr>
            <w:tcW w:w="4196"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Arranque ordenado por estado de salud, intervalos de actualización más cortos y scripts que esperan a que el flujo completo responda.</w:t>
            </w:r>
          </w:p>
        </w:tc>
      </w:tr>
      <w:tr>
        <w:trPr>
          <w:cantSplit w:val="true"/>
        </w:trPr>
        <w:tc>
          <w:tcPr>
            <w:tcW w:w="2154"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Gateway sano que no enrutaba</w:t>
            </w:r>
          </w:p>
        </w:tc>
        <w:tc>
          <w:tcPr>
            <w:tcW w:w="3402"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El gateway aparecía saludable, pero toda petición a través de él quedaba sin respuesta: el chequeo de salud no pasa por el ruteo.</w:t>
            </w:r>
          </w:p>
        </w:tc>
        <w:tc>
          <w:tcPr>
            <w:tcW w:w="4196"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El log mostró un NoSuchMethodError: la versión de Spring Cloud exigía una versión de Spring Framework más nueva que la incluida en Spring Boot. Se actualizó Spring Boot dentro de la misma línea 3.3 en los doce módulos.</w:t>
            </w:r>
          </w:p>
        </w:tc>
      </w:tr>
      <w:tr>
        <w:trPr>
          <w:cantSplit w:val="true"/>
        </w:trPr>
        <w:tc>
          <w:tcPr>
            <w:tcW w:w="2154"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Archivos legacy con muchos errores</w:t>
            </w:r>
          </w:p>
        </w:tc>
        <w:tc>
          <w:tcPr>
            <w:tcW w:w="3402"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Con un umbral de calidad estricto, dos de los tres procesos no generaban su reporte.</w:t>
            </w:r>
          </w:p>
        </w:tc>
        <w:tc>
          <w:tcPr>
            <w:tcW w:w="4196" w:type="dxa"/>
            <w:tcBorders/>
          </w:tcPr>
          <w:p>
            <w:pPr>
              <w:pStyle w:val="Normal"/>
              <w:widowControl/>
              <w:spacing w:lineRule="auto" w:line="259" w:before="0" w:after="0"/>
              <w:ind w:hanging="0" w:right="0"/>
              <w:jc w:val="left"/>
              <w:rPr>
                <w:rFonts w:eastAsia="Arial" w:cs="Arial"/>
                <w:kern w:val="0"/>
                <w:szCs w:val="22"/>
                <w:lang w:val="es-CL" w:eastAsia="en-US" w:bidi="ar-SA"/>
              </w:rPr>
            </w:pPr>
            <w:r>
              <w:rPr>
                <w:rFonts w:eastAsia="Arial" w:cs="Arial"/>
                <w:kern w:val="0"/>
                <w:sz w:val="18"/>
                <w:szCs w:val="22"/>
                <w:lang w:val="es-CL" w:eastAsia="en-US" w:bidi="ar-SA"/>
              </w:rPr>
              <w:t>Se midió la proporción real de registros omitidos en cada archivo y se calibró el umbral, distinguiendo los errores de los registros fuera de alcance.</w:t>
            </w:r>
          </w:p>
        </w:tc>
      </w:tr>
    </w:tbl>
    <w:p>
      <w:pPr>
        <w:pStyle w:val="Normal"/>
        <w:spacing w:before="0" w:after="120"/>
        <w:rPr/>
      </w:pPr>
      <w:r>
        <w:rPr/>
      </w:r>
    </w:p>
    <w:p>
      <w:pPr>
        <w:pStyle w:val="Heading1"/>
        <w:keepNext w:val="true"/>
        <w:rPr/>
      </w:pPr>
      <w:bookmarkStart w:id="45" w:name="__RefHeading___Toc2525_2748266228"/>
      <w:bookmarkEnd w:id="45"/>
      <w:r>
        <w:rPr/>
        <w:t>Propuestas de mejora y próximos pasos</w:t>
      </w:r>
    </w:p>
    <w:p>
      <w:pPr>
        <w:pStyle w:val="ListParagraph"/>
        <w:keepNext w:val="false"/>
        <w:keepLines w:val="false"/>
        <w:numPr>
          <w:ilvl w:val="0"/>
          <w:numId w:val="3"/>
        </w:numPr>
        <w:spacing w:lineRule="auto" w:line="276" w:before="0" w:after="0"/>
        <w:ind w:hanging="360" w:left="720" w:right="0"/>
        <w:contextualSpacing/>
        <w:jc w:val="both"/>
        <w:rPr/>
      </w:pPr>
      <w:r>
        <w:rPr>
          <w:b/>
        </w:rPr>
        <w:t>Servicios administrados en AWS.</w:t>
      </w:r>
      <w:r>
        <w:rPr/>
        <w:t xml:space="preserve"> Pasar de una instancia a un clúster de contenedores (Amazon ECS o EKS) en varias zonas, con base de datos y Kafka administrados (Amazon RDS y MSK). Elimina el punto único de falla y permite escalar de forma automática según la carga.</w:t>
      </w:r>
    </w:p>
    <w:p>
      <w:pPr>
        <w:pStyle w:val="ListParagraph"/>
        <w:keepNext w:val="false"/>
        <w:keepLines w:val="false"/>
        <w:numPr>
          <w:ilvl w:val="0"/>
          <w:numId w:val="3"/>
        </w:numPr>
        <w:spacing w:lineRule="auto" w:line="276" w:before="0" w:after="0"/>
        <w:ind w:hanging="360" w:left="720" w:right="0"/>
        <w:contextualSpacing/>
        <w:jc w:val="both"/>
        <w:rPr/>
      </w:pPr>
      <w:r>
        <w:rPr>
          <w:b/>
        </w:rPr>
        <w:t>Gestión de secretos.</w:t>
      </w:r>
      <w:r>
        <w:rPr/>
        <w:t xml:space="preserve"> Llevar las credenciales, hoy valores de demostración en archivos de configuración, a AWS Secrets Manager, y usar certificados emitidos por una autoridad reconocida.</w:t>
      </w:r>
    </w:p>
    <w:p>
      <w:pPr>
        <w:pStyle w:val="ListParagraph"/>
        <w:keepNext w:val="false"/>
        <w:keepLines w:val="false"/>
        <w:numPr>
          <w:ilvl w:val="0"/>
          <w:numId w:val="3"/>
        </w:numPr>
        <w:spacing w:lineRule="auto" w:line="276" w:before="0" w:after="0"/>
        <w:ind w:hanging="360" w:left="720" w:right="0"/>
        <w:contextualSpacing/>
        <w:jc w:val="both"/>
        <w:rPr/>
      </w:pPr>
      <w:r>
        <w:rPr>
          <w:b/>
        </w:rPr>
        <w:t>Identidad de los usuarios.</w:t>
      </w:r>
      <w:r>
        <w:rPr/>
        <w:t xml:space="preserve"> Reemplazar el inicio de sesión simplificado por un proveedor de identidad con OpenID Connect y autenticación de dos factores.</w:t>
      </w:r>
    </w:p>
    <w:p>
      <w:pPr>
        <w:pStyle w:val="ListParagraph"/>
        <w:keepNext w:val="false"/>
        <w:keepLines w:val="false"/>
        <w:numPr>
          <w:ilvl w:val="0"/>
          <w:numId w:val="3"/>
        </w:numPr>
        <w:spacing w:lineRule="auto" w:line="276" w:before="0" w:after="0"/>
        <w:ind w:hanging="360" w:left="720" w:right="0"/>
        <w:contextualSpacing/>
        <w:jc w:val="both"/>
        <w:rPr/>
      </w:pPr>
      <w:r>
        <w:rPr>
          <w:b/>
        </w:rPr>
        <w:t>Publicación confiable de eventos.</w:t>
      </w:r>
      <w:r>
        <w:rPr/>
        <w:t xml:space="preserve"> Aplicar el patrón outbox para que guardar un pago y publicar su evento ocurran de forma atómica.</w:t>
      </w:r>
    </w:p>
    <w:p>
      <w:pPr>
        <w:pStyle w:val="ListParagraph"/>
        <w:keepNext w:val="false"/>
        <w:keepLines w:val="false"/>
        <w:numPr>
          <w:ilvl w:val="0"/>
          <w:numId w:val="3"/>
        </w:numPr>
        <w:spacing w:lineRule="auto" w:line="276" w:before="0" w:after="0"/>
        <w:ind w:hanging="360" w:left="720" w:right="0"/>
        <w:contextualSpacing/>
        <w:jc w:val="both"/>
        <w:rPr/>
      </w:pPr>
      <w:r>
        <w:rPr>
          <w:b/>
        </w:rPr>
        <w:t>Observabilidad.</w:t>
      </w:r>
      <w:r>
        <w:rPr/>
        <w:t xml:space="preserve"> Agregar trazas distribuidas, paneles de métricas y alarmas, y centralizar los logs.</w:t>
      </w:r>
    </w:p>
    <w:p>
      <w:pPr>
        <w:pStyle w:val="ListParagraph"/>
        <w:keepNext w:val="false"/>
        <w:keepLines w:val="false"/>
        <w:numPr>
          <w:ilvl w:val="0"/>
          <w:numId w:val="3"/>
        </w:numPr>
        <w:spacing w:lineRule="auto" w:line="276" w:before="0" w:after="0"/>
        <w:ind w:hanging="360" w:left="720" w:right="0"/>
        <w:contextualSpacing/>
        <w:jc w:val="both"/>
        <w:rPr/>
      </w:pPr>
      <w:r>
        <w:rPr>
          <w:b/>
        </w:rPr>
        <w:t>Pruebas automatizadas.</w:t>
      </w:r>
      <w:r>
        <w:rPr/>
        <w:t xml:space="preserve"> Sumar pruebas unitarias y pruebas de contrato entre servicios a las pruebas de punta a punta existentes.</w:t>
      </w:r>
    </w:p>
    <w:p>
      <w:pPr>
        <w:pStyle w:val="ListParagraph"/>
        <w:keepNext w:val="false"/>
        <w:keepLines w:val="false"/>
        <w:numPr>
          <w:ilvl w:val="0"/>
          <w:numId w:val="3"/>
        </w:numPr>
        <w:spacing w:lineRule="auto" w:line="276" w:before="0" w:after="0"/>
        <w:ind w:hanging="360" w:left="720" w:right="0"/>
        <w:contextualSpacing/>
        <w:jc w:val="both"/>
        <w:rPr/>
      </w:pPr>
      <w:r>
        <w:rPr>
          <w:b/>
        </w:rPr>
        <w:t>Batch en la nube.</w:t>
      </w:r>
      <w:r>
        <w:rPr/>
        <w:t xml:space="preserve"> Programar los procesos con un planificador y leer los archivos desde almacenamiento de objetos; ejecutar las particiones en máquinas distintas.</w:t>
      </w:r>
    </w:p>
    <w:p>
      <w:pPr>
        <w:pStyle w:val="ListParagraph"/>
        <w:keepNext w:val="false"/>
        <w:keepLines w:val="false"/>
        <w:numPr>
          <w:ilvl w:val="0"/>
          <w:numId w:val="3"/>
        </w:numPr>
        <w:spacing w:lineRule="auto" w:line="276" w:before="0" w:after="0"/>
        <w:ind w:hanging="360" w:left="720" w:right="0"/>
        <w:contextualSpacing/>
        <w:jc w:val="both"/>
        <w:rPr/>
      </w:pPr>
      <w:r>
        <w:rPr>
          <w:b/>
        </w:rPr>
        <w:t>Precisión monetaria.</w:t>
      </w:r>
      <w:r>
        <w:rPr/>
        <w:t xml:space="preserve"> Representar los montos de los microservicios con un tipo decimal exacto, como ya lo hacen los procesos batch.</w:t>
      </w:r>
    </w:p>
    <w:p>
      <w:pPr>
        <w:pStyle w:val="ListParagraph"/>
        <w:keepNext w:val="false"/>
        <w:keepLines w:val="false"/>
        <w:numPr>
          <w:ilvl w:val="0"/>
          <w:numId w:val="3"/>
        </w:numPr>
        <w:spacing w:lineRule="auto" w:line="276" w:before="0" w:after="80"/>
        <w:ind w:hanging="360" w:left="720" w:right="0"/>
        <w:contextualSpacing/>
        <w:jc w:val="both"/>
        <w:rPr/>
      </w:pPr>
      <w:r>
        <w:rPr>
          <w:b/>
        </w:rPr>
        <w:t>Sesiones del cajero.</w:t>
      </w:r>
      <w:r>
        <w:rPr/>
        <w:t xml:space="preserve"> Llevar las sesiones a un almacén compartido para poder escalar también ese canal.</w:t>
      </w:r>
    </w:p>
    <w:p>
      <w:pPr>
        <w:pStyle w:val="Normal"/>
        <w:spacing w:before="0" w:after="40"/>
        <w:rPr/>
      </w:pPr>
      <w:r>
        <w:rPr/>
      </w:r>
    </w:p>
    <w:p>
      <w:pPr>
        <w:pStyle w:val="Heading1"/>
        <w:keepNext w:val="true"/>
        <w:rPr/>
      </w:pPr>
      <w:bookmarkStart w:id="46" w:name="__RefHeading___Toc2527_2748266228"/>
      <w:bookmarkEnd w:id="46"/>
      <w:r>
        <w:rPr/>
        <w:t>Conclusiones</w:t>
      </w:r>
    </w:p>
    <w:p>
      <w:pPr>
        <w:pStyle w:val="Normal"/>
        <w:spacing w:lineRule="auto" w:line="276" w:before="0" w:after="160"/>
        <w:jc w:val="both"/>
        <w:rPr/>
      </w:pPr>
      <w:r>
        <w:rPr/>
        <w:t>La solución reemplaza un sistema monolítico por una arquitectura en la que cada pieza tiene una responsabilidad acotada, puede fallar sin arrastrar a las demás y puede crecer por separado. Los procesos batch dejaron de detenerse ante un dato inválido y pueden reanudarse solos. Cada canal recibe una respuesta a su medida. El dinero se mueve con garantías explícitas de consistencia aun cuando la operación atraviesa varios servicios.</w:t>
      </w:r>
    </w:p>
    <w:p>
      <w:pPr>
        <w:pStyle w:val="Normal"/>
        <w:spacing w:lineRule="auto" w:line="276" w:before="0" w:after="160"/>
        <w:jc w:val="both"/>
        <w:rPr/>
      </w:pPr>
      <w:r>
        <w:rPr/>
        <w:t>El aprendizaje central es que dividir un monolito traslada la complejidad desde el código hacia la comunicación entre servicios. Las decisiones que más pesaron no fueron las de cada servicio por separado, sino las que definen cómo se autentican entre sí, qué hace cada uno cuando el otro no responde y cómo se mantiene la consistencia sin una transacción común.</w:t>
      </w:r>
    </w:p>
    <w:p>
      <w:pPr>
        <w:pStyle w:val="Heading1"/>
        <w:keepNext w:val="true"/>
        <w:rPr/>
      </w:pPr>
      <w:bookmarkStart w:id="47" w:name="__RefHeading___Toc2529_2748266228"/>
      <w:bookmarkEnd w:id="47"/>
      <w:r>
        <w:rPr/>
        <w:t>Referencias</w:t>
      </w:r>
    </w:p>
    <w:p>
      <w:pPr>
        <w:pStyle w:val="ListParagraph"/>
        <w:keepNext w:val="false"/>
        <w:keepLines w:val="false"/>
        <w:numPr>
          <w:ilvl w:val="0"/>
          <w:numId w:val="3"/>
        </w:numPr>
        <w:spacing w:lineRule="auto" w:line="276" w:before="0" w:after="0"/>
        <w:ind w:hanging="360" w:left="720" w:right="0"/>
        <w:contextualSpacing/>
        <w:jc w:val="both"/>
        <w:rPr/>
      </w:pPr>
      <w:r>
        <w:rPr/>
        <w:t>Duoc UC (2026). PBY2203 Desarrollo Backend III. Instrucciones específicas y pauta de la Evaluación Final Transversal.</w:t>
      </w:r>
    </w:p>
    <w:p>
      <w:pPr>
        <w:pStyle w:val="ListParagraph"/>
        <w:keepNext w:val="false"/>
        <w:keepLines w:val="false"/>
        <w:numPr>
          <w:ilvl w:val="0"/>
          <w:numId w:val="3"/>
        </w:numPr>
        <w:spacing w:lineRule="auto" w:line="276" w:before="0" w:after="0"/>
        <w:ind w:hanging="360" w:left="720" w:right="0"/>
        <w:contextualSpacing/>
        <w:jc w:val="both"/>
        <w:rPr/>
      </w:pPr>
      <w:r>
        <w:rPr/>
        <w:t>Villagrán, K. fin_legacy_data. Repositorio de datos del caso. https://github.com/KariVillagran/fin_legacy_data</w:t>
      </w:r>
    </w:p>
    <w:p>
      <w:pPr>
        <w:pStyle w:val="ListParagraph"/>
        <w:keepNext w:val="false"/>
        <w:keepLines w:val="false"/>
        <w:numPr>
          <w:ilvl w:val="0"/>
          <w:numId w:val="3"/>
        </w:numPr>
        <w:spacing w:lineRule="auto" w:line="276" w:before="0" w:after="0"/>
        <w:ind w:hanging="360" w:left="720" w:right="0"/>
        <w:contextualSpacing/>
        <w:jc w:val="both"/>
        <w:rPr/>
      </w:pPr>
      <w:r>
        <w:rPr/>
        <w:t>Spring. Documentación de referencia de Spring Batch, Spring Cloud, Spring Security y Spring Authorization Server. https://spring.io/projects</w:t>
      </w:r>
    </w:p>
    <w:p>
      <w:pPr>
        <w:pStyle w:val="ListParagraph"/>
        <w:keepNext w:val="false"/>
        <w:keepLines w:val="false"/>
        <w:numPr>
          <w:ilvl w:val="0"/>
          <w:numId w:val="3"/>
        </w:numPr>
        <w:spacing w:lineRule="auto" w:line="276" w:before="0" w:after="0"/>
        <w:ind w:hanging="360" w:left="720" w:right="0"/>
        <w:contextualSpacing/>
        <w:jc w:val="both"/>
        <w:rPr/>
      </w:pPr>
      <w:r>
        <w:rPr/>
        <w:t>Resilience4j. Documentación. https://resilience4j.readme.io</w:t>
      </w:r>
    </w:p>
    <w:p>
      <w:pPr>
        <w:pStyle w:val="ListParagraph"/>
        <w:keepNext w:val="false"/>
        <w:keepLines w:val="false"/>
        <w:numPr>
          <w:ilvl w:val="0"/>
          <w:numId w:val="3"/>
        </w:numPr>
        <w:spacing w:lineRule="auto" w:line="276" w:before="0" w:after="0"/>
        <w:ind w:hanging="360" w:left="720" w:right="0"/>
        <w:contextualSpacing/>
        <w:jc w:val="both"/>
        <w:rPr/>
      </w:pPr>
      <w:r>
        <w:rPr/>
        <w:t>Apache Software Foundation. Documentación de Apache Kafka. https://kafka.apache.org/documentation</w:t>
      </w:r>
    </w:p>
    <w:p>
      <w:pPr>
        <w:pStyle w:val="ListParagraph"/>
        <w:keepNext w:val="false"/>
        <w:keepLines w:val="false"/>
        <w:numPr>
          <w:ilvl w:val="0"/>
          <w:numId w:val="3"/>
        </w:numPr>
        <w:spacing w:lineRule="auto" w:line="276" w:before="0" w:after="0"/>
        <w:ind w:hanging="360" w:left="720" w:right="0"/>
        <w:contextualSpacing/>
        <w:jc w:val="both"/>
        <w:rPr/>
      </w:pPr>
      <w:r>
        <w:rPr/>
        <w:t>Richardson, C. (2018). Microservices Patterns. Manning.</w:t>
      </w:r>
    </w:p>
    <w:p>
      <w:pPr>
        <w:pStyle w:val="ListParagraph"/>
        <w:keepNext w:val="false"/>
        <w:keepLines w:val="false"/>
        <w:numPr>
          <w:ilvl w:val="0"/>
          <w:numId w:val="3"/>
        </w:numPr>
        <w:spacing w:lineRule="auto" w:line="276" w:before="0" w:after="0"/>
        <w:ind w:hanging="360" w:left="720" w:right="0"/>
        <w:contextualSpacing/>
        <w:jc w:val="both"/>
        <w:rPr/>
      </w:pPr>
      <w:r>
        <w:rPr/>
        <w:t>Newman, S. (2021). Building Microservices (2.ª ed.). O'Reilly.</w:t>
      </w:r>
    </w:p>
    <w:p>
      <w:pPr>
        <w:pStyle w:val="ListParagraph"/>
        <w:keepNext w:val="false"/>
        <w:keepLines w:val="false"/>
        <w:numPr>
          <w:ilvl w:val="0"/>
          <w:numId w:val="3"/>
        </w:numPr>
        <w:spacing w:lineRule="auto" w:line="276" w:before="0" w:after="80"/>
        <w:ind w:hanging="360" w:left="720" w:right="0"/>
        <w:contextualSpacing/>
        <w:jc w:val="both"/>
        <w:rPr/>
      </w:pPr>
      <w:r>
        <w:rPr/>
        <w:t>Amazon Web Services. Documentación de Amazon EC2. https://docs.aws.amazon.com/ec2</w:t>
      </w:r>
    </w:p>
    <w:p>
      <w:pPr>
        <w:pStyle w:val="Normal"/>
        <w:spacing w:before="0" w:after="40"/>
        <w:rPr/>
      </w:pPr>
      <w:r>
        <w:rPr/>
      </w:r>
    </w:p>
    <w:p>
      <w:pPr>
        <w:pStyle w:val="Normal"/>
        <w:rPr/>
      </w:pPr>
      <w:r>
        <w:rPr/>
      </w:r>
      <w:r>
        <w:br w:type="page"/>
      </w:r>
    </w:p>
    <w:p>
      <w:pPr>
        <w:pStyle w:val="Normal"/>
        <w:spacing w:before="0" w:after="0"/>
        <w:jc w:val="center"/>
        <w:rPr/>
      </w:pPr>
      <w:r>
        <w:rPr/>
        <mc:AlternateContent>
          <mc:Choice Requires="wps">
            <w:drawing>
              <wp:anchor behindDoc="0" distT="0" distB="0" distL="0" distR="9525" simplePos="0" locked="0" layoutInCell="1" allowOverlap="1" relativeHeight="10">
                <wp:simplePos x="0" y="0"/>
                <wp:positionH relativeFrom="column">
                  <wp:posOffset>-369570</wp:posOffset>
                </wp:positionH>
                <wp:positionV relativeFrom="paragraph">
                  <wp:posOffset>272415</wp:posOffset>
                </wp:positionV>
                <wp:extent cx="7019925" cy="4499610"/>
                <wp:effectExtent l="1270" t="635" r="635" b="635"/>
                <wp:wrapNone/>
                <wp:docPr id="10" name="Rectángulo: esquinas redondeadas 1"/>
                <a:graphic xmlns:a="http://schemas.openxmlformats.org/drawingml/2006/main">
                  <a:graphicData uri="http://schemas.microsoft.com/office/word/2010/wordprocessingShape">
                    <wps:wsp>
                      <wps:cNvSpPr/>
                      <wps:spPr>
                        <a:xfrm>
                          <a:off x="0" y="0"/>
                          <a:ext cx="7020000" cy="449964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mc:Fallback>
        </mc:AlternateConten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drawing>
          <wp:anchor behindDoc="0" distT="0" distB="0" distL="0" distR="0" simplePos="0" locked="0" layoutInCell="1" allowOverlap="1" relativeHeight="11">
            <wp:simplePos x="0" y="0"/>
            <wp:positionH relativeFrom="column">
              <wp:posOffset>1649095</wp:posOffset>
            </wp:positionH>
            <wp:positionV relativeFrom="paragraph">
              <wp:posOffset>103505</wp:posOffset>
            </wp:positionV>
            <wp:extent cx="2990850" cy="1179195"/>
            <wp:effectExtent l="0" t="0" r="0" b="0"/>
            <wp:wrapNone/>
            <wp:docPr id="11" name="Image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2" descr="Duoc UC Online"/>
                    <pic:cNvPicPr>
                      <a:picLocks noChangeAspect="1" noChangeArrowheads="1"/>
                    </pic:cNvPicPr>
                  </pic:nvPicPr>
                  <pic:blipFill>
                    <a:blip r:embed="rId9"/>
                    <a:stretch>
                      <a:fillRect/>
                    </a:stretch>
                  </pic:blipFill>
                  <pic:spPr bwMode="auto">
                    <a:xfrm>
                      <a:off x="0" y="0"/>
                      <a:ext cx="2990850" cy="1179195"/>
                    </a:xfrm>
                    <a:prstGeom prst="rect">
                      <a:avLst/>
                    </a:prstGeom>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Avisolegal"/>
        <w:rPr/>
      </w:pPr>
      <w:r>
        <w:rPr/>
        <w:t xml:space="preserve">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 </w:t>
      </w:r>
    </w:p>
    <w:sectPr>
      <w:headerReference w:type="even" r:id="rId10"/>
      <w:headerReference w:type="default" r:id="rId11"/>
      <w:headerReference w:type="first" r:id="rId12"/>
      <w:footerReference w:type="even" r:id="rId13"/>
      <w:footerReference w:type="default" r:id="rId14"/>
      <w:footerReference w:type="first" r:id="rId15"/>
      <w:type w:val="nextPage"/>
      <w:pgSz w:w="12240" w:h="15840"/>
      <w:pgMar w:left="1134" w:right="1183" w:gutter="0" w:header="708" w:top="1560" w:footer="708" w:bottom="765"/>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 w:name="Times New Roman">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isLgl/>
      <w:numFmt w:val="bullet"/>
      <w:lvlText w:val=""/>
      <w:lvlJc w:val="left"/>
      <w:pPr>
        <w:tabs>
          <w:tab w:val="num" w:pos="0"/>
        </w:tabs>
        <w:ind w:left="720" w:hanging="360"/>
      </w:pPr>
      <w:rPr>
        <w:rFonts w:ascii="Symbol" w:hAnsi="Symbol" w:cs="Symbol" w:hint="default"/>
      </w:rPr>
    </w:lvl>
    <w:lvl w:ilvl="1">
      <w:start w:val="1"/>
      <w:isLgl/>
      <w:numFmt w:val="bullet"/>
      <w:lvlText w:val="o"/>
      <w:lvlJc w:val="left"/>
      <w:pPr>
        <w:tabs>
          <w:tab w:val="num" w:pos="0"/>
        </w:tabs>
        <w:ind w:left="1440" w:hanging="360"/>
      </w:pPr>
      <w:rPr>
        <w:rFonts w:ascii="Courier New" w:hAnsi="Courier New" w:cs="Courier New" w:hint="default"/>
      </w:rPr>
    </w:lvl>
    <w:lvl w:ilvl="2">
      <w:start w:val="1"/>
      <w:isLgl/>
      <w:numFmt w:val="bullet"/>
      <w:lvlText w:val=""/>
      <w:lvlJc w:val="left"/>
      <w:pPr>
        <w:tabs>
          <w:tab w:val="num" w:pos="0"/>
        </w:tabs>
        <w:ind w:left="2160" w:hanging="360"/>
      </w:pPr>
      <w:rPr>
        <w:rFonts w:ascii="Wingdings" w:hAnsi="Wingdings" w:cs="Wingdings" w:hint="default"/>
      </w:rPr>
    </w:lvl>
    <w:lvl w:ilvl="3">
      <w:start w:val="1"/>
      <w:isLgl/>
      <w:numFmt w:val="bullet"/>
      <w:lvlText w:val=""/>
      <w:lvlJc w:val="left"/>
      <w:pPr>
        <w:tabs>
          <w:tab w:val="num" w:pos="0"/>
        </w:tabs>
        <w:ind w:left="2880" w:hanging="360"/>
      </w:pPr>
      <w:rPr>
        <w:rFonts w:ascii="Symbol" w:hAnsi="Symbol" w:cs="Symbol" w:hint="default"/>
      </w:rPr>
    </w:lvl>
    <w:lvl w:ilvl="4">
      <w:start w:val="1"/>
      <w:isLgl/>
      <w:numFmt w:val="bullet"/>
      <w:lvlText w:val="o"/>
      <w:lvlJc w:val="left"/>
      <w:pPr>
        <w:tabs>
          <w:tab w:val="num" w:pos="0"/>
        </w:tabs>
        <w:ind w:left="3600" w:hanging="360"/>
      </w:pPr>
      <w:rPr>
        <w:rFonts w:ascii="Courier New" w:hAnsi="Courier New" w:cs="Courier New" w:hint="default"/>
      </w:rPr>
    </w:lvl>
    <w:lvl w:ilvl="5">
      <w:start w:val="1"/>
      <w:isLgl/>
      <w:numFmt w:val="bullet"/>
      <w:lvlText w:val=""/>
      <w:lvlJc w:val="left"/>
      <w:pPr>
        <w:tabs>
          <w:tab w:val="num" w:pos="0"/>
        </w:tabs>
        <w:ind w:left="4320" w:hanging="360"/>
      </w:pPr>
      <w:rPr>
        <w:rFonts w:ascii="Wingdings" w:hAnsi="Wingdings" w:cs="Wingdings" w:hint="default"/>
      </w:rPr>
    </w:lvl>
    <w:lvl w:ilvl="6">
      <w:start w:val="1"/>
      <w:isLgl/>
      <w:numFmt w:val="bullet"/>
      <w:lvlText w:val=""/>
      <w:lvlJc w:val="left"/>
      <w:pPr>
        <w:tabs>
          <w:tab w:val="num" w:pos="0"/>
        </w:tabs>
        <w:ind w:left="5040" w:hanging="360"/>
      </w:pPr>
      <w:rPr>
        <w:rFonts w:ascii="Symbol" w:hAnsi="Symbol" w:cs="Symbol" w:hint="default"/>
      </w:rPr>
    </w:lvl>
    <w:lvl w:ilvl="7">
      <w:start w:val="1"/>
      <w:isLgl/>
      <w:numFmt w:val="bullet"/>
      <w:lvlText w:val="o"/>
      <w:lvlJc w:val="left"/>
      <w:pPr>
        <w:tabs>
          <w:tab w:val="num" w:pos="0"/>
        </w:tabs>
        <w:ind w:left="5760" w:hanging="360"/>
      </w:pPr>
      <w:rPr>
        <w:rFonts w:ascii="Courier New" w:hAnsi="Courier New" w:cs="Courier New" w:hint="default"/>
      </w:rPr>
    </w:lvl>
    <w:lvl w:ilvl="8">
      <w:start w:val="1"/>
      <w:isLgl/>
      <w:numFmt w:val="bullet"/>
      <w:lvlText w:val=""/>
      <w:lvlJc w:val="left"/>
      <w:pPr>
        <w:tabs>
          <w:tab w:val="num" w:pos="0"/>
        </w:tabs>
        <w:ind w:left="6480" w:hanging="360"/>
      </w:pPr>
      <w:rPr>
        <w:rFonts w:ascii="Wingdings" w:hAnsi="Wingdings" w:cs="Wingdings" w:hint="default"/>
      </w:rPr>
    </w:lvl>
  </w:abstractNum>
  <w:abstractNum w:abstractNumId="2">
    <w:lvl w:ilvl="0">
      <w:start w:val="1"/>
      <w:isLgl/>
      <w:numFmt w:val="bullet"/>
      <w:lvlText w:val=""/>
      <w:lvlJc w:val="left"/>
      <w:pPr>
        <w:tabs>
          <w:tab w:val="num" w:pos="0"/>
        </w:tabs>
        <w:ind w:left="720" w:hanging="360"/>
      </w:pPr>
      <w:rPr>
        <w:rFonts w:ascii="Symbol" w:hAnsi="Symbol" w:cs="Symbol" w:hint="default"/>
      </w:rPr>
    </w:lvl>
    <w:lvl w:ilvl="1">
      <w:start w:val="1"/>
      <w:isLgl/>
      <w:numFmt w:val="bullet"/>
      <w:lvlText w:val="o"/>
      <w:lvlJc w:val="left"/>
      <w:pPr>
        <w:tabs>
          <w:tab w:val="num" w:pos="0"/>
        </w:tabs>
        <w:ind w:left="1440" w:hanging="360"/>
      </w:pPr>
      <w:rPr>
        <w:rFonts w:ascii="Courier New" w:hAnsi="Courier New" w:cs="Courier New" w:hint="default"/>
      </w:rPr>
    </w:lvl>
    <w:lvl w:ilvl="2">
      <w:start w:val="1"/>
      <w:isLgl/>
      <w:numFmt w:val="bullet"/>
      <w:lvlText w:val=""/>
      <w:lvlJc w:val="left"/>
      <w:pPr>
        <w:tabs>
          <w:tab w:val="num" w:pos="0"/>
        </w:tabs>
        <w:ind w:left="2160" w:hanging="360"/>
      </w:pPr>
      <w:rPr>
        <w:rFonts w:ascii="Wingdings" w:hAnsi="Wingdings" w:cs="Wingdings" w:hint="default"/>
      </w:rPr>
    </w:lvl>
    <w:lvl w:ilvl="3">
      <w:start w:val="1"/>
      <w:isLgl/>
      <w:numFmt w:val="bullet"/>
      <w:lvlText w:val=""/>
      <w:lvlJc w:val="left"/>
      <w:pPr>
        <w:tabs>
          <w:tab w:val="num" w:pos="0"/>
        </w:tabs>
        <w:ind w:left="2880" w:hanging="360"/>
      </w:pPr>
      <w:rPr>
        <w:rFonts w:ascii="Symbol" w:hAnsi="Symbol" w:cs="Symbol" w:hint="default"/>
      </w:rPr>
    </w:lvl>
    <w:lvl w:ilvl="4">
      <w:start w:val="1"/>
      <w:isLgl/>
      <w:numFmt w:val="bullet"/>
      <w:lvlText w:val="o"/>
      <w:lvlJc w:val="left"/>
      <w:pPr>
        <w:tabs>
          <w:tab w:val="num" w:pos="0"/>
        </w:tabs>
        <w:ind w:left="3600" w:hanging="360"/>
      </w:pPr>
      <w:rPr>
        <w:rFonts w:ascii="Courier New" w:hAnsi="Courier New" w:cs="Courier New" w:hint="default"/>
      </w:rPr>
    </w:lvl>
    <w:lvl w:ilvl="5">
      <w:start w:val="1"/>
      <w:isLgl/>
      <w:numFmt w:val="bullet"/>
      <w:lvlText w:val=""/>
      <w:lvlJc w:val="left"/>
      <w:pPr>
        <w:tabs>
          <w:tab w:val="num" w:pos="0"/>
        </w:tabs>
        <w:ind w:left="4320" w:hanging="360"/>
      </w:pPr>
      <w:rPr>
        <w:rFonts w:ascii="Wingdings" w:hAnsi="Wingdings" w:cs="Wingdings" w:hint="default"/>
      </w:rPr>
    </w:lvl>
    <w:lvl w:ilvl="6">
      <w:start w:val="1"/>
      <w:isLgl/>
      <w:numFmt w:val="bullet"/>
      <w:lvlText w:val=""/>
      <w:lvlJc w:val="left"/>
      <w:pPr>
        <w:tabs>
          <w:tab w:val="num" w:pos="0"/>
        </w:tabs>
        <w:ind w:left="5040" w:hanging="360"/>
      </w:pPr>
      <w:rPr>
        <w:rFonts w:ascii="Symbol" w:hAnsi="Symbol" w:cs="Symbol" w:hint="default"/>
      </w:rPr>
    </w:lvl>
    <w:lvl w:ilvl="7">
      <w:start w:val="1"/>
      <w:isLgl/>
      <w:numFmt w:val="bullet"/>
      <w:lvlText w:val="o"/>
      <w:lvlJc w:val="left"/>
      <w:pPr>
        <w:tabs>
          <w:tab w:val="num" w:pos="0"/>
        </w:tabs>
        <w:ind w:left="5760" w:hanging="360"/>
      </w:pPr>
      <w:rPr>
        <w:rFonts w:ascii="Courier New" w:hAnsi="Courier New" w:cs="Courier New" w:hint="default"/>
      </w:rPr>
    </w:lvl>
    <w:lvl w:ilvl="8">
      <w:start w:val="1"/>
      <w:isLgl/>
      <w:numFmt w:val="bullet"/>
      <w:lvlText w:val=""/>
      <w:lvlJc w:val="left"/>
      <w:pPr>
        <w:tabs>
          <w:tab w:val="num" w:pos="0"/>
        </w:tabs>
        <w:ind w:left="6480" w:hanging="360"/>
      </w:pPr>
      <w:rPr>
        <w:rFonts w:ascii="Wingdings" w:hAnsi="Wingdings" w:cs="Wingdings" w:hint="default"/>
      </w:rPr>
    </w:lvl>
  </w:abstractNum>
  <w:abstractNum w:abstractNumId="3">
    <w:lvl w:ilvl="0">
      <w:start w:val="1"/>
      <w:isLgl/>
      <w:numFmt w:val="bullet"/>
      <w:lvlText w:val=""/>
      <w:lvlJc w:val="left"/>
      <w:pPr>
        <w:tabs>
          <w:tab w:val="num" w:pos="0"/>
        </w:tabs>
        <w:ind w:left="720" w:hanging="360"/>
      </w:pPr>
      <w:rPr>
        <w:rFonts w:ascii="Symbol" w:hAnsi="Symbol" w:cs="Symbol" w:hint="default"/>
      </w:rPr>
    </w:lvl>
    <w:lvl w:ilvl="1">
      <w:start w:val="1"/>
      <w:isLgl/>
      <w:numFmt w:val="bullet"/>
      <w:lvlText w:val="o"/>
      <w:lvlJc w:val="left"/>
      <w:pPr>
        <w:tabs>
          <w:tab w:val="num" w:pos="0"/>
        </w:tabs>
        <w:ind w:left="1440" w:hanging="360"/>
      </w:pPr>
      <w:rPr>
        <w:rFonts w:ascii="Courier New" w:hAnsi="Courier New" w:cs="Courier New" w:hint="default"/>
      </w:rPr>
    </w:lvl>
    <w:lvl w:ilvl="2">
      <w:start w:val="1"/>
      <w:isLgl/>
      <w:numFmt w:val="bullet"/>
      <w:lvlText w:val=""/>
      <w:lvlJc w:val="left"/>
      <w:pPr>
        <w:tabs>
          <w:tab w:val="num" w:pos="0"/>
        </w:tabs>
        <w:ind w:left="2160" w:hanging="360"/>
      </w:pPr>
      <w:rPr>
        <w:rFonts w:ascii="Wingdings" w:hAnsi="Wingdings" w:cs="Wingdings" w:hint="default"/>
      </w:rPr>
    </w:lvl>
    <w:lvl w:ilvl="3">
      <w:start w:val="1"/>
      <w:isLgl/>
      <w:numFmt w:val="bullet"/>
      <w:lvlText w:val=""/>
      <w:lvlJc w:val="left"/>
      <w:pPr>
        <w:tabs>
          <w:tab w:val="num" w:pos="0"/>
        </w:tabs>
        <w:ind w:left="2880" w:hanging="360"/>
      </w:pPr>
      <w:rPr>
        <w:rFonts w:ascii="Symbol" w:hAnsi="Symbol" w:cs="Symbol" w:hint="default"/>
      </w:rPr>
    </w:lvl>
    <w:lvl w:ilvl="4">
      <w:start w:val="1"/>
      <w:isLgl/>
      <w:numFmt w:val="bullet"/>
      <w:lvlText w:val="o"/>
      <w:lvlJc w:val="left"/>
      <w:pPr>
        <w:tabs>
          <w:tab w:val="num" w:pos="0"/>
        </w:tabs>
        <w:ind w:left="3600" w:hanging="360"/>
      </w:pPr>
      <w:rPr>
        <w:rFonts w:ascii="Courier New" w:hAnsi="Courier New" w:cs="Courier New" w:hint="default"/>
      </w:rPr>
    </w:lvl>
    <w:lvl w:ilvl="5">
      <w:start w:val="1"/>
      <w:isLgl/>
      <w:numFmt w:val="bullet"/>
      <w:lvlText w:val=""/>
      <w:lvlJc w:val="left"/>
      <w:pPr>
        <w:tabs>
          <w:tab w:val="num" w:pos="0"/>
        </w:tabs>
        <w:ind w:left="4320" w:hanging="360"/>
      </w:pPr>
      <w:rPr>
        <w:rFonts w:ascii="Wingdings" w:hAnsi="Wingdings" w:cs="Wingdings" w:hint="default"/>
      </w:rPr>
    </w:lvl>
    <w:lvl w:ilvl="6">
      <w:start w:val="1"/>
      <w:isLgl/>
      <w:numFmt w:val="bullet"/>
      <w:lvlText w:val=""/>
      <w:lvlJc w:val="left"/>
      <w:pPr>
        <w:tabs>
          <w:tab w:val="num" w:pos="0"/>
        </w:tabs>
        <w:ind w:left="5040" w:hanging="360"/>
      </w:pPr>
      <w:rPr>
        <w:rFonts w:ascii="Symbol" w:hAnsi="Symbol" w:cs="Symbol" w:hint="default"/>
      </w:rPr>
    </w:lvl>
    <w:lvl w:ilvl="7">
      <w:start w:val="1"/>
      <w:isLgl/>
      <w:numFmt w:val="bullet"/>
      <w:lvlText w:val="o"/>
      <w:lvlJc w:val="left"/>
      <w:pPr>
        <w:tabs>
          <w:tab w:val="num" w:pos="0"/>
        </w:tabs>
        <w:ind w:left="5760" w:hanging="360"/>
      </w:pPr>
      <w:rPr>
        <w:rFonts w:ascii="Courier New" w:hAnsi="Courier New" w:cs="Courier New" w:hint="default"/>
      </w:rPr>
    </w:lvl>
    <w:lvl w:ilvl="8">
      <w:start w:val="1"/>
      <w:isLgl/>
      <w:numFmt w:val="bullet"/>
      <w:lvlText w:val=""/>
      <w:lvlJc w:val="left"/>
      <w:pPr>
        <w:tabs>
          <w:tab w:val="num" w:pos="0"/>
        </w:tabs>
        <w:ind w:left="6480" w:hanging="360"/>
      </w:pPr>
      <w:rPr>
        <w:rFonts w:ascii="Wingdings" w:hAnsi="Wingdings" w:cs="Wingdings"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asciiTheme="minorHAnsi" w:cstheme="minorBidi" w:eastAsiaTheme="minorHAnsi" w:hAnsiTheme="minorHAnsi"/>
        <w:sz w:val="22"/>
        <w:szCs w:val="22"/>
        <w:lang w:val="es-CL" w:eastAsia="en-US" w:bidi="ar-SA"/>
        <w14:ligatures w14:val="standardContextual"/>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bidi w:val="0"/>
      <w:spacing w:lineRule="auto" w:line="360" w:beforeAutospacing="0" w:before="0" w:afterAutospacing="0" w:after="0"/>
      <w:ind w:hanging="0" w:left="0" w:right="0"/>
      <w:jc w:val="left"/>
    </w:pPr>
    <w:rPr>
      <w:rFonts w:ascii="Arial" w:hAnsi="Arial" w:eastAsia="Arial" w:cs="Arial"/>
      <w:color w:themeColor="text1" w:themeTint="bf" w:val="404040"/>
      <w:kern w:val="0"/>
      <w:sz w:val="24"/>
      <w:szCs w:val="22"/>
      <w:lang w:val="es-CL" w:eastAsia="en-US" w:bidi="ar-SA"/>
    </w:rPr>
  </w:style>
  <w:style w:type="paragraph" w:styleId="Heading1">
    <w:name w:val="Heading 1"/>
    <w:basedOn w:val="Normal"/>
    <w:next w:val="Normal"/>
    <w:link w:val="Ttulo1Car"/>
    <w:uiPriority w:val="9"/>
    <w:qFormat/>
    <w:pPr>
      <w:keepNext w:val="true"/>
      <w:keepLines/>
      <w:spacing w:before="360" w:after="360"/>
      <w:outlineLvl w:val="0"/>
    </w:pPr>
    <w:rPr>
      <w:rFonts w:eastAsia="Arial" w:cs="Arial" w:cstheme="majorBidi" w:eastAsiaTheme="majorEastAsia"/>
      <w:b/>
      <w:sz w:val="44"/>
      <w:szCs w:val="32"/>
      <w14:ligatures w14:val="none"/>
    </w:rPr>
  </w:style>
  <w:style w:type="paragraph" w:styleId="Heading2">
    <w:name w:val="Heading 2"/>
    <w:basedOn w:val="Normal"/>
    <w:next w:val="Normal"/>
    <w:link w:val="Ttulo2Car"/>
    <w:uiPriority w:val="9"/>
    <w:unhideWhenUsed/>
    <w:qFormat/>
    <w:pPr>
      <w:keepNext w:val="true"/>
      <w:keepLines/>
      <w:spacing w:before="160" w:after="120"/>
      <w:outlineLvl w:val="1"/>
    </w:pPr>
    <w:rPr>
      <w:rFonts w:eastAsia="Arial" w:cs="Arial" w:cstheme="majorBidi" w:eastAsiaTheme="majorEastAsia"/>
      <w:b/>
      <w:sz w:val="32"/>
      <w:szCs w:val="26"/>
    </w:rPr>
  </w:style>
  <w:style w:type="paragraph" w:styleId="Heading3">
    <w:name w:val="Heading 3"/>
    <w:basedOn w:val="Normal"/>
    <w:next w:val="Normal"/>
    <w:link w:val="Ttulo3Car"/>
    <w:uiPriority w:val="9"/>
    <w:unhideWhenUsed/>
    <w:qFormat/>
    <w:pPr>
      <w:keepNext w:val="true"/>
      <w:keepLines/>
      <w:spacing w:before="160" w:after="120"/>
      <w:outlineLvl w:val="2"/>
    </w:pPr>
    <w:rPr>
      <w:rFonts w:ascii="Arial" w:hAnsi="Arial" w:asciiTheme="majorHAnsi" w:hAnsiTheme="majorHAnsi"/>
      <w:b/>
      <w:szCs w:val="24"/>
    </w:rPr>
  </w:style>
  <w:style w:type="paragraph" w:styleId="Heading4">
    <w:name w:val="Heading 4"/>
    <w:basedOn w:val="Normal"/>
    <w:next w:val="Normal"/>
    <w:link w:val="Heading4Char"/>
    <w:uiPriority w:val="9"/>
    <w:unhideWhenUsed/>
    <w:qFormat/>
    <w:pPr>
      <w:keepNext w:val="true"/>
      <w:keepLines/>
      <w:spacing w:before="80" w:after="40"/>
      <w:outlineLvl w:val="3"/>
    </w:pPr>
    <w:rPr>
      <w:rFonts w:ascii="Arial" w:hAnsi="Arial" w:eastAsia="Arial" w:cs="Arial"/>
      <w:i/>
      <w:iCs/>
      <w:color w:themeColor="accent1" w:themeShade="bf" w:val="0F4761"/>
    </w:rPr>
  </w:style>
  <w:style w:type="paragraph" w:styleId="Heading5">
    <w:name w:val="Heading 5"/>
    <w:basedOn w:val="Normal"/>
    <w:next w:val="Normal"/>
    <w:link w:val="Heading5Char"/>
    <w:uiPriority w:val="9"/>
    <w:unhideWhenUsed/>
    <w:qFormat/>
    <w:pPr>
      <w:keepNext w:val="true"/>
      <w:keepLines/>
      <w:spacing w:before="80" w:after="40"/>
      <w:outlineLvl w:val="4"/>
    </w:pPr>
    <w:rPr>
      <w:rFonts w:ascii="Arial" w:hAnsi="Arial" w:eastAsia="Arial" w:cs="Arial"/>
      <w:color w:themeColor="accent1" w:themeShade="bf" w:val="0F4761"/>
    </w:rPr>
  </w:style>
  <w:style w:type="paragraph" w:styleId="Heading6">
    <w:name w:val="Heading 6"/>
    <w:basedOn w:val="Normal"/>
    <w:next w:val="Normal"/>
    <w:link w:val="Heading6Char"/>
    <w:uiPriority w:val="9"/>
    <w:unhideWhenUsed/>
    <w:qFormat/>
    <w:pPr>
      <w:keepNext w:val="true"/>
      <w:keepLines/>
      <w:spacing w:before="40" w:after="0"/>
      <w:outlineLvl w:val="5"/>
    </w:pPr>
    <w:rPr>
      <w:rFonts w:ascii="Arial" w:hAnsi="Arial" w:eastAsia="Arial" w:cs="Arial"/>
      <w:i/>
      <w:iCs/>
      <w:color w:themeColor="text1" w:themeTint="a6" w:val="595959"/>
    </w:rPr>
  </w:style>
  <w:style w:type="paragraph" w:styleId="Heading7">
    <w:name w:val="Heading 7"/>
    <w:basedOn w:val="Normal"/>
    <w:next w:val="Normal"/>
    <w:link w:val="Heading7Char"/>
    <w:uiPriority w:val="9"/>
    <w:unhideWhenUsed/>
    <w:qFormat/>
    <w:pPr>
      <w:keepNext w:val="true"/>
      <w:keepLines/>
      <w:spacing w:before="40" w:after="0"/>
      <w:outlineLvl w:val="6"/>
    </w:pPr>
    <w:rPr>
      <w:rFonts w:ascii="Arial" w:hAnsi="Arial" w:eastAsia="Arial" w:cs="Arial"/>
      <w:color w:themeColor="text1" w:themeTint="a6" w:val="595959"/>
    </w:rPr>
  </w:style>
  <w:style w:type="paragraph" w:styleId="Heading8">
    <w:name w:val="Heading 8"/>
    <w:basedOn w:val="Normal"/>
    <w:next w:val="Normal"/>
    <w:link w:val="Heading8Char"/>
    <w:uiPriority w:val="9"/>
    <w:unhideWhenUsed/>
    <w:qFormat/>
    <w:pPr>
      <w:keepNext w:val="true"/>
      <w:keepLines/>
      <w:spacing w:before="0" w:after="0"/>
      <w:outlineLvl w:val="7"/>
    </w:pPr>
    <w:rPr>
      <w:rFonts w:ascii="Arial" w:hAnsi="Arial" w:eastAsia="Arial" w:cs="Arial"/>
      <w:i/>
      <w:iCs/>
      <w:color w:themeColor="text1" w:themeTint="d8" w:val="272727"/>
    </w:rPr>
  </w:style>
  <w:style w:type="paragraph" w:styleId="Heading9">
    <w:name w:val="Heading 9"/>
    <w:basedOn w:val="Normal"/>
    <w:next w:val="Normal"/>
    <w:link w:val="Heading9Char"/>
    <w:uiPriority w:val="9"/>
    <w:unhideWhenUsed/>
    <w:qFormat/>
    <w:pPr>
      <w:keepNext w:val="true"/>
      <w:keepLines/>
      <w:spacing w:before="0" w:after="0"/>
      <w:outlineLvl w:val="8"/>
    </w:pPr>
    <w:rPr>
      <w:rFonts w:ascii="Arial" w:hAnsi="Arial" w:eastAsia="Arial" w:cs="Arial"/>
      <w:i/>
      <w:iCs/>
      <w:color w:themeColor="text1" w:themeTint="d8" w:val="272727"/>
    </w:rPr>
  </w:style>
  <w:style w:type="character" w:styleId="Heading1Char">
    <w:name w:val="Heading 1 Char"/>
    <w:basedOn w:val="DefaultParagraphFont"/>
    <w:link w:val="Heading1"/>
    <w:uiPriority w:val="9"/>
    <w:qFormat/>
    <w:rPr>
      <w:rFonts w:ascii="Arial" w:hAnsi="Arial" w:eastAsia="Arial" w:cs="Arial"/>
      <w:color w:themeColor="accent1" w:themeShade="bf" w:val="0F4761"/>
      <w:sz w:val="40"/>
      <w:szCs w:val="40"/>
    </w:rPr>
  </w:style>
  <w:style w:type="character" w:styleId="Heading2Char">
    <w:name w:val="Heading 2 Char"/>
    <w:basedOn w:val="DefaultParagraphFont"/>
    <w:link w:val="Heading2"/>
    <w:uiPriority w:val="9"/>
    <w:qFormat/>
    <w:rPr>
      <w:rFonts w:ascii="Arial" w:hAnsi="Arial" w:eastAsia="Arial" w:cs="Arial"/>
      <w:color w:themeColor="accent1" w:themeShade="bf" w:val="0F4761"/>
      <w:sz w:val="32"/>
      <w:szCs w:val="32"/>
    </w:rPr>
  </w:style>
  <w:style w:type="character" w:styleId="Heading3Char">
    <w:name w:val="Heading 3 Char"/>
    <w:basedOn w:val="DefaultParagraphFont"/>
    <w:link w:val="Heading3"/>
    <w:uiPriority w:val="9"/>
    <w:qFormat/>
    <w:rPr>
      <w:rFonts w:ascii="Arial" w:hAnsi="Arial" w:eastAsia="Arial" w:cs="Arial"/>
      <w:color w:themeColor="accent1" w:themeShade="bf" w:val="0F4761"/>
      <w:sz w:val="28"/>
      <w:szCs w:val="28"/>
    </w:rPr>
  </w:style>
  <w:style w:type="character" w:styleId="Heading4Char">
    <w:name w:val="Heading 4 Char"/>
    <w:basedOn w:val="DefaultParagraphFont"/>
    <w:link w:val="Heading4"/>
    <w:uiPriority w:val="9"/>
    <w:qFormat/>
    <w:rPr>
      <w:rFonts w:ascii="Arial" w:hAnsi="Arial" w:eastAsia="Arial" w:cs="Arial"/>
      <w:i/>
      <w:iCs/>
      <w:color w:themeColor="accent1" w:themeShade="bf" w:val="0F4761"/>
    </w:rPr>
  </w:style>
  <w:style w:type="character" w:styleId="Heading5Char">
    <w:name w:val="Heading 5 Char"/>
    <w:basedOn w:val="DefaultParagraphFont"/>
    <w:link w:val="Heading5"/>
    <w:uiPriority w:val="9"/>
    <w:qFormat/>
    <w:rPr>
      <w:rFonts w:ascii="Arial" w:hAnsi="Arial" w:eastAsia="Arial" w:cs="Arial"/>
      <w:color w:themeColor="accent1" w:themeShade="bf" w:val="0F4761"/>
    </w:rPr>
  </w:style>
  <w:style w:type="character" w:styleId="Heading6Char">
    <w:name w:val="Heading 6 Char"/>
    <w:basedOn w:val="DefaultParagraphFont"/>
    <w:link w:val="Heading6"/>
    <w:uiPriority w:val="9"/>
    <w:qFormat/>
    <w:rPr>
      <w:rFonts w:ascii="Arial" w:hAnsi="Arial" w:eastAsia="Arial" w:cs="Arial"/>
      <w:i/>
      <w:iCs/>
      <w:color w:themeColor="text1" w:themeTint="a6" w:val="595959"/>
    </w:rPr>
  </w:style>
  <w:style w:type="character" w:styleId="Heading7Char">
    <w:name w:val="Heading 7 Char"/>
    <w:basedOn w:val="DefaultParagraphFont"/>
    <w:link w:val="Heading7"/>
    <w:uiPriority w:val="9"/>
    <w:qFormat/>
    <w:rPr>
      <w:rFonts w:ascii="Arial" w:hAnsi="Arial" w:eastAsia="Arial" w:cs="Arial"/>
      <w:color w:themeColor="text1" w:themeTint="a6" w:val="595959"/>
    </w:rPr>
  </w:style>
  <w:style w:type="character" w:styleId="Heading8Char">
    <w:name w:val="Heading 8 Char"/>
    <w:basedOn w:val="DefaultParagraphFont"/>
    <w:link w:val="Heading8"/>
    <w:uiPriority w:val="9"/>
    <w:qFormat/>
    <w:rPr>
      <w:rFonts w:ascii="Arial" w:hAnsi="Arial" w:eastAsia="Arial" w:cs="Arial"/>
      <w:i/>
      <w:iCs/>
      <w:color w:themeColor="text1" w:themeTint="d8" w:val="272727"/>
    </w:rPr>
  </w:style>
  <w:style w:type="character" w:styleId="Heading9Char">
    <w:name w:val="Heading 9 Char"/>
    <w:basedOn w:val="DefaultParagraphFont"/>
    <w:link w:val="Heading9"/>
    <w:uiPriority w:val="9"/>
    <w:qFormat/>
    <w:rPr>
      <w:rFonts w:ascii="Arial" w:hAnsi="Arial" w:eastAsia="Arial" w:cs="Arial"/>
      <w:i/>
      <w:iCs/>
      <w:color w:themeColor="text1" w:themeTint="d8" w:val="272727"/>
    </w:rPr>
  </w:style>
  <w:style w:type="character" w:styleId="TitleChar">
    <w:name w:val="Title Char"/>
    <w:basedOn w:val="DefaultParagraphFont"/>
    <w:link w:val="Title"/>
    <w:uiPriority w:val="10"/>
    <w:qFormat/>
    <w:rPr>
      <w:rFonts w:ascii="Arial" w:hAnsi="Arial" w:eastAsia="Arial" w:cs="Arial"/>
      <w:spacing w:val="-10"/>
      <w:sz w:val="56"/>
      <w:szCs w:val="56"/>
    </w:rPr>
  </w:style>
  <w:style w:type="character" w:styleId="SubtitleChar">
    <w:name w:val="Subtitle Char"/>
    <w:basedOn w:val="DefaultParagraphFont"/>
    <w:link w:val="Subtitle"/>
    <w:uiPriority w:val="11"/>
    <w:qFormat/>
    <w:rPr>
      <w:color w:themeColor="text1" w:themeTint="a6" w:val="595959"/>
      <w:spacing w:val="15"/>
      <w:sz w:val="28"/>
      <w:szCs w:val="28"/>
    </w:rPr>
  </w:style>
  <w:style w:type="character" w:styleId="QuoteChar">
    <w:name w:val="Quote Char"/>
    <w:basedOn w:val="DefaultParagraphFont"/>
    <w:link w:val="Quote"/>
    <w:uiPriority w:val="29"/>
    <w:qFormat/>
    <w:rPr>
      <w:i/>
      <w:iCs/>
      <w:color w:themeColor="text1" w:themeTint="bf" w:val="404040"/>
    </w:rPr>
  </w:style>
  <w:style w:type="character" w:styleId="IntenseEmphasis">
    <w:name w:val="Intense Emphasis"/>
    <w:basedOn w:val="DefaultParagraphFont"/>
    <w:uiPriority w:val="21"/>
    <w:qFormat/>
    <w:rPr>
      <w:i/>
      <w:iCs/>
      <w:color w:themeColor="accent1" w:themeShade="bf" w:val="0F4761"/>
    </w:rPr>
  </w:style>
  <w:style w:type="character" w:styleId="IntenseQuoteChar">
    <w:name w:val="Intense Quote Char"/>
    <w:basedOn w:val="DefaultParagraphFont"/>
    <w:link w:val="IntenseQuote"/>
    <w:uiPriority w:val="30"/>
    <w:qFormat/>
    <w:rPr>
      <w:i/>
      <w:iCs/>
      <w:color w:themeColor="accent1" w:themeShade="bf" w:val="0F4761"/>
    </w:rPr>
  </w:style>
  <w:style w:type="character" w:styleId="Emphasis">
    <w:name w:val="Emphasis"/>
    <w:basedOn w:val="DefaultParagraphFont"/>
    <w:uiPriority w:val="20"/>
    <w:qFormat/>
    <w:rPr>
      <w:i/>
      <w:iCs/>
    </w:rPr>
  </w:style>
  <w:style w:type="character" w:styleId="BookTitle">
    <w:name w:val="Book Title"/>
    <w:basedOn w:val="DefaultParagraphFont"/>
    <w:uiPriority w:val="33"/>
    <w:qFormat/>
    <w:rPr>
      <w:b/>
      <w:bCs/>
      <w:i/>
      <w:iCs/>
      <w:spacing w:val="5"/>
    </w:rPr>
  </w:style>
  <w:style w:type="character" w:styleId="HeaderChar">
    <w:name w:val="Header Char"/>
    <w:basedOn w:val="DefaultParagraphFont"/>
    <w:link w:val="Header"/>
    <w:uiPriority w:val="99"/>
    <w:qFormat/>
    <w:rPr/>
  </w:style>
  <w:style w:type="character" w:styleId="FooterChar">
    <w:name w:val="Footer Char"/>
    <w:basedOn w:val="DefaultParagraphFont"/>
    <w:link w:val="Footer"/>
    <w:uiPriority w:val="99"/>
    <w:qFormat/>
    <w:rPr/>
  </w:style>
  <w:style w:type="character" w:styleId="FootnoteTextChar">
    <w:name w:val="Footnote Text Char"/>
    <w:basedOn w:val="DefaultParagraphFont"/>
    <w:link w:val="FootnoteText"/>
    <w:uiPriority w:val="99"/>
    <w:semiHidden/>
    <w:qFormat/>
    <w:rPr>
      <w:sz w:val="20"/>
      <w:szCs w:val="20"/>
    </w:rPr>
  </w:style>
  <w:style w:type="character" w:styleId="FootnoteCharacters">
    <w:name w:val="Footnote Characters"/>
    <w:basedOn w:val="DefaultParagraphFont"/>
    <w:uiPriority w:val="99"/>
    <w:semiHidden/>
    <w:unhideWhenUsed/>
    <w:qFormat/>
    <w:rPr>
      <w:vertAlign w:val="superscript"/>
    </w:rPr>
  </w:style>
  <w:style w:type="character" w:styleId="FootnoteReference">
    <w:name w:val="Footnote Reference"/>
    <w:rPr>
      <w:vertAlign w:val="superscript"/>
    </w:rPr>
  </w:style>
  <w:style w:type="character" w:styleId="EndnoteTextChar">
    <w:name w:val="Endnote Text Char"/>
    <w:basedOn w:val="DefaultParagraphFont"/>
    <w:link w:val="EndnoteText"/>
    <w:uiPriority w:val="99"/>
    <w:semiHidden/>
    <w:qFormat/>
    <w:rPr>
      <w:sz w:val="20"/>
      <w:szCs w:val="20"/>
    </w:rPr>
  </w:style>
  <w:style w:type="character" w:styleId="EndnoteCharacters">
    <w:name w:val="Endnote Characters"/>
    <w:basedOn w:val="DefaultParagraphFont"/>
    <w:uiPriority w:val="99"/>
    <w:semiHidden/>
    <w:unhideWhenUsed/>
    <w:qFormat/>
    <w:rPr>
      <w:vertAlign w:val="superscript"/>
    </w:rPr>
  </w:style>
  <w:style w:type="character" w:styleId="EndnoteReference">
    <w:name w:val="Endnote Reference"/>
    <w:rPr>
      <w:vertAlign w:val="superscript"/>
    </w:rPr>
  </w:style>
  <w:style w:type="character" w:styleId="PlaceholderText">
    <w:name w:val="Placeholder Text"/>
    <w:basedOn w:val="DefaultParagraphFont"/>
    <w:uiPriority w:val="99"/>
    <w:semiHidden/>
    <w:qFormat/>
    <w:rPr>
      <w:color w:val="666666"/>
    </w:rPr>
  </w:style>
  <w:style w:type="character" w:styleId="DefaultParagraphFont" w:default="1">
    <w:name w:val="Default Paragraph Font"/>
    <w:uiPriority w:val="1"/>
    <w:unhideWhenUsed/>
    <w:qFormat/>
    <w:rPr/>
  </w:style>
  <w:style w:type="character" w:styleId="TtuloCar" w:customStyle="1">
    <w:name w:val="Título Car"/>
    <w:basedOn w:val="DefaultParagraphFont"/>
    <w:link w:val="Title"/>
    <w:uiPriority w:val="10"/>
    <w:qFormat/>
    <w:rPr>
      <w:rFonts w:ascii="Arial" w:hAnsi="Arial" w:eastAsia="Arial" w:cs="Arial" w:cstheme="majorBidi" w:eastAsiaTheme="majorEastAsia"/>
      <w:b/>
      <w:color w:themeColor="text1" w:themeTint="bf" w:val="404040"/>
      <w:spacing w:val="-10"/>
      <w:sz w:val="56"/>
      <w:szCs w:val="56"/>
      <w14:ligatures w14:val="none"/>
    </w:rPr>
  </w:style>
  <w:style w:type="character" w:styleId="carrera1Car" w:customStyle="1">
    <w:name w:val="carrera1 Car"/>
    <w:basedOn w:val="TtuloCar"/>
    <w:link w:val="carrera1"/>
    <w:qFormat/>
    <w:rPr>
      <w:rFonts w:ascii="Arial" w:hAnsi="Arial" w:eastAsia="Arial" w:cs="Arial" w:cstheme="majorBidi" w:eastAsiaTheme="majorEastAsia"/>
      <w:b/>
      <w:color w:themeColor="text1" w:themeTint="80" w:val="7F7F7F"/>
      <w:spacing w:val="-10"/>
      <w:sz w:val="56"/>
      <w:szCs w:val="56"/>
      <w14:ligatures w14:val="none"/>
    </w:rPr>
  </w:style>
  <w:style w:type="character" w:styleId="carrera2Car" w:customStyle="1">
    <w:name w:val="carrera2 Car"/>
    <w:basedOn w:val="carrera1Car"/>
    <w:link w:val="carrera2"/>
    <w:qFormat/>
    <w:rPr>
      <w:rFonts w:ascii="Arial" w:hAnsi="Arial" w:eastAsia="Arial" w:cs="Arial" w:cstheme="majorBidi" w:eastAsiaTheme="majorEastAsia"/>
      <w:b/>
      <w:color w:themeColor="text1" w:themeTint="bf" w:val="404040"/>
      <w:spacing w:val="-10"/>
      <w:sz w:val="90"/>
      <w:szCs w:val="90"/>
      <w14:ligatures w14:val="none"/>
    </w:rPr>
  </w:style>
  <w:style w:type="character" w:styleId="Ttulo1Car" w:customStyle="1">
    <w:name w:val="Título 1 Car"/>
    <w:basedOn w:val="DefaultParagraphFont"/>
    <w:link w:val="Heading1"/>
    <w:uiPriority w:val="9"/>
    <w:qFormat/>
    <w:rPr>
      <w:rFonts w:ascii="Arial" w:hAnsi="Arial" w:eastAsia="Arial" w:cs="Arial" w:cstheme="majorBidi" w:eastAsiaTheme="majorEastAsia"/>
      <w:b/>
      <w:color w:themeColor="text1" w:themeTint="bf" w:val="404040"/>
      <w:sz w:val="44"/>
      <w:szCs w:val="32"/>
      <w14:ligatures w14:val="none"/>
    </w:rPr>
  </w:style>
  <w:style w:type="character" w:styleId="Hyperlink">
    <w:name w:val="Hyperlink"/>
    <w:basedOn w:val="DefaultParagraphFont"/>
    <w:uiPriority w:val="99"/>
    <w:unhideWhenUsed/>
    <w:rPr>
      <w:color w:themeColor="hyperlink" w:val="0563C1"/>
      <w:u w:val="single"/>
    </w:rPr>
  </w:style>
  <w:style w:type="character" w:styleId="Ttulo3Car" w:customStyle="1">
    <w:name w:val="Título 3 Car"/>
    <w:basedOn w:val="DefaultParagraphFont"/>
    <w:link w:val="Heading3"/>
    <w:uiPriority w:val="9"/>
    <w:qFormat/>
    <w:rPr>
      <w:rFonts w:ascii="Arial" w:hAnsi="Arial" w:asciiTheme="majorHAnsi" w:hAnsiTheme="majorHAnsi"/>
      <w:b/>
      <w:color w:themeColor="text1" w:themeTint="bf" w:val="404040"/>
      <w:sz w:val="24"/>
      <w:szCs w:val="24"/>
    </w:rPr>
  </w:style>
  <w:style w:type="character" w:styleId="EncabezadoCar" w:customStyle="1">
    <w:name w:val="Encabezado Car"/>
    <w:basedOn w:val="DefaultParagraphFont"/>
    <w:link w:val="Header"/>
    <w:uiPriority w:val="99"/>
    <w:qFormat/>
    <w:rPr/>
  </w:style>
  <w:style w:type="character" w:styleId="PiedepginaCar" w:customStyle="1">
    <w:name w:val="Pie de página Car"/>
    <w:basedOn w:val="DefaultParagraphFont"/>
    <w:link w:val="Footer"/>
    <w:uiPriority w:val="99"/>
    <w:qFormat/>
    <w:rPr/>
  </w:style>
  <w:style w:type="character" w:styleId="SubtleReference">
    <w:name w:val="Subtle Reference"/>
    <w:basedOn w:val="DefaultParagraphFont"/>
    <w:uiPriority w:val="31"/>
    <w:qFormat/>
    <w:rPr>
      <w:smallCaps/>
      <w:color w:themeColor="text1" w:themeTint="a5" w:val="5A5A5A"/>
    </w:rPr>
  </w:style>
  <w:style w:type="character" w:styleId="PrrafodelistaCar" w:customStyle="1">
    <w:name w:val="Párrafo de lista Car"/>
    <w:link w:val="ListParagraph"/>
    <w:uiPriority w:val="34"/>
    <w:qFormat/>
    <w:rPr>
      <w:rFonts w:ascii="Arial" w:hAnsi="Arial"/>
      <w:color w:themeColor="text1" w:themeTint="bf" w:val="404040"/>
      <w:sz w:val="24"/>
      <w14:ligatures w14:val="none"/>
    </w:rPr>
  </w:style>
  <w:style w:type="character" w:styleId="Ttulo2Car" w:customStyle="1">
    <w:name w:val="Título 2 Car"/>
    <w:basedOn w:val="DefaultParagraphFont"/>
    <w:link w:val="Heading2"/>
    <w:uiPriority w:val="9"/>
    <w:qFormat/>
    <w:rPr>
      <w:rFonts w:ascii="Arial" w:hAnsi="Arial" w:eastAsia="Arial" w:cs="Arial" w:cstheme="majorBidi" w:eastAsiaTheme="majorEastAsia"/>
      <w:b/>
      <w:color w:themeColor="text1" w:themeTint="bf" w:val="404040"/>
      <w:sz w:val="32"/>
      <w:szCs w:val="26"/>
    </w:rPr>
  </w:style>
  <w:style w:type="character" w:styleId="CitaCar" w:customStyle="1">
    <w:name w:val="Cita Car"/>
    <w:basedOn w:val="DefaultParagraphFont"/>
    <w:link w:val="Quote"/>
    <w:uiPriority w:val="29"/>
    <w:qFormat/>
    <w:rPr>
      <w:rFonts w:ascii="Arial" w:hAnsi="Arial"/>
      <w:i/>
      <w:iCs/>
      <w:color w:themeColor="text1" w:themeTint="bf" w:val="404040"/>
      <w:sz w:val="24"/>
    </w:rPr>
  </w:style>
  <w:style w:type="character" w:styleId="CitadestacadaCar" w:customStyle="1">
    <w:name w:val="Cita destacada Car"/>
    <w:basedOn w:val="DefaultParagraphFont"/>
    <w:link w:val="IntenseQuote"/>
    <w:uiPriority w:val="30"/>
    <w:qFormat/>
    <w:rPr>
      <w:rFonts w:ascii="Arial" w:hAnsi="Arial"/>
      <w:i/>
      <w:iCs/>
      <w:color w:themeColor="accent1" w:val="4472C4"/>
      <w:sz w:val="24"/>
    </w:rPr>
  </w:style>
  <w:style w:type="character" w:styleId="FollowedHyperlink">
    <w:name w:val="FollowedHyperlink"/>
    <w:basedOn w:val="DefaultParagraphFont"/>
    <w:uiPriority w:val="99"/>
    <w:semiHidden/>
    <w:unhideWhenUsed/>
    <w:rPr>
      <w:color w:themeColor="followedHyperlink" w:val="954F72"/>
      <w:u w:val="single"/>
    </w:rPr>
  </w:style>
  <w:style w:type="character" w:styleId="titulo-tablaCar" w:customStyle="1">
    <w:name w:val="titulo-tabla Car"/>
    <w:basedOn w:val="DefaultParagraphFont"/>
    <w:link w:val="titulo-tabla"/>
    <w:qFormat/>
    <w:rPr>
      <w:rFonts w:ascii="Arial" w:hAnsi="Arial"/>
      <w:b/>
      <w:bCs/>
      <w:color w:themeColor="text1" w:themeTint="bf" w:val="404040"/>
      <w:sz w:val="24"/>
      <w14:ligatures w14:val="none"/>
    </w:rPr>
  </w:style>
  <w:style w:type="character" w:styleId="Strong">
    <w:name w:val="Strong"/>
    <w:basedOn w:val="DefaultParagraphFont"/>
    <w:uiPriority w:val="22"/>
    <w:qFormat/>
    <w:rPr>
      <w:b/>
      <w:bCs/>
    </w:rPr>
  </w:style>
  <w:style w:type="character" w:styleId="IntenseReference">
    <w:name w:val="Intense Reference"/>
    <w:basedOn w:val="DefaultParagraphFont"/>
    <w:uiPriority w:val="32"/>
    <w:qFormat/>
    <w:rPr>
      <w:b/>
      <w:bCs/>
      <w:smallCaps/>
      <w:color w:themeColor="accent1" w:val="4472C4"/>
      <w:spacing w:val="5"/>
    </w:rPr>
  </w:style>
  <w:style w:type="character" w:styleId="UnresolvedMention">
    <w:name w:val="Unresolved Mention"/>
    <w:basedOn w:val="DefaultParagraphFont"/>
    <w:uiPriority w:val="99"/>
    <w:semiHidden/>
    <w:unhideWhenUsed/>
    <w:qFormat/>
    <w:rPr>
      <w:color w:val="605E5C"/>
      <w:shd w:fill="E1DFDD" w:val="clear"/>
    </w:rPr>
  </w:style>
  <w:style w:type="character" w:styleId="annotationreference">
    <w:name w:val="annotation reference"/>
    <w:basedOn w:val="DefaultParagraphFont"/>
    <w:uiPriority w:val="99"/>
    <w:semiHidden/>
    <w:unhideWhenUsed/>
    <w:qFormat/>
    <w:rPr>
      <w:sz w:val="16"/>
      <w:szCs w:val="16"/>
    </w:rPr>
  </w:style>
  <w:style w:type="character" w:styleId="TextocomentarioCar" w:customStyle="1">
    <w:name w:val="Texto comentario Car"/>
    <w:basedOn w:val="DefaultParagraphFont"/>
    <w:link w:val="AnnotationText"/>
    <w:uiPriority w:val="99"/>
    <w:qFormat/>
    <w:rPr>
      <w:rFonts w:ascii="Arial" w:hAnsi="Arial"/>
      <w:color w:themeColor="text1" w:themeTint="bf" w:val="404040"/>
      <w:sz w:val="20"/>
      <w:szCs w:val="20"/>
      <w14:ligatures w14:val="none"/>
    </w:rPr>
  </w:style>
  <w:style w:type="character" w:styleId="FormatoimportanteCar" w:customStyle="1">
    <w:name w:val="Formato importante Car"/>
    <w:basedOn w:val="DefaultParagraphFont"/>
    <w:link w:val="Formatoimportante"/>
    <w:qFormat/>
    <w:rPr>
      <w:rFonts w:ascii="Arial" w:hAnsi="Arial"/>
      <w:bCs/>
      <w:color w:themeColor="text1" w:themeTint="bf" w:val="404040"/>
      <w:sz w:val="24"/>
      <w14:ligatures w14:val="none"/>
    </w:rPr>
  </w:style>
  <w:style w:type="character" w:styleId="bb-file-viewer-file-text" w:customStyle="1">
    <w:name w:val="bb-file-viewer-file-text"/>
    <w:basedOn w:val="DefaultParagraphFont"/>
    <w:uiPriority w:val="1"/>
    <w:qFormat/>
    <w:rPr/>
  </w:style>
  <w:style w:type="character" w:styleId="AsuntodelcomentarioCar" w:customStyle="1">
    <w:name w:val="Asunto del comentario Car"/>
    <w:basedOn w:val="TextocomentarioCar"/>
    <w:link w:val="annotationsubject"/>
    <w:uiPriority w:val="99"/>
    <w:semiHidden/>
    <w:qFormat/>
    <w:rPr>
      <w:rFonts w:ascii="Arial" w:hAnsi="Arial"/>
      <w:b/>
      <w:bCs/>
      <w:color w:themeColor="text1" w:themeTint="bf" w:val="404040"/>
      <w:sz w:val="20"/>
      <w:szCs w:val="20"/>
      <w14:ligatures w14:val="none"/>
    </w:rPr>
  </w:style>
  <w:style w:type="character" w:styleId="SubttuloCar" w:customStyle="1">
    <w:name w:val="Subtítulo Car"/>
    <w:basedOn w:val="DefaultParagraphFont"/>
    <w:link w:val="Subtitle"/>
    <w:uiPriority w:val="11"/>
    <w:qFormat/>
    <w:rPr>
      <w:rFonts w:ascii="Arial" w:hAnsi="Arial" w:eastAsia="Arial" w:eastAsiaTheme="minorEastAsia"/>
      <w:b/>
      <w:bCs/>
      <w:i/>
      <w:iCs/>
      <w:color w:themeColor="text1" w:themeTint="bf" w:val="404040"/>
      <w:sz w:val="24"/>
    </w:rPr>
  </w:style>
  <w:style w:type="character" w:styleId="SubtleEmphasis">
    <w:name w:val="Subtle Emphasis"/>
    <w:basedOn w:val="DefaultParagraphFont"/>
    <w:uiPriority w:val="19"/>
    <w:qFormat/>
    <w:rPr>
      <w:i/>
      <w:iCs/>
      <w:color w:themeColor="text1" w:themeTint="bf" w:val="40404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next w:val="Normal"/>
    <w:uiPriority w:val="35"/>
    <w:unhideWhenUsed/>
    <w:qFormat/>
    <w:pPr>
      <w:spacing w:lineRule="auto" w:line="240" w:before="0" w:after="200"/>
    </w:pPr>
    <w:rPr>
      <w:i/>
      <w:iCs/>
      <w:color w:themeColor="text2" w:val="0E2841"/>
      <w:sz w:val="18"/>
      <w:szCs w:val="18"/>
    </w:rPr>
  </w:style>
  <w:style w:type="paragraph" w:styleId="Index">
    <w:name w:val="Index"/>
    <w:basedOn w:val="Normal"/>
    <w:qFormat/>
    <w:pPr>
      <w:suppressLineNumbers/>
    </w:pPr>
    <w:rPr>
      <w:rFonts w:cs="FreeSans"/>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TOC3">
    <w:name w:val="TOC 3"/>
    <w:basedOn w:val="Normal"/>
    <w:next w:val="Normal"/>
    <w:uiPriority w:val="39"/>
    <w:unhideWhenUsed/>
    <w:pPr>
      <w:spacing w:before="0" w:after="100"/>
      <w:ind w:left="440"/>
    </w:pPr>
    <w:rPr/>
  </w:style>
  <w:style w:type="paragraph" w:styleId="TOC4">
    <w:name w:val="TOC 4"/>
    <w:basedOn w:val="Normal"/>
    <w:next w:val="Normal"/>
    <w:uiPriority w:val="39"/>
    <w:unhideWhenUsed/>
    <w:pPr>
      <w:spacing w:before="0" w:after="100"/>
      <w:ind w:left="660"/>
    </w:pPr>
    <w:rPr/>
  </w:style>
  <w:style w:type="paragraph" w:styleId="TOC5">
    <w:name w:val="TOC 5"/>
    <w:basedOn w:val="Normal"/>
    <w:next w:val="Normal"/>
    <w:uiPriority w:val="39"/>
    <w:unhideWhenUsed/>
    <w:pPr>
      <w:spacing w:before="0" w:after="100"/>
      <w:ind w:left="880"/>
    </w:pPr>
    <w:rPr/>
  </w:style>
  <w:style w:type="paragraph" w:styleId="TOC6">
    <w:name w:val="TOC 6"/>
    <w:basedOn w:val="Normal"/>
    <w:next w:val="Normal"/>
    <w:uiPriority w:val="39"/>
    <w:unhideWhenUsed/>
    <w:pPr>
      <w:spacing w:before="0" w:after="100"/>
      <w:ind w:left="1100"/>
    </w:pPr>
    <w:rPr/>
  </w:style>
  <w:style w:type="paragraph" w:styleId="TOC7">
    <w:name w:val="TOC 7"/>
    <w:basedOn w:val="Normal"/>
    <w:next w:val="Normal"/>
    <w:uiPriority w:val="39"/>
    <w:unhideWhenUsed/>
    <w:pPr>
      <w:spacing w:before="0" w:after="100"/>
      <w:ind w:left="1320"/>
    </w:pPr>
    <w:rPr/>
  </w:style>
  <w:style w:type="paragraph" w:styleId="TOC8">
    <w:name w:val="TOC 8"/>
    <w:basedOn w:val="Normal"/>
    <w:next w:val="Normal"/>
    <w:uiPriority w:val="39"/>
    <w:unhideWhenUsed/>
    <w:pPr>
      <w:spacing w:before="0" w:after="100"/>
      <w:ind w:left="1540"/>
    </w:pPr>
    <w:rPr/>
  </w:style>
  <w:style w:type="paragraph" w:styleId="TOC9">
    <w:name w:val="TOC 9"/>
    <w:basedOn w:val="Normal"/>
    <w:next w:val="Normal"/>
    <w:uiPriority w:val="39"/>
    <w:unhideWhenUsed/>
    <w:pPr>
      <w:spacing w:before="0" w:after="100"/>
      <w:ind w:left="1760"/>
    </w:pPr>
    <w:rPr/>
  </w:style>
  <w:style w:type="paragraph" w:styleId="IndexHeading">
    <w:name w:val="Index Heading"/>
    <w:basedOn w:val="Heading"/>
    <w:pPr/>
    <w:rPr/>
  </w:style>
  <w:style w:type="paragraph" w:styleId="TOCHeading">
    <w:name w:val="TOC Heading"/>
    <w:uiPriority w:val="39"/>
    <w:unhideWhenUsed/>
    <w:qFormat/>
    <w:pPr>
      <w:widowControl/>
      <w:bidi w:val="0"/>
      <w:spacing w:lineRule="auto" w:line="360" w:beforeAutospacing="0" w:before="0" w:afterAutospacing="0" w:after="160"/>
      <w:ind w:hanging="0" w:left="459" w:right="0"/>
      <w:jc w:val="left"/>
    </w:pPr>
    <w:rPr>
      <w:rFonts w:ascii="Arial" w:hAnsi="Arial" w:eastAsia="Arial" w:cs="Arial" w:asciiTheme="minorHAnsi" w:cstheme="minorBidi" w:eastAsiaTheme="minorHAnsi" w:hAnsiTheme="minorHAnsi"/>
      <w:color w:val="auto"/>
      <w:kern w:val="0"/>
      <w:sz w:val="22"/>
      <w:szCs w:val="22"/>
      <w:lang w:val="es-CL" w:eastAsia="en-US" w:bidi="ar-SA"/>
      <w14:ligatures w14:val="standardContextual"/>
    </w:rPr>
  </w:style>
  <w:style w:type="paragraph" w:styleId="TableofFigures">
    <w:name w:val="Table of Figures"/>
    <w:basedOn w:val="Normal"/>
    <w:next w:val="Normal"/>
    <w:uiPriority w:val="99"/>
    <w:unhideWhenUsed/>
    <w:pPr>
      <w:spacing w:before="0" w:afterAutospacing="0" w:after="0"/>
    </w:pPr>
    <w:rPr/>
  </w:style>
  <w:style w:type="paragraph" w:styleId="Title">
    <w:name w:val="Title"/>
    <w:basedOn w:val="Normal"/>
    <w:next w:val="Normal"/>
    <w:link w:val="TtuloCar"/>
    <w:uiPriority w:val="10"/>
    <w:qFormat/>
    <w:pPr>
      <w:spacing w:lineRule="auto" w:line="240" w:before="120" w:after="120"/>
      <w:contextualSpacing/>
    </w:pPr>
    <w:rPr>
      <w:rFonts w:eastAsia="Arial" w:cs="Arial" w:cstheme="majorBidi" w:eastAsiaTheme="majorEastAsia"/>
      <w:b/>
      <w:spacing w:val="-10"/>
      <w:sz w:val="56"/>
      <w:szCs w:val="56"/>
      <w14:ligatures w14:val="none"/>
    </w:rPr>
  </w:style>
  <w:style w:type="paragraph" w:styleId="Bajada-portada" w:customStyle="1">
    <w:name w:val="Bajada-portada"/>
    <w:basedOn w:val="Normal"/>
    <w:qFormat/>
    <w:pPr/>
    <w:rPr>
      <w:sz w:val="44"/>
      <w14:ligatures w14:val="none"/>
    </w:rPr>
  </w:style>
  <w:style w:type="paragraph" w:styleId="carrera1" w:customStyle="1">
    <w:name w:val="carrera1"/>
    <w:basedOn w:val="Title"/>
    <w:next w:val="carrera2"/>
    <w:link w:val="carrera1Car"/>
    <w:qFormat/>
    <w:pPr/>
    <w:rPr>
      <w:color w:themeColor="text1" w:themeTint="80" w:val="7F7F7F"/>
    </w:rPr>
  </w:style>
  <w:style w:type="paragraph" w:styleId="carrera2" w:customStyle="1">
    <w:name w:val="carrera2"/>
    <w:link w:val="carrera2Car"/>
    <w:qFormat/>
    <w:pPr>
      <w:widowControl/>
      <w:bidi w:val="0"/>
      <w:spacing w:lineRule="auto" w:line="240" w:beforeAutospacing="0" w:before="0" w:afterAutospacing="0" w:after="160"/>
      <w:ind w:hanging="0" w:left="0" w:right="0"/>
      <w:jc w:val="left"/>
    </w:pPr>
    <w:rPr>
      <w:rFonts w:ascii="Arial" w:hAnsi="Arial" w:eastAsia="Arial" w:cs="Arial" w:cstheme="majorBidi" w:eastAsiaTheme="majorEastAsia"/>
      <w:b/>
      <w:color w:themeColor="text1" w:themeTint="bf" w:val="404040"/>
      <w:spacing w:val="-10"/>
      <w:kern w:val="0"/>
      <w:sz w:val="90"/>
      <w:szCs w:val="90"/>
      <w:lang w:val="es-CL" w:eastAsia="en-US" w:bidi="ar-SA"/>
      <w14:ligatures w14:val="none"/>
    </w:rPr>
  </w:style>
  <w:style w:type="paragraph" w:styleId="HeaderandFooter">
    <w:name w:val="Header and Footer"/>
    <w:basedOn w:val="Normal"/>
    <w:qFormat/>
    <w:pPr/>
    <w:rPr/>
  </w:style>
  <w:style w:type="paragraph" w:styleId="Header">
    <w:name w:val="Header"/>
    <w:basedOn w:val="Normal"/>
    <w:link w:val="EncabezadoCar"/>
    <w:uiPriority w:val="99"/>
    <w:unhideWhenUsed/>
    <w:pPr>
      <w:tabs>
        <w:tab w:val="clear" w:pos="708"/>
        <w:tab w:val="center" w:pos="4419" w:leader="none"/>
        <w:tab w:val="right" w:pos="8838" w:leader="none"/>
      </w:tabs>
      <w:spacing w:lineRule="auto" w:line="240"/>
    </w:pPr>
    <w:rPr/>
  </w:style>
  <w:style w:type="paragraph" w:styleId="Footer">
    <w:name w:val="Footer"/>
    <w:basedOn w:val="Normal"/>
    <w:link w:val="PiedepginaCar"/>
    <w:uiPriority w:val="99"/>
    <w:unhideWhenUsed/>
    <w:pPr>
      <w:tabs>
        <w:tab w:val="clear" w:pos="708"/>
        <w:tab w:val="center" w:pos="4419" w:leader="none"/>
        <w:tab w:val="right" w:pos="8838" w:leader="none"/>
      </w:tabs>
      <w:spacing w:lineRule="auto" w:line="240"/>
    </w:pPr>
    <w:rPr/>
  </w:style>
  <w:style w:type="paragraph" w:styleId="Ttulocabeceraypie" w:customStyle="1">
    <w:name w:val="Título cabecera y pie"/>
    <w:basedOn w:val="Normal"/>
    <w:qFormat/>
    <w:pPr>
      <w:spacing w:lineRule="auto" w:line="240"/>
    </w:pPr>
    <w:rPr>
      <w:rFonts w:cs="Arial"/>
      <w:b/>
      <w:lang w:val="es-ES"/>
      <w14:ligatures w14:val="none"/>
    </w:rPr>
  </w:style>
  <w:style w:type="paragraph" w:styleId="ListParagraph">
    <w:name w:val="List Paragraph"/>
    <w:basedOn w:val="Normal"/>
    <w:link w:val="PrrafodelistaCar"/>
    <w:uiPriority w:val="34"/>
    <w:qFormat/>
    <w:pPr>
      <w:numPr>
        <w:ilvl w:val="0"/>
        <w:numId w:val="1"/>
      </w:numPr>
      <w:spacing w:before="0" w:after="0"/>
      <w:ind w:left="360"/>
      <w:contextualSpacing/>
    </w:pPr>
    <w:rPr>
      <w14:ligatures w14:val="none"/>
    </w:rPr>
  </w:style>
  <w:style w:type="paragraph" w:styleId="TOC1">
    <w:name w:val="TOC 1"/>
    <w:basedOn w:val="Normal"/>
    <w:next w:val="Normal"/>
    <w:uiPriority w:val="39"/>
    <w:unhideWhenUsed/>
    <w:pPr>
      <w:spacing w:before="0" w:after="100"/>
    </w:pPr>
    <w:rPr/>
  </w:style>
  <w:style w:type="paragraph" w:styleId="Quote">
    <w:name w:val="Quote"/>
    <w:basedOn w:val="Normal"/>
    <w:next w:val="Normal"/>
    <w:link w:val="CitaCar"/>
    <w:uiPriority w:val="29"/>
    <w:qFormat/>
    <w:pPr>
      <w:spacing w:before="200" w:after="0"/>
      <w:ind w:left="864" w:right="864"/>
      <w:jc w:val="center"/>
    </w:pPr>
    <w:rPr>
      <w:i/>
      <w:iCs/>
    </w:rPr>
  </w:style>
  <w:style w:type="paragraph" w:styleId="TOC2">
    <w:name w:val="TOC 2"/>
    <w:basedOn w:val="Normal"/>
    <w:next w:val="Normal"/>
    <w:uiPriority w:val="39"/>
    <w:unhideWhenUsed/>
    <w:pPr>
      <w:spacing w:before="0" w:after="100"/>
      <w:ind w:left="708"/>
    </w:pPr>
    <w:rPr/>
  </w:style>
  <w:style w:type="paragraph" w:styleId="paragraph" w:customStyle="1">
    <w:name w:val="paragraph"/>
    <w:basedOn w:val="Normal"/>
    <w:qFormat/>
    <w:pPr>
      <w:spacing w:lineRule="auto" w:line="240" w:beforeAutospacing="1" w:afterAutospacing="1"/>
    </w:pPr>
    <w:rPr>
      <w:rFonts w:ascii="Times New Roman" w:hAnsi="Times New Roman" w:eastAsia="Times New Roman" w:cs="Times New Roman"/>
      <w:color w:themeColor="text1" w:themeTint="bf" w:val="auto"/>
      <w:szCs w:val="24"/>
      <w:lang w:eastAsia="es-CL"/>
      <w14:ligatures w14:val="none"/>
    </w:rPr>
  </w:style>
  <w:style w:type="paragraph" w:styleId="titulo-tabla" w:customStyle="1">
    <w:name w:val="titulo-tabla"/>
    <w:basedOn w:val="Normal"/>
    <w:link w:val="titulo-tablaCar"/>
    <w:qFormat/>
    <w:pPr>
      <w:spacing w:lineRule="auto" w:line="276" w:before="120" w:after="120"/>
    </w:pPr>
    <w:rPr>
      <w:b/>
      <w:bCs/>
      <w14:ligatures w14:val="none"/>
    </w:rPr>
  </w:style>
  <w:style w:type="paragraph" w:styleId="IntenseQuote">
    <w:name w:val="Intense Quote"/>
    <w:basedOn w:val="Normal"/>
    <w:next w:val="Normal"/>
    <w:link w:val="CitadestacadaCar"/>
    <w:uiPriority w:val="30"/>
    <w:qFormat/>
    <w:pPr>
      <w:pBdr>
        <w:top w:val="single" w:sz="4" w:space="10" w:color="4472C4" w:themeColor="accent1"/>
        <w:bottom w:val="single" w:sz="4" w:space="10" w:color="4472C4" w:themeColor="accent1"/>
      </w:pBdr>
      <w:spacing w:before="360" w:after="360"/>
      <w:ind w:left="864" w:right="864"/>
      <w:jc w:val="center"/>
    </w:pPr>
    <w:rPr>
      <w:i/>
      <w:iCs/>
      <w:color w:themeColor="accent1" w:val="4472C4"/>
    </w:rPr>
  </w:style>
  <w:style w:type="paragraph" w:styleId="texto-tabla" w:customStyle="1">
    <w:name w:val="texto-tabla"/>
    <w:basedOn w:val="Normal"/>
    <w:qFormat/>
    <w:pPr>
      <w:spacing w:lineRule="auto" w:line="276" w:before="120" w:after="240"/>
    </w:pPr>
    <w:rPr>
      <w14:ligatures w14:val="none"/>
    </w:rPr>
  </w:style>
  <w:style w:type="paragraph" w:styleId="Avisolegal" w:customStyle="1">
    <w:name w:val="Aviso legal"/>
    <w:basedOn w:val="Normal"/>
    <w:qFormat/>
    <w:pPr>
      <w:spacing w:lineRule="auto" w:line="276"/>
      <w:jc w:val="center"/>
    </w:pPr>
    <w:rPr>
      <w:sz w:val="20"/>
      <w14:ligatures w14:val="none"/>
    </w:rPr>
  </w:style>
  <w:style w:type="paragraph" w:styleId="BajadaTtulo" w:customStyle="1">
    <w:name w:val="Bajada Título"/>
    <w:basedOn w:val="Normal"/>
    <w:qFormat/>
    <w:pPr>
      <w:spacing w:before="0" w:after="160"/>
    </w:pPr>
    <w:rPr>
      <w:sz w:val="44"/>
      <w14:ligatures w14:val="none"/>
    </w:rPr>
  </w:style>
  <w:style w:type="paragraph" w:styleId="Epgrafe" w:customStyle="1">
    <w:name w:val="Epígrafe"/>
    <w:basedOn w:val="Normal"/>
    <w:qFormat/>
    <w:pPr>
      <w:spacing w:before="0" w:after="160"/>
    </w:pPr>
    <w:rPr>
      <w:b/>
      <w:bCs/>
      <w:sz w:val="36"/>
      <w:szCs w:val="36"/>
      <w14:ligatures w14:val="none"/>
    </w:rPr>
  </w:style>
  <w:style w:type="paragraph" w:styleId="lista-tabla" w:customStyle="1">
    <w:name w:val="lista-tabla"/>
    <w:basedOn w:val="texto-tabla"/>
    <w:next w:val="texto-tabla"/>
    <w:qFormat/>
    <w:pPr>
      <w:numPr>
        <w:ilvl w:val="0"/>
        <w:numId w:val="2"/>
      </w:numPr>
      <w:ind w:hanging="357" w:left="357"/>
    </w:pPr>
    <w:rPr/>
  </w:style>
  <w:style w:type="paragraph" w:styleId="AnnotationText">
    <w:name w:val="Annotation Text"/>
    <w:basedOn w:val="Normal"/>
    <w:link w:val="TextocomentarioCar"/>
    <w:uiPriority w:val="99"/>
    <w:unhideWhenUsed/>
    <w:pPr>
      <w:spacing w:lineRule="auto" w:line="240" w:before="0" w:after="160"/>
    </w:pPr>
    <w:rPr>
      <w:sz w:val="20"/>
      <w:szCs w:val="20"/>
      <w14:ligatures w14:val="none"/>
    </w:rPr>
  </w:style>
  <w:style w:type="paragraph" w:styleId="NoSpacing">
    <w:name w:val="No Spacing"/>
    <w:uiPriority w:val="1"/>
    <w:qFormat/>
    <w:pPr>
      <w:widowControl/>
      <w:bidi w:val="0"/>
      <w:spacing w:lineRule="auto" w:line="240" w:beforeAutospacing="0" w:before="0" w:afterAutospacing="0" w:after="0"/>
      <w:ind w:hanging="0" w:left="0" w:right="0"/>
      <w:jc w:val="left"/>
    </w:pPr>
    <w:rPr>
      <w:rFonts w:ascii="Arial" w:hAnsi="Arial" w:eastAsia="Arial" w:cs="Arial"/>
      <w:color w:val="auto"/>
      <w:kern w:val="0"/>
      <w:sz w:val="22"/>
      <w:szCs w:val="22"/>
      <w:lang w:val="es-CL" w:eastAsia="en-US" w:bidi="ar-SA"/>
      <w14:ligatures w14:val="none"/>
    </w:rPr>
  </w:style>
  <w:style w:type="paragraph" w:styleId="Formatoimportante" w:customStyle="1">
    <w:name w:val="Formato importante"/>
    <w:basedOn w:val="Normal"/>
    <w:link w:val="FormatoimportanteCar"/>
    <w:qFormat/>
    <w:pPr>
      <w:spacing w:before="160" w:after="160"/>
      <w:ind w:left="284" w:right="284"/>
    </w:pPr>
    <w:rPr>
      <w:bCs/>
      <w14:ligatures w14:val="none"/>
    </w:rPr>
  </w:style>
  <w:style w:type="paragraph" w:styleId="annotationsubject">
    <w:name w:val="annotation subject"/>
    <w:basedOn w:val="AnnotationText"/>
    <w:next w:val="AnnotationText"/>
    <w:link w:val="AsuntodelcomentarioCar"/>
    <w:uiPriority w:val="99"/>
    <w:semiHidden/>
    <w:unhideWhenUsed/>
    <w:qFormat/>
    <w:pPr/>
    <w:rPr>
      <w:b/>
      <w:bCs/>
    </w:rPr>
  </w:style>
  <w:style w:type="paragraph" w:styleId="Subtitle">
    <w:name w:val="Subtitle"/>
    <w:basedOn w:val="Normal"/>
    <w:next w:val="Normal"/>
    <w:link w:val="SubttuloCar"/>
    <w:uiPriority w:val="11"/>
    <w:qFormat/>
    <w:pPr>
      <w:spacing w:before="0" w:after="120"/>
    </w:pPr>
    <w:rPr>
      <w:rFonts w:eastAsia="Arial" w:eastAsiaTheme="minorEastAsia"/>
      <w:b/>
      <w:bCs/>
      <w:i/>
      <w:iCs/>
    </w:rPr>
  </w:style>
  <w:style w:type="paragraph" w:styleId="portada-bajada" w:customStyle="1">
    <w:name w:val="portada-bajada"/>
    <w:basedOn w:val="Normal"/>
    <w:qFormat/>
    <w:pPr>
      <w:spacing w:before="0" w:after="160"/>
    </w:pPr>
    <w:rPr>
      <w:sz w:val="44"/>
      <w14:ligatures w14:val="none"/>
    </w:rPr>
  </w:style>
  <w:style w:type="paragraph" w:styleId="portada-semana" w:customStyle="1">
    <w:name w:val="portada-semana"/>
    <w:basedOn w:val="portada-bajada"/>
    <w:next w:val="Normal"/>
    <w:qFormat/>
    <w:pPr>
      <w:spacing w:lineRule="auto" w:line="240" w:before="0" w:after="120"/>
    </w:pPr>
    <w:rPr>
      <w:bCs/>
      <w:sz w:val="36"/>
    </w:rPr>
  </w:style>
  <w:style w:type="paragraph" w:styleId="Normalparrafoslargos" w:customStyle="1">
    <w:name w:val="Normal parrafos largos"/>
    <w:basedOn w:val="Normal"/>
    <w:qFormat/>
    <w:pPr>
      <w:spacing w:lineRule="auto" w:line="276" w:before="0" w:after="160"/>
    </w:pPr>
    <w:rPr>
      <w:bCs/>
      <w14:ligatures w14:val="none"/>
    </w:rPr>
  </w:style>
  <w:style w:type="numbering" w:styleId="NoList" w:default="1">
    <w:name w:val="No List"/>
    <w:uiPriority w:val="99"/>
    <w:semiHidden/>
    <w:unhideWhenUsed/>
    <w:qFormat/>
  </w:style>
  <w:style w:type="table" w:styleId="13">
    <w:name w:val="Table Grid Light"/>
    <w:basedOn w:val="771"/>
    <w:uiPriority w:val="59"/>
    <w:pPr>
      <w:spacing w:after="0" w:line="240" w:lineRule="auto"/>
    </w:pPr>
    <w:tblP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blStylePr w:type="band1Horz">
      <w:pPr/>
      <w:tblPr/>
      <w:tcPr/>
    </w:tblStylePr>
    <w:tblStylePr w:type="band1Vert">
      <w:pPr/>
      <w:tblPr/>
      <w:tcPr/>
    </w:tblStylePr>
    <w:tblStylePr w:type="band2Horz">
      <w:pPr/>
      <w:tblPr/>
      <w:tcPr/>
    </w:tblStylePr>
    <w:tblStylePr w:type="band2Vert">
      <w:pPr/>
      <w:tblPr/>
      <w:tcPr/>
    </w:tblStylePr>
    <w:tblStylePr w:type="firstCol">
      <w:pPr/>
      <w:tblPr/>
      <w:tcPr/>
    </w:tblStylePr>
    <w:tblStylePr w:type="firstRow">
      <w:pPr/>
      <w:tblPr/>
      <w:tcPr/>
    </w:tblStylePr>
    <w:tblStylePr w:type="lastCol">
      <w:pPr/>
      <w:tblPr/>
      <w:tcPr/>
    </w:tblStylePr>
    <w:tblStylePr w:type="lastRow">
      <w:p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4">
    <w:name w:val="Plain Table 1"/>
    <w:basedOn w:val="771"/>
    <w:uiPriority w:val="59"/>
    <w:pPr>
      <w:spacing w:after="0" w:line="240" w:lineRule="auto"/>
    </w:pPr>
    <w:tblP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blStylePr w:type="band1Horz">
      <w:pPr/>
      <w:tblPr/>
      <w:tcPr>
        <w:shd w:val="clear" w:color="FFFFFF" w:fill="F2F2F2" w:themeFill="text1" w:themeFillTint="d"/>
      </w:tcPr>
    </w:tblStylePr>
    <w:tblStylePr w:type="band1Vert">
      <w:pPr/>
      <w:tblPr/>
      <w:tcPr>
        <w:shd w:val="clear" w:color="FFFFFF" w:fill="F2F2F2" w:themeFill="text1" w:themeFillTint="d"/>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blStylePr>
    <w:tblStylePr w:type="lastCol">
      <w:pPr/>
      <w:rPr>
        <w:b/>
        <w:sz w:val="22"/>
      </w:rPr>
      <w:tblPr/>
      <w:tcPr/>
    </w:tblStylePr>
    <w:tblStylePr w:type="lastRow">
      <w:pPr/>
      <w:rPr>
        <w:b/>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5">
    <w:name w:val="Plain Table 2"/>
    <w:basedOn w:val="771"/>
    <w:uiPriority w:val="59"/>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blStylePr w:type="band1Horz">
      <w:pPr/>
      <w:tblPr/>
      <w:tcPr>
        <w:tcBorders>
          <w:top w:val="single" w:color="000000" w:themeColor="text1" w:sz="4" w:space="0"/>
          <w:bottom w:val="single" w:color="000000" w:themeColor="text1" w:sz="4" w:space="0"/>
        </w:tcBorders>
      </w:tcPr>
    </w:tblStylePr>
    <w:tblStylePr w:type="band1Vert">
      <w:pPr/>
      <w:tblPr/>
      <w:tcPr>
        <w:tcBorders>
          <w:left w:val="single" w:color="000000" w:themeColor="text1" w:sz="4" w:space="0"/>
          <w:right w:val="single" w:color="000000" w:themeColor="text1" w:sz="4" w:space="0"/>
        </w:tcBorders>
      </w:tcPr>
    </w:tblStylePr>
    <w:tblStylePr w:type="band2Horz">
      <w:pPr/>
      <w:tblPr/>
      <w:tcPr/>
    </w:tblStylePr>
    <w:tblStylePr w:type="band2Vert">
      <w:pPr/>
      <w:tblPr/>
      <w:tcPr>
        <w:tcBorders>
          <w:left w:val="single" w:color="000000" w:themeColor="text1" w:sz="4" w:space="0"/>
          <w:right w:val="single" w:color="000000" w:themeColor="text1" w:sz="4" w:space="0"/>
        </w:tcBorders>
      </w:tcPr>
    </w:tblStylePr>
    <w:tblStylePr w:type="firstCol">
      <w:pPr/>
      <w:rPr>
        <w:b/>
        <w:sz w:val="22"/>
      </w:rPr>
      <w:tblPr/>
      <w:tcPr/>
    </w:tblStylePr>
    <w:tblStylePr w:type="firstRow">
      <w:pPr/>
      <w:rPr>
        <w:b/>
        <w:sz w:val="22"/>
      </w:rPr>
      <w:tblPr/>
      <w:tcPr>
        <w:tcBorders>
          <w:top w:val="single" w:color="000000" w:themeColor="text1" w:sz="4" w:space="0"/>
          <w:bottom w:val="single" w:color="000000" w:themeColor="text1" w:sz="4" w:space="0"/>
        </w:tcBorders>
      </w:tcPr>
    </w:tblStylePr>
    <w:tblStylePr w:type="lastCol">
      <w:pPr/>
      <w:rPr>
        <w:b/>
        <w:sz w:val="22"/>
      </w:rPr>
      <w:tblPr/>
      <w:tcPr/>
    </w:tblStylePr>
    <w:tblStylePr w:type="lastRow">
      <w:pPr/>
      <w:rPr>
        <w:b/>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6">
    <w:name w:val="Plain Table 3"/>
    <w:basedOn w:val="771"/>
    <w:uiPriority w:val="99"/>
    <w:pPr>
      <w:spacing w:after="0" w:line="240" w:lineRule="auto"/>
    </w:pPr>
    <w:tblPr>
      <w:tblStyleRowBandSize w:val="1"/>
      <w:tblStyleColBandSize w:val="1"/>
    </w:tblPr>
    <w:tcPr/>
    <w:tblStylePr w:type="band1Horz">
      <w:pPr/>
      <w:rPr>
        <w:sz w:val="22"/>
      </w:rPr>
      <w:tblPr/>
      <w:tcPr>
        <w:shd w:val="clear" w:color="FFFFFF" w:fill="F2F2F2" w:themeFill="text1" w:themeFillTint="d"/>
      </w:tcPr>
    </w:tblStylePr>
    <w:tblStylePr w:type="band1Vert">
      <w:pPr/>
      <w:rPr>
        <w:sz w:val="22"/>
      </w:rPr>
      <w:tblPr/>
      <w:tcPr>
        <w:shd w:val="clear" w:color="FFFFFF" w:fill="F2F2F2" w:themeFill="text1" w:themeFillTint="d"/>
      </w:tcPr>
    </w:tblStylePr>
    <w:tblStylePr w:type="band2Horz">
      <w:pPr/>
      <w:tblPr/>
      <w:tcPr/>
    </w:tblStylePr>
    <w:tblStylePr w:type="band2Vert">
      <w:pPr/>
      <w:tblPr/>
      <w:tcPr/>
    </w:tblStylePr>
    <w:tblStylePr w:type="firstCol">
      <w:pPr/>
      <w:rPr>
        <w:b/>
        <w:caps/>
      </w:rPr>
      <w:tblPr/>
      <w:tcPr>
        <w:tcBorders>
          <w:top w:val="none" w:color="000000" w:sz="4" w:space="0"/>
          <w:left w:val="none" w:color="000000" w:sz="4" w:space="0"/>
          <w:bottom w:val="none" w:color="000000" w:sz="4" w:space="0"/>
          <w:right w:val="single" w:color="404040" w:sz="4" w:space="0"/>
        </w:tcBorders>
      </w:tcPr>
    </w:tblStylePr>
    <w:tblStylePr w:type="firstRow">
      <w:pPr/>
      <w:rPr>
        <w:b/>
        <w:caps/>
      </w:rPr>
      <w:tblPr/>
      <w:tcPr>
        <w:tcBorders>
          <w:top w:val="none" w:color="000000" w:sz="4" w:space="0"/>
          <w:left w:val="none" w:color="000000" w:sz="4" w:space="0"/>
          <w:bottom w:val="single" w:color="404040" w:sz="4" w:space="0"/>
          <w:right w:val="none" w:color="000000" w:sz="4" w:space="0"/>
        </w:tcBorders>
      </w:tcPr>
    </w:tblStylePr>
    <w:tblStylePr w:type="lastCol">
      <w:pPr/>
      <w:rPr>
        <w:b/>
        <w:caps/>
      </w:rPr>
      <w:tblPr/>
      <w:tcPr/>
    </w:tblStylePr>
    <w:tblStylePr w:type="lastRow">
      <w:pPr/>
      <w:rPr>
        <w:b/>
        <w:caps/>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7">
    <w:name w:val="Plain Table 4"/>
    <w:basedOn w:val="771"/>
    <w:uiPriority w:val="99"/>
    <w:pPr>
      <w:spacing w:after="0" w:line="240" w:lineRule="auto"/>
    </w:pPr>
    <w:tblPr>
      <w:tblStyleRowBandSize w:val="1"/>
      <w:tblStyleColBandSize w:val="1"/>
    </w:tblPr>
    <w:tcPr/>
    <w:tblStylePr w:type="band1Horz">
      <w:pPr/>
      <w:rPr>
        <w:sz w:val="22"/>
      </w:rPr>
      <w:tblPr/>
      <w:tcPr>
        <w:shd w:val="clear" w:color="FFFFFF" w:fill="F2F2F2" w:themeFill="text1" w:themeFillTint="d"/>
      </w:tcPr>
    </w:tblStylePr>
    <w:tblStylePr w:type="band1Vert">
      <w:pPr/>
      <w:rPr>
        <w:sz w:val="22"/>
      </w:rPr>
      <w:tblPr/>
      <w:tcPr>
        <w:shd w:val="clear" w:color="FFFFFF" w:fill="F2F2F2" w:themeFill="text1" w:themeFillTint="d"/>
      </w:tcPr>
    </w:tblStylePr>
    <w:tblStylePr w:type="band2Horz">
      <w:pPr/>
      <w:tblPr/>
      <w:tcPr/>
    </w:tblStylePr>
    <w:tblStylePr w:type="band2Vert">
      <w:pPr/>
      <w:tblPr/>
      <w:tcPr/>
    </w:tblStylePr>
    <w:tblStylePr w:type="firstCol">
      <w:pPr/>
      <w:rPr>
        <w:b/>
      </w:rPr>
      <w:tblPr/>
      <w:tcPr/>
    </w:tblStylePr>
    <w:tblStylePr w:type="firstRow">
      <w:pPr/>
      <w:rPr>
        <w:b/>
      </w:rPr>
      <w:tblPr/>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8">
    <w:name w:val="Plain Table 5"/>
    <w:basedOn w:val="771"/>
    <w:uiPriority w:val="99"/>
    <w:pPr>
      <w:spacing w:after="0" w:line="240" w:lineRule="auto"/>
    </w:pPr>
    <w:tblPr>
      <w:tblStyleRowBandSize w:val="1"/>
      <w:tblStyleColBandSize w:val="1"/>
    </w:tblPr>
    <w:tcPr/>
    <w:tblStylePr w:type="band1Horz">
      <w:pPr/>
      <w:rPr>
        <w:sz w:val="22"/>
      </w:rPr>
      <w:tblPr/>
      <w:tcPr>
        <w:shd w:val="clear" w:color="FFFFFF" w:fill="F2F2F2" w:themeFill="text1" w:themeFillTint="d"/>
      </w:tcPr>
    </w:tblStylePr>
    <w:tblStylePr w:type="band1Vert">
      <w:pPr/>
      <w:rPr>
        <w:sz w:val="22"/>
      </w:rPr>
      <w:tblPr/>
      <w:tcPr>
        <w:shd w:val="clear" w:color="FFFFFF" w:fill="F2F2F2" w:themeFill="text1" w:themeFillTint="d"/>
      </w:tcPr>
    </w:tblStylePr>
    <w:tblStylePr w:type="band2Horz">
      <w:pPr/>
      <w:tblPr/>
      <w:tcPr/>
    </w:tblStylePr>
    <w:tblStylePr w:type="band2Vert">
      <w:pPr/>
      <w:tblPr/>
      <w:tcPr/>
    </w:tblStylePr>
    <w:tblStylePr w:type="firstCol">
      <w:pPr>
        <w:jc w:val="right"/>
      </w:pPr>
      <w:rPr>
        <w:i/>
      </w:rPr>
      <w:tblPr/>
      <w:tcPr>
        <w:tcBorders>
          <w:right w:val="single" w:color="404040" w:sz="4" w:space="0"/>
        </w:tcBorders>
        <w:shd w:val="clear" w:color="FFFFFF"/>
      </w:tcPr>
    </w:tblStylePr>
    <w:tblStylePr w:type="firstRow">
      <w:pPr/>
      <w:rPr>
        <w:i/>
      </w:rPr>
      <w:tblPr/>
      <w:tcPr>
        <w:tcBorders>
          <w:left w:val="none" w:color="000000" w:sz="4" w:space="0"/>
          <w:bottom w:val="single" w:color="404040" w:sz="4" w:space="0"/>
          <w:right w:val="none" w:color="000000" w:sz="4" w:space="0"/>
        </w:tcBorders>
        <w:shd w:val="clear" w:color="FFFFFF"/>
      </w:tcPr>
    </w:tblStylePr>
    <w:tblStylePr w:type="lastCol">
      <w:pPr/>
      <w:rPr>
        <w:i/>
      </w:rPr>
      <w:tblPr/>
      <w:tcPr>
        <w:tcBorders>
          <w:left w:val="single" w:color="404040" w:sz="4" w:space="0"/>
        </w:tcBorders>
        <w:shd w:val="clear" w:color="FFFFFF"/>
      </w:tcPr>
    </w:tblStylePr>
    <w:tblStylePr w:type="lastRow">
      <w:pPr/>
      <w:rPr>
        <w:i/>
      </w:rPr>
      <w:tblPr/>
      <w:tcPr>
        <w:tcBorders>
          <w:top w:val="single" w:color="404040" w:sz="4" w:space="0"/>
          <w:left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9">
    <w:name w:val="Grid Table 1 Light"/>
    <w:basedOn w:val="771"/>
    <w:uiPriority w:val="99"/>
    <w:pPr>
      <w:spacing w:after="0" w:line="240" w:lineRule="auto"/>
    </w:pPr>
    <w:tblPr>
      <w:tblStyleRowBandSize w:val="1"/>
      <w:tblStyleColBandSize w:val="1"/>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blStylePr w:type="band1Horz">
      <w:pPr/>
      <w:rPr>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text1"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0">
    <w:name w:val="Grid Table 1 Light - Accent 1"/>
    <w:basedOn w:val="771"/>
    <w:uiPriority w:val="99"/>
    <w:pPr>
      <w:spacing w:after="0" w:line="240" w:lineRule="auto"/>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blStylePr w:type="band1Horz">
      <w:pPr/>
      <w:rPr>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1"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1">
    <w:name w:val="Grid Table 1 Light - Accent 2"/>
    <w:basedOn w:val="771"/>
    <w:uiPriority w:val="99"/>
    <w:pPr>
      <w:spacing w:after="0" w:line="240" w:lineRule="auto"/>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blStylePr w:type="band1Horz">
      <w:pPr/>
      <w:rPr>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2"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2">
    <w:name w:val="Grid Table 1 Light - Accent 3"/>
    <w:basedOn w:val="771"/>
    <w:uiPriority w:val="99"/>
    <w:pPr>
      <w:spacing w:after="0" w:line="240" w:lineRule="auto"/>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blStylePr w:type="band1Horz">
      <w:pPr/>
      <w:rPr>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3"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3">
    <w:name w:val="Grid Table 1 Light - Accent 4"/>
    <w:basedOn w:val="771"/>
    <w:uiPriority w:val="99"/>
    <w:pPr>
      <w:spacing w:after="0" w:line="240" w:lineRule="auto"/>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blStylePr w:type="band1Horz">
      <w:pPr/>
      <w:rPr>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4"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4">
    <w:name w:val="Grid Table 1 Light - Accent 5"/>
    <w:basedOn w:val="771"/>
    <w:uiPriority w:val="99"/>
    <w:pPr>
      <w:spacing w:after="0" w:line="240" w:lineRule="auto"/>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blStylePr w:type="band1Horz">
      <w:pPr/>
      <w:rPr>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5"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5">
    <w:name w:val="Grid Table 1 Light - Accent 6"/>
    <w:basedOn w:val="771"/>
    <w:uiPriority w:val="99"/>
    <w:pPr>
      <w:spacing w:after="0" w:line="240" w:lineRule="auto"/>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blStylePr w:type="band1Horz">
      <w:pPr/>
      <w:rPr>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6"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6">
    <w:name w:val="Grid Table 2"/>
    <w:basedOn w:val="771"/>
    <w:uiPriority w:val="99"/>
    <w:pPr>
      <w:spacing w:after="0" w:line="240" w:lineRule="auto"/>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cPr/>
    <w:tblStylePr w:type="band1Horz">
      <w:pPr/>
      <w:rPr>
        <w:sz w:val="22"/>
      </w:rPr>
      <w:tblPr/>
      <w:tcPr>
        <w:shd w:val="clear" w:color="FFFFFF" w:fill="CBCBCB" w:themeFill="text1" w:themeFillTint="34"/>
      </w:tcPr>
    </w:tblStylePr>
    <w:tblStylePr w:type="band1Vert">
      <w:pPr/>
      <w:rPr>
        <w:sz w:val="22"/>
      </w:rPr>
      <w:tblPr/>
      <w:tcPr>
        <w:shd w:val="clear" w:color="FFFFFF" w:fill="CBCBCB" w:themeFill="text1"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text1"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text1"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7">
    <w:name w:val="Grid Table 2 - Accent 1"/>
    <w:basedOn w:val="771"/>
    <w:uiPriority w:val="99"/>
    <w:pPr>
      <w:spacing w:after="0" w:line="240" w:lineRule="auto"/>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cPr/>
    <w:tblStylePr w:type="band1Horz">
      <w:pPr/>
      <w:rPr>
        <w:sz w:val="22"/>
      </w:rPr>
      <w:tblPr/>
      <w:tcPr>
        <w:shd w:val="clear" w:color="FFFFFF" w:fill="D9E2F3" w:themeFill="accent1" w:themeFillTint="34"/>
      </w:tcPr>
    </w:tblStylePr>
    <w:tblStylePr w:type="band1Vert">
      <w:pPr/>
      <w:rPr>
        <w:sz w:val="22"/>
      </w:rPr>
      <w:tblPr/>
      <w:tcPr>
        <w:shd w:val="clear" w:color="FFFFFF" w:fill="D9E2F3" w:themeFill="accent1"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1"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1"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8">
    <w:name w:val="Grid Table 2 - Accent 2"/>
    <w:basedOn w:val="771"/>
    <w:uiPriority w:val="99"/>
    <w:pPr>
      <w:spacing w:after="0" w:line="240" w:lineRule="auto"/>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cPr/>
    <w:tblStylePr w:type="band1Horz">
      <w:pPr/>
      <w:rPr>
        <w:sz w:val="22"/>
      </w:rPr>
      <w:tblPr/>
      <w:tcPr>
        <w:shd w:val="clear" w:color="FFFFFF" w:fill="FBE6D7" w:themeFill="accent2" w:themeFillTint="32"/>
      </w:tcPr>
    </w:tblStylePr>
    <w:tblStylePr w:type="band1Vert">
      <w:pPr/>
      <w:rPr>
        <w:sz w:val="22"/>
      </w:rPr>
      <w:tblPr/>
      <w:tcPr>
        <w:shd w:val="clear" w:color="FFFFFF" w:fill="FBE6D7" w:themeFill="accent2" w:themeFillTint="32"/>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2"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2"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29">
    <w:name w:val="Grid Table 2 - Accent 3"/>
    <w:basedOn w:val="771"/>
    <w:uiPriority w:val="99"/>
    <w:pPr>
      <w:spacing w:after="0" w:line="240" w:lineRule="auto"/>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cPr/>
    <w:tblStylePr w:type="band1Horz">
      <w:pPr/>
      <w:rPr>
        <w:sz w:val="22"/>
      </w:rPr>
      <w:tblPr/>
      <w:tcPr>
        <w:shd w:val="clear" w:color="FFFFFF" w:fill="EDEDED" w:themeFill="accent3" w:themeFillTint="34"/>
      </w:tcPr>
    </w:tblStylePr>
    <w:tblStylePr w:type="band1Vert">
      <w:pPr/>
      <w:rPr>
        <w:sz w:val="22"/>
      </w:rPr>
      <w:tblPr/>
      <w:tcPr>
        <w:shd w:val="clear" w:color="FFFFFF" w:fill="EDEDED" w:themeFill="accent3"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3"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3"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0">
    <w:name w:val="Grid Table 2 - Accent 4"/>
    <w:basedOn w:val="771"/>
    <w:uiPriority w:val="99"/>
    <w:pPr>
      <w:spacing w:after="0" w:line="240" w:lineRule="auto"/>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cPr/>
    <w:tblStylePr w:type="band1Horz">
      <w:pPr/>
      <w:rPr>
        <w:sz w:val="22"/>
      </w:rPr>
      <w:tblPr/>
      <w:tcPr>
        <w:shd w:val="clear" w:color="FFFFFF" w:fill="FFF2CB" w:themeFill="accent4" w:themeFillTint="34"/>
      </w:tcPr>
    </w:tblStylePr>
    <w:tblStylePr w:type="band1Vert">
      <w:pPr/>
      <w:rPr>
        <w:sz w:val="22"/>
      </w:rPr>
      <w:tblPr/>
      <w:tcPr>
        <w:shd w:val="clear" w:color="FFFFFF" w:fill="FFF2CB" w:themeFill="accent4"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4"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4"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1">
    <w:name w:val="Grid Table 2 - Accent 5"/>
    <w:basedOn w:val="771"/>
    <w:uiPriority w:val="99"/>
    <w:pPr>
      <w:spacing w:after="0" w:line="240" w:lineRule="auto"/>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cPr/>
    <w:tblStylePr w:type="band1Horz">
      <w:pPr/>
      <w:rPr>
        <w:sz w:val="22"/>
      </w:rPr>
      <w:tblPr/>
      <w:tcPr>
        <w:shd w:val="clear" w:color="FFFFFF" w:fill="DEEBF6" w:themeFill="accent5" w:themeFillTint="34"/>
      </w:tcPr>
    </w:tblStylePr>
    <w:tblStylePr w:type="band1Vert">
      <w:pPr/>
      <w:rPr>
        <w:sz w:val="22"/>
      </w:rPr>
      <w:tblPr/>
      <w:tcPr>
        <w:shd w:val="clear" w:color="FFFFFF" w:fill="DEEBF6" w:themeFill="accent5"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5"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5"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2">
    <w:name w:val="Grid Table 2 - Accent 6"/>
    <w:basedOn w:val="771"/>
    <w:uiPriority w:val="99"/>
    <w:pPr>
      <w:spacing w:after="0" w:line="240" w:lineRule="auto"/>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cPr/>
    <w:tblStylePr w:type="band1Horz">
      <w:pPr/>
      <w:rPr>
        <w:sz w:val="22"/>
      </w:rPr>
      <w:tblPr/>
      <w:tcPr>
        <w:shd w:val="clear" w:color="FFFFFF" w:fill="E2EFD9" w:themeFill="accent6" w:themeFillTint="34"/>
      </w:tcPr>
    </w:tblStylePr>
    <w:tblStylePr w:type="band1Vert">
      <w:pPr/>
      <w:rPr>
        <w:sz w:val="22"/>
      </w:rPr>
      <w:tblPr/>
      <w:tcPr>
        <w:shd w:val="clear" w:color="FFFFFF" w:fill="E2EFD9" w:themeFill="accent6"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6"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6"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3">
    <w:name w:val="Grid Table 3"/>
    <w:basedOn w:val="771"/>
    <w:uiPriority w:val="99"/>
    <w:pPr>
      <w:spacing w:after="0" w:line="240" w:lineRule="auto"/>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cPr/>
    <w:tblStylePr w:type="band1Horz">
      <w:pPr/>
      <w:rPr>
        <w:sz w:val="22"/>
      </w:rPr>
      <w:tblPr/>
      <w:tcPr>
        <w:shd w:val="clear" w:color="FFFFFF" w:fill="CBCBCB" w:themeFill="text1" w:themeFillTint="34"/>
      </w:tcPr>
    </w:tblStylePr>
    <w:tblStylePr w:type="band1Vert">
      <w:pPr/>
      <w:rPr>
        <w:sz w:val="22"/>
      </w:rPr>
      <w:tblPr/>
      <w:tcPr>
        <w:shd w:val="clear" w:color="FFFFFF" w:fill="CBCBCB" w:themeFill="text1"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4">
    <w:name w:val="Grid Table 3 - Accent 1"/>
    <w:basedOn w:val="771"/>
    <w:uiPriority w:val="99"/>
    <w:pPr>
      <w:spacing w:after="0" w:line="240" w:lineRule="auto"/>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cPr/>
    <w:tblStylePr w:type="band1Horz">
      <w:pPr/>
      <w:rPr>
        <w:sz w:val="22"/>
      </w:rPr>
      <w:tblPr/>
      <w:tcPr>
        <w:shd w:val="clear" w:color="FFFFFF" w:fill="D9E2F3" w:themeFill="accent1" w:themeFillTint="34"/>
      </w:tcPr>
    </w:tblStylePr>
    <w:tblStylePr w:type="band1Vert">
      <w:pPr/>
      <w:rPr>
        <w:sz w:val="22"/>
      </w:rPr>
      <w:tblPr/>
      <w:tcPr>
        <w:shd w:val="clear" w:color="FFFFFF" w:fill="D9E2F3" w:themeFill="accent1"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5">
    <w:name w:val="Grid Table 3 - Accent 2"/>
    <w:basedOn w:val="771"/>
    <w:uiPriority w:val="99"/>
    <w:pPr>
      <w:spacing w:after="0" w:line="240" w:lineRule="auto"/>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cPr/>
    <w:tblStylePr w:type="band1Horz">
      <w:pPr/>
      <w:rPr>
        <w:sz w:val="22"/>
      </w:rPr>
      <w:tblPr/>
      <w:tcPr>
        <w:shd w:val="clear" w:color="FFFFFF" w:fill="FBE6D7" w:themeFill="accent2" w:themeFillTint="32"/>
      </w:tcPr>
    </w:tblStylePr>
    <w:tblStylePr w:type="band1Vert">
      <w:pPr/>
      <w:rPr>
        <w:sz w:val="22"/>
      </w:rPr>
      <w:tblPr/>
      <w:tcPr>
        <w:shd w:val="clear" w:color="FFFFFF" w:fill="FBE6D7" w:themeFill="accent2" w:themeFillTint="32"/>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6">
    <w:name w:val="Grid Table 3 - Accent 3"/>
    <w:basedOn w:val="771"/>
    <w:uiPriority w:val="99"/>
    <w:pPr>
      <w:spacing w:after="0" w:line="240" w:lineRule="auto"/>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cPr/>
    <w:tblStylePr w:type="band1Horz">
      <w:pPr/>
      <w:rPr>
        <w:sz w:val="22"/>
      </w:rPr>
      <w:tblPr/>
      <w:tcPr>
        <w:shd w:val="clear" w:color="FFFFFF" w:fill="EDEDED" w:themeFill="accent3" w:themeFillTint="34"/>
      </w:tcPr>
    </w:tblStylePr>
    <w:tblStylePr w:type="band1Vert">
      <w:pPr/>
      <w:rPr>
        <w:sz w:val="22"/>
      </w:rPr>
      <w:tblPr/>
      <w:tcPr>
        <w:shd w:val="clear" w:color="FFFFFF" w:fill="EDEDED" w:themeFill="accent3"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7">
    <w:name w:val="Grid Table 3 - Accent 4"/>
    <w:basedOn w:val="771"/>
    <w:uiPriority w:val="99"/>
    <w:pPr>
      <w:spacing w:after="0" w:line="240" w:lineRule="auto"/>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cPr/>
    <w:tblStylePr w:type="band1Horz">
      <w:pPr/>
      <w:rPr>
        <w:sz w:val="22"/>
      </w:rPr>
      <w:tblPr/>
      <w:tcPr>
        <w:shd w:val="clear" w:color="FFFFFF" w:fill="FFF2CB" w:themeFill="accent4" w:themeFillTint="34"/>
      </w:tcPr>
    </w:tblStylePr>
    <w:tblStylePr w:type="band1Vert">
      <w:pPr/>
      <w:rPr>
        <w:sz w:val="22"/>
      </w:rPr>
      <w:tblPr/>
      <w:tcPr>
        <w:shd w:val="clear" w:color="FFFFFF" w:fill="FFF2CB" w:themeFill="accent4"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8">
    <w:name w:val="Grid Table 3 - Accent 5"/>
    <w:basedOn w:val="771"/>
    <w:uiPriority w:val="99"/>
    <w:pPr>
      <w:spacing w:after="0" w:line="240" w:lineRule="auto"/>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cPr/>
    <w:tblStylePr w:type="band1Horz">
      <w:pPr/>
      <w:rPr>
        <w:sz w:val="22"/>
      </w:rPr>
      <w:tblPr/>
      <w:tcPr>
        <w:shd w:val="clear" w:color="FFFFFF" w:fill="DEEBF6" w:themeFill="accent5" w:themeFillTint="34"/>
      </w:tcPr>
    </w:tblStylePr>
    <w:tblStylePr w:type="band1Vert">
      <w:pPr/>
      <w:rPr>
        <w:sz w:val="22"/>
      </w:rPr>
      <w:tblPr/>
      <w:tcPr>
        <w:shd w:val="clear" w:color="FFFFFF" w:fill="DEEBF6" w:themeFill="accent5"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39">
    <w:name w:val="Grid Table 3 - Accent 6"/>
    <w:basedOn w:val="771"/>
    <w:uiPriority w:val="99"/>
    <w:pPr>
      <w:spacing w:after="0" w:line="240" w:lineRule="auto"/>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cPr/>
    <w:tblStylePr w:type="band1Horz">
      <w:pPr/>
      <w:rPr>
        <w:sz w:val="22"/>
      </w:rPr>
      <w:tblPr/>
      <w:tcPr>
        <w:shd w:val="clear" w:color="FFFFFF" w:fill="E2EFD9" w:themeFill="accent6" w:themeFillTint="34"/>
      </w:tcPr>
    </w:tblStylePr>
    <w:tblStylePr w:type="band1Vert">
      <w:pPr/>
      <w:rPr>
        <w:sz w:val="22"/>
      </w:rPr>
      <w:tblPr/>
      <w:tcPr>
        <w:shd w:val="clear" w:color="FFFFFF" w:fill="E2EFD9" w:themeFill="accent6"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0">
    <w:name w:val="Grid Table 4"/>
    <w:basedOn w:val="771"/>
    <w:uiPriority w:val="59"/>
    <w:pPr>
      <w:spacing w:after="0" w:line="240" w:lineRule="auto"/>
    </w:pPr>
    <w:tblPr>
      <w:tblStyleRowBandSize w:val="1"/>
      <w:tblStyleColBandSize w:val="1"/>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blStylePr w:type="band1Horz">
      <w:pPr/>
      <w:rPr>
        <w:sz w:val="22"/>
      </w:rPr>
      <w:tblPr/>
      <w:tcPr>
        <w:shd w:val="clear" w:color="FFFFFF" w:fill="CBCBCB" w:themeFill="text1" w:themeFillTint="34"/>
      </w:tcPr>
    </w:tblStylePr>
    <w:tblStylePr w:type="band1Vert">
      <w:pPr/>
      <w:rPr>
        <w:sz w:val="22"/>
      </w:rPr>
      <w:tblPr/>
      <w:tcPr>
        <w:shd w:val="clear" w:color="FFFFFF" w:fill="CBCBCB" w:themeFill="text1"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FFFFFF" w:fill="000000" w:themeFill="text1"/>
      </w:tcPr>
    </w:tblStylePr>
    <w:tblStylePr w:type="lastCol">
      <w:pPr/>
      <w:rPr>
        <w:b/>
      </w:rPr>
      <w:tblPr/>
      <w:tcPr/>
    </w:tblStylePr>
    <w:tblStylePr w:type="lastRow">
      <w:pPr/>
      <w:rPr>
        <w:b/>
      </w:rPr>
      <w:tblPr/>
      <w:tcPr>
        <w:tcBorders>
          <w:top w:val="single" w:color="000000" w:themeColor="text1"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1">
    <w:name w:val="Grid Table 4 - Accent 1"/>
    <w:basedOn w:val="771"/>
    <w:uiPriority w:val="59"/>
    <w:pPr>
      <w:spacing w:after="0" w:line="240" w:lineRule="auto"/>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blStylePr w:type="band1Horz">
      <w:pPr/>
      <w:rPr>
        <w:sz w:val="22"/>
      </w:rPr>
      <w:tblPr/>
      <w:tcPr>
        <w:shd w:val="clear" w:color="FFFFFF" w:fill="DAE3F3" w:themeFill="accent1" w:themeFillTint="32"/>
      </w:tcPr>
    </w:tblStylePr>
    <w:tblStylePr w:type="band1Vert">
      <w:pPr/>
      <w:rPr>
        <w:sz w:val="22"/>
      </w:rPr>
      <w:tblPr/>
      <w:tcPr>
        <w:shd w:val="clear" w:color="FFFFFF" w:fill="DAE3F3" w:themeFill="accent1" w:themeFillTint="32"/>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shd w:val="clear" w:color="FFFFFF" w:fill="537EC9" w:themeFill="accent1" w:themeFillTint="ea"/>
      </w:tcPr>
    </w:tblStylePr>
    <w:tblStylePr w:type="lastCol">
      <w:pPr/>
      <w:rPr>
        <w:b/>
      </w:rPr>
      <w:tblPr/>
      <w:tcPr/>
    </w:tblStylePr>
    <w:tblStylePr w:type="lastRow">
      <w:pPr/>
      <w:rPr>
        <w:b/>
      </w:rPr>
      <w:tblPr/>
      <w:tcPr>
        <w:tcBorders>
          <w:top w:val="single" w:color="000000" w:themeColor="accent1"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2">
    <w:name w:val="Grid Table 4 - Accent 2"/>
    <w:basedOn w:val="771"/>
    <w:uiPriority w:val="59"/>
    <w:pPr>
      <w:spacing w:after="0" w:line="240" w:lineRule="auto"/>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blStylePr w:type="band1Horz">
      <w:pPr/>
      <w:rPr>
        <w:sz w:val="22"/>
      </w:rPr>
      <w:tblPr/>
      <w:tcPr>
        <w:shd w:val="clear" w:color="FFFFFF" w:fill="FBE6D7" w:themeFill="accent2" w:themeFillTint="32"/>
      </w:tcPr>
    </w:tblStylePr>
    <w:tblStylePr w:type="band1Vert">
      <w:pPr/>
      <w:rPr>
        <w:sz w:val="22"/>
      </w:rPr>
      <w:tblPr/>
      <w:tcPr>
        <w:shd w:val="clear" w:color="FFFFFF" w:fill="FBE6D7" w:themeFill="accent2" w:themeFillTint="32"/>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shd w:val="clear" w:color="FFFFFF" w:fill="F4B285" w:themeFill="accent2" w:themeFillTint="97"/>
      </w:tcPr>
    </w:tblStylePr>
    <w:tblStylePr w:type="lastCol">
      <w:pPr/>
      <w:rPr>
        <w:b/>
      </w:rPr>
      <w:tblPr/>
      <w:tcPr/>
    </w:tblStylePr>
    <w:tblStylePr w:type="lastRow">
      <w:pPr/>
      <w:rPr>
        <w:b/>
      </w:rPr>
      <w:tblPr/>
      <w:tcPr>
        <w:tcBorders>
          <w:top w:val="single" w:color="000000" w:themeColor="accent2"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3">
    <w:name w:val="Grid Table 4 - Accent 3"/>
    <w:basedOn w:val="771"/>
    <w:uiPriority w:val="59"/>
    <w:pPr>
      <w:spacing w:after="0" w:line="240" w:lineRule="auto"/>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blStylePr w:type="band1Horz">
      <w:pPr/>
      <w:rPr>
        <w:sz w:val="22"/>
      </w:rPr>
      <w:tblPr/>
      <w:tcPr>
        <w:shd w:val="clear" w:color="FFFFFF" w:fill="EDEDED" w:themeFill="accent3" w:themeFillTint="34"/>
      </w:tcPr>
    </w:tblStylePr>
    <w:tblStylePr w:type="band1Vert">
      <w:pPr/>
      <w:rPr>
        <w:sz w:val="22"/>
      </w:rPr>
      <w:tblPr/>
      <w:tcPr>
        <w:shd w:val="clear" w:color="FFFFFF" w:fill="EDEDED" w:themeFill="accent3"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shd w:val="clear" w:color="FFFFFF" w:fill="A5A5A5" w:themeFill="accent3" w:themeFillTint="fe"/>
      </w:tcPr>
    </w:tblStylePr>
    <w:tblStylePr w:type="lastCol">
      <w:pPr/>
      <w:rPr>
        <w:b/>
      </w:rPr>
      <w:tblPr/>
      <w:tcPr/>
    </w:tblStylePr>
    <w:tblStylePr w:type="lastRow">
      <w:pPr/>
      <w:rPr>
        <w:b/>
      </w:rPr>
      <w:tblPr/>
      <w:tcPr>
        <w:tcBorders>
          <w:top w:val="single" w:color="000000" w:themeColor="accent3"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4">
    <w:name w:val="Grid Table 4 - Accent 4"/>
    <w:basedOn w:val="771"/>
    <w:uiPriority w:val="59"/>
    <w:pPr>
      <w:spacing w:after="0" w:line="240" w:lineRule="auto"/>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blStylePr w:type="band1Horz">
      <w:pPr/>
      <w:rPr>
        <w:sz w:val="22"/>
      </w:rPr>
      <w:tblPr/>
      <w:tcPr>
        <w:shd w:val="clear" w:color="FFFFFF" w:fill="FFF2CB" w:themeFill="accent4" w:themeFillTint="34"/>
      </w:tcPr>
    </w:tblStylePr>
    <w:tblStylePr w:type="band1Vert">
      <w:pPr/>
      <w:rPr>
        <w:sz w:val="22"/>
      </w:rPr>
      <w:tblPr/>
      <w:tcPr>
        <w:shd w:val="clear" w:color="FFFFFF" w:fill="FFF2CB" w:themeFill="accent4"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shd w:val="clear" w:color="FFFFFF" w:fill="FFD965" w:themeFill="accent4" w:themeFillTint="9a"/>
      </w:tcPr>
    </w:tblStylePr>
    <w:tblStylePr w:type="lastCol">
      <w:pPr/>
      <w:rPr>
        <w:b/>
      </w:rPr>
      <w:tblPr/>
      <w:tcPr/>
    </w:tblStylePr>
    <w:tblStylePr w:type="lastRow">
      <w:pPr/>
      <w:rPr>
        <w:b/>
      </w:rPr>
      <w:tblPr/>
      <w:tcPr>
        <w:tcBorders>
          <w:top w:val="single" w:color="000000" w:themeColor="accent4"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5">
    <w:name w:val="Grid Table 4 - Accent 5"/>
    <w:basedOn w:val="771"/>
    <w:uiPriority w:val="59"/>
    <w:pPr>
      <w:spacing w:after="0" w:line="240" w:lineRule="auto"/>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blStylePr w:type="band1Horz">
      <w:pPr/>
      <w:rPr>
        <w:sz w:val="22"/>
      </w:rPr>
      <w:tblPr/>
      <w:tcPr>
        <w:shd w:val="clear" w:color="FFFFFF" w:fill="DEEBF6" w:themeFill="accent5" w:themeFillTint="34"/>
      </w:tcPr>
    </w:tblStylePr>
    <w:tblStylePr w:type="band1Vert">
      <w:pPr/>
      <w:rPr>
        <w:sz w:val="22"/>
      </w:rPr>
      <w:tblPr/>
      <w:tcPr>
        <w:shd w:val="clear" w:color="FFFFFF" w:fill="DEEBF6" w:themeFill="accent5"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shd w:val="clear" w:color="FFFFFF" w:fill="5B9BD5" w:themeFill="accent5"/>
      </w:tcPr>
    </w:tblStylePr>
    <w:tblStylePr w:type="lastCol">
      <w:pPr/>
      <w:rPr>
        <w:b/>
      </w:rPr>
      <w:tblPr/>
      <w:tcPr/>
    </w:tblStylePr>
    <w:tblStylePr w:type="lastRow">
      <w:pPr/>
      <w:rPr>
        <w:b/>
      </w:rPr>
      <w:tblPr/>
      <w:tcPr>
        <w:tcBorders>
          <w:top w:val="single" w:color="000000" w:themeColor="accent5"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6">
    <w:name w:val="Grid Table 4 - Accent 6"/>
    <w:basedOn w:val="771"/>
    <w:uiPriority w:val="59"/>
    <w:pPr>
      <w:spacing w:after="0" w:line="240" w:lineRule="auto"/>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blStylePr w:type="band1Horz">
      <w:pPr/>
      <w:rPr>
        <w:sz w:val="22"/>
      </w:rPr>
      <w:tblPr/>
      <w:tcPr>
        <w:shd w:val="clear" w:color="FFFFFF" w:fill="E2EFD9" w:themeFill="accent6" w:themeFillTint="34"/>
      </w:tcPr>
    </w:tblStylePr>
    <w:tblStylePr w:type="band1Vert">
      <w:pPr/>
      <w:rPr>
        <w:sz w:val="22"/>
      </w:rPr>
      <w:tblPr/>
      <w:tcPr>
        <w:shd w:val="clear" w:color="FFFFFF" w:fill="E2EFD9" w:themeFill="accent6"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shd w:val="clear" w:color="FFFFFF" w:fill="70AD47" w:themeFill="accent6"/>
      </w:tcPr>
    </w:tblStylePr>
    <w:tblStylePr w:type="lastCol">
      <w:pPr/>
      <w:rPr>
        <w:b/>
      </w:rPr>
      <w:tblPr/>
      <w:tcPr/>
    </w:tblStylePr>
    <w:tblStylePr w:type="lastRow">
      <w:pPr/>
      <w:rPr>
        <w:b/>
      </w:rPr>
      <w:tblPr/>
      <w:tcPr>
        <w:tcBorders>
          <w:top w:val="single" w:color="000000" w:themeColor="accent6"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7">
    <w:name w:val="Grid Table 5 Dark"/>
    <w:basedOn w:val="771"/>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8A8A8A" w:themeFill="text1" w:themeFillTint="75"/>
      </w:tcPr>
    </w:tblStylePr>
    <w:tblStylePr w:type="band1Vert">
      <w:pPr/>
      <w:tblPr/>
      <w:tcPr>
        <w:shd w:val="clear" w:color="FFFFFF" w:fill="8A8A8A" w:themeFill="text1" w:themeFillTint="75"/>
      </w:tcPr>
    </w:tblStylePr>
    <w:tblStylePr w:type="band2Horz">
      <w:pPr/>
      <w:tblPr/>
      <w:tcPr/>
    </w:tblStylePr>
    <w:tblStylePr w:type="band2Vert">
      <w:pPr/>
      <w:tblPr/>
      <w:tcPr/>
    </w:tblStylePr>
    <w:tblStylePr w:type="firstCol">
      <w:pPr/>
      <w:rPr>
        <w:b/>
        <w:sz w:val="22"/>
      </w:rPr>
      <w:tblPr/>
      <w:tcPr>
        <w:shd w:val="clear" w:color="FFFFFF" w:fill="000000" w:themeFill="text1"/>
      </w:tcPr>
    </w:tblStylePr>
    <w:tblStylePr w:type="firstRow">
      <w:pPr/>
      <w:rPr>
        <w:b/>
        <w:sz w:val="22"/>
      </w:rPr>
      <w:tblPr/>
      <w:tcPr>
        <w:shd w:val="clear" w:color="FFFFFF" w:fill="000000" w:themeFill="text1"/>
      </w:tcPr>
    </w:tblStylePr>
    <w:tblStylePr w:type="lastCol">
      <w:pPr/>
      <w:rPr>
        <w:b/>
        <w:sz w:val="22"/>
      </w:rPr>
      <w:tblPr/>
      <w:tcPr>
        <w:shd w:val="clear" w:color="FFFFFF" w:fill="000000" w:themeFill="text1"/>
      </w:tcPr>
    </w:tblStylePr>
    <w:tblStylePr w:type="lastRow">
      <w:pPr/>
      <w:rPr>
        <w:b/>
        <w:sz w:val="22"/>
      </w:rPr>
      <w:tblPr/>
      <w:tcPr>
        <w:tcBorders>
          <w:top w:val="single" w:color="000000" w:themeColor="light1" w:sz="4" w:space="0"/>
        </w:tcBorders>
        <w:shd w:val="clear" w:color="FFFFFF" w:fill="000000" w:themeFill="tex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8">
    <w:name w:val="Grid Table 5 Dark- Accent 1"/>
    <w:basedOn w:val="771"/>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A9BEE4" w:themeFill="accent1" w:themeFillTint="75"/>
      </w:tcPr>
    </w:tblStylePr>
    <w:tblStylePr w:type="band1Vert">
      <w:pPr/>
      <w:tblPr/>
      <w:tcPr>
        <w:shd w:val="clear" w:color="FFFFFF" w:fill="A9BEE4" w:themeFill="accent1" w:themeFillTint="75"/>
      </w:tcPr>
    </w:tblStylePr>
    <w:tblStylePr w:type="band2Horz">
      <w:pPr/>
      <w:tblPr/>
      <w:tcPr/>
    </w:tblStylePr>
    <w:tblStylePr w:type="band2Vert">
      <w:pPr/>
      <w:tblPr/>
      <w:tcPr/>
    </w:tblStylePr>
    <w:tblStylePr w:type="firstCol">
      <w:pPr/>
      <w:rPr>
        <w:b/>
        <w:sz w:val="22"/>
      </w:rPr>
      <w:tblPr/>
      <w:tcPr>
        <w:shd w:val="clear" w:color="FFFFFF" w:fill="4472C4" w:themeFill="accent1"/>
      </w:tcPr>
    </w:tblStylePr>
    <w:tblStylePr w:type="firstRow">
      <w:pPr/>
      <w:rPr>
        <w:b/>
        <w:sz w:val="22"/>
      </w:rPr>
      <w:tblPr/>
      <w:tcPr>
        <w:shd w:val="clear" w:color="FFFFFF" w:fill="4472C4" w:themeFill="accent1"/>
      </w:tcPr>
    </w:tblStylePr>
    <w:tblStylePr w:type="lastCol">
      <w:pPr/>
      <w:rPr>
        <w:b/>
        <w:sz w:val="22"/>
      </w:rPr>
      <w:tblPr/>
      <w:tcPr>
        <w:shd w:val="clear" w:color="FFFFFF" w:fill="4472C4" w:themeFill="accent1"/>
      </w:tcPr>
    </w:tblStylePr>
    <w:tblStylePr w:type="lastRow">
      <w:pPr/>
      <w:rPr>
        <w:b/>
        <w:sz w:val="22"/>
      </w:rPr>
      <w:tblPr/>
      <w:tcPr>
        <w:tcBorders>
          <w:top w:val="single" w:color="000000" w:themeColor="light1" w:sz="4" w:space="0"/>
        </w:tcBorders>
        <w:shd w:val="clear" w:color="FFFFFF" w:fill="4472C4" w:themeFill="accen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49">
    <w:name w:val="Grid Table 5 Dark - Accent 2"/>
    <w:basedOn w:val="771"/>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F7C3A0" w:themeFill="accent2" w:themeFillTint="75"/>
      </w:tcPr>
    </w:tblStylePr>
    <w:tblStylePr w:type="band1Vert">
      <w:pPr/>
      <w:tblPr/>
      <w:tcPr>
        <w:shd w:val="clear" w:color="FFFFFF" w:fill="F7C3A0" w:themeFill="accent2" w:themeFillTint="75"/>
      </w:tcPr>
    </w:tblStylePr>
    <w:tblStylePr w:type="band2Horz">
      <w:pPr/>
      <w:tblPr/>
      <w:tcPr/>
    </w:tblStylePr>
    <w:tblStylePr w:type="band2Vert">
      <w:pPr/>
      <w:tblPr/>
      <w:tcPr/>
    </w:tblStylePr>
    <w:tblStylePr w:type="firstCol">
      <w:pPr/>
      <w:rPr>
        <w:b/>
        <w:sz w:val="22"/>
      </w:rPr>
      <w:tblPr/>
      <w:tcPr>
        <w:shd w:val="clear" w:color="FFFFFF" w:fill="ED7D31" w:themeFill="accent2"/>
      </w:tcPr>
    </w:tblStylePr>
    <w:tblStylePr w:type="firstRow">
      <w:pPr/>
      <w:rPr>
        <w:b/>
        <w:sz w:val="22"/>
      </w:rPr>
      <w:tblPr/>
      <w:tcPr>
        <w:shd w:val="clear" w:color="FFFFFF" w:fill="ED7D31" w:themeFill="accent2"/>
      </w:tcPr>
    </w:tblStylePr>
    <w:tblStylePr w:type="lastCol">
      <w:pPr/>
      <w:rPr>
        <w:b/>
        <w:sz w:val="22"/>
      </w:rPr>
      <w:tblPr/>
      <w:tcPr>
        <w:shd w:val="clear" w:color="FFFFFF" w:fill="ED7D31" w:themeFill="accent2"/>
      </w:tcPr>
    </w:tblStylePr>
    <w:tblStylePr w:type="lastRow">
      <w:pPr/>
      <w:rPr>
        <w:b/>
        <w:sz w:val="22"/>
      </w:rPr>
      <w:tblPr/>
      <w:tcPr>
        <w:tcBorders>
          <w:top w:val="single" w:color="000000" w:themeColor="light1" w:sz="4" w:space="0"/>
        </w:tcBorders>
        <w:shd w:val="clear" w:color="FFFFFF" w:fill="ED7D31" w:themeFill="accent2"/>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50">
    <w:name w:val="Grid Table 5 Dark - Accent 3"/>
    <w:basedOn w:val="771"/>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D6D6D6" w:themeFill="accent3" w:themeFillTint="75"/>
      </w:tcPr>
    </w:tblStylePr>
    <w:tblStylePr w:type="band1Vert">
      <w:pPr/>
      <w:tblPr/>
      <w:tcPr>
        <w:shd w:val="clear" w:color="FFFFFF" w:fill="D6D6D6" w:themeFill="accent3" w:themeFillTint="75"/>
      </w:tcPr>
    </w:tblStylePr>
    <w:tblStylePr w:type="band2Horz">
      <w:pPr/>
      <w:tblPr/>
      <w:tcPr/>
    </w:tblStylePr>
    <w:tblStylePr w:type="band2Vert">
      <w:pPr/>
      <w:tblPr/>
      <w:tcPr/>
    </w:tblStylePr>
    <w:tblStylePr w:type="firstCol">
      <w:pPr/>
      <w:rPr>
        <w:b/>
        <w:sz w:val="22"/>
      </w:rPr>
      <w:tblPr/>
      <w:tcPr>
        <w:shd w:val="clear" w:color="FFFFFF" w:fill="A5A5A5" w:themeFill="accent3"/>
      </w:tcPr>
    </w:tblStylePr>
    <w:tblStylePr w:type="firstRow">
      <w:pPr/>
      <w:rPr>
        <w:b/>
        <w:sz w:val="22"/>
      </w:rPr>
      <w:tblPr/>
      <w:tcPr>
        <w:shd w:val="clear" w:color="FFFFFF" w:fill="A5A5A5" w:themeFill="accent3"/>
      </w:tcPr>
    </w:tblStylePr>
    <w:tblStylePr w:type="lastCol">
      <w:pPr/>
      <w:rPr>
        <w:b/>
        <w:sz w:val="22"/>
      </w:rPr>
      <w:tblPr/>
      <w:tcPr>
        <w:shd w:val="clear" w:color="FFFFFF" w:fill="A5A5A5" w:themeFill="accent3"/>
      </w:tcPr>
    </w:tblStylePr>
    <w:tblStylePr w:type="lastRow">
      <w:pPr/>
      <w:rPr>
        <w:b/>
        <w:sz w:val="22"/>
      </w:rPr>
      <w:tblPr/>
      <w:tcPr>
        <w:tcBorders>
          <w:top w:val="single" w:color="000000" w:themeColor="light1" w:sz="4" w:space="0"/>
        </w:tcBorders>
        <w:shd w:val="clear" w:color="FFFFFF" w:fill="A5A5A5" w:themeFill="accent3"/>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51">
    <w:name w:val="Grid Table 5 Dark- Accent 4"/>
    <w:basedOn w:val="771"/>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FFE28A" w:themeFill="accent4" w:themeFillTint="75"/>
      </w:tcPr>
    </w:tblStylePr>
    <w:tblStylePr w:type="band1Vert">
      <w:pPr/>
      <w:tblPr/>
      <w:tcPr>
        <w:shd w:val="clear" w:color="FFFFFF" w:fill="FFE28A" w:themeFill="accent4" w:themeFillTint="75"/>
      </w:tcPr>
    </w:tblStylePr>
    <w:tblStylePr w:type="band2Horz">
      <w:pPr/>
      <w:tblPr/>
      <w:tcPr/>
    </w:tblStylePr>
    <w:tblStylePr w:type="band2Vert">
      <w:pPr/>
      <w:tblPr/>
      <w:tcPr/>
    </w:tblStylePr>
    <w:tblStylePr w:type="firstCol">
      <w:pPr/>
      <w:rPr>
        <w:b/>
        <w:sz w:val="22"/>
      </w:rPr>
      <w:tblPr/>
      <w:tcPr>
        <w:shd w:val="clear" w:color="FFFFFF" w:fill="FFC000" w:themeFill="accent4"/>
      </w:tcPr>
    </w:tblStylePr>
    <w:tblStylePr w:type="firstRow">
      <w:pPr/>
      <w:rPr>
        <w:b/>
        <w:sz w:val="22"/>
      </w:rPr>
      <w:tblPr/>
      <w:tcPr>
        <w:shd w:val="clear" w:color="FFFFFF" w:fill="FFC000" w:themeFill="accent4"/>
      </w:tcPr>
    </w:tblStylePr>
    <w:tblStylePr w:type="lastCol">
      <w:pPr/>
      <w:rPr>
        <w:b/>
        <w:sz w:val="22"/>
      </w:rPr>
      <w:tblPr/>
      <w:tcPr>
        <w:shd w:val="clear" w:color="FFFFFF" w:fill="FFC000" w:themeFill="accent4"/>
      </w:tcPr>
    </w:tblStylePr>
    <w:tblStylePr w:type="lastRow">
      <w:pPr/>
      <w:rPr>
        <w:b/>
        <w:sz w:val="22"/>
      </w:rPr>
      <w:tblPr/>
      <w:tcPr>
        <w:tcBorders>
          <w:top w:val="single" w:color="000000" w:themeColor="light1" w:sz="4" w:space="0"/>
        </w:tcBorders>
        <w:shd w:val="clear" w:color="FFFFFF" w:fill="FFC000" w:themeFill="accent4"/>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52">
    <w:name w:val="Grid Table 5 Dark - Accent 5"/>
    <w:basedOn w:val="771"/>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B4D1EC" w:themeFill="accent5" w:themeFillTint="75"/>
      </w:tcPr>
    </w:tblStylePr>
    <w:tblStylePr w:type="band1Vert">
      <w:pPr/>
      <w:tblPr/>
      <w:tcPr>
        <w:shd w:val="clear" w:color="FFFFFF" w:fill="B4D1EC" w:themeFill="accent5" w:themeFillTint="75"/>
      </w:tcPr>
    </w:tblStylePr>
    <w:tblStylePr w:type="band2Horz">
      <w:pPr/>
      <w:tblPr/>
      <w:tcPr/>
    </w:tblStylePr>
    <w:tblStylePr w:type="band2Vert">
      <w:pPr/>
      <w:tblPr/>
      <w:tcPr/>
    </w:tblStylePr>
    <w:tblStylePr w:type="firstCol">
      <w:pPr/>
      <w:rPr>
        <w:b/>
        <w:sz w:val="22"/>
      </w:rPr>
      <w:tblPr/>
      <w:tcPr>
        <w:shd w:val="clear" w:color="FFFFFF" w:fill="5B9BD5" w:themeFill="accent5"/>
      </w:tcPr>
    </w:tblStylePr>
    <w:tblStylePr w:type="firstRow">
      <w:pPr/>
      <w:rPr>
        <w:b/>
        <w:sz w:val="22"/>
      </w:rPr>
      <w:tblPr/>
      <w:tcPr>
        <w:shd w:val="clear" w:color="FFFFFF" w:fill="5B9BD5" w:themeFill="accent5"/>
      </w:tcPr>
    </w:tblStylePr>
    <w:tblStylePr w:type="lastCol">
      <w:pPr/>
      <w:rPr>
        <w:b/>
        <w:sz w:val="22"/>
      </w:rPr>
      <w:tblPr/>
      <w:tcPr>
        <w:shd w:val="clear" w:color="FFFFFF" w:fill="5B9BD5" w:themeFill="accent5"/>
      </w:tcPr>
    </w:tblStylePr>
    <w:tblStylePr w:type="lastRow">
      <w:pPr/>
      <w:rPr>
        <w:b/>
        <w:sz w:val="22"/>
      </w:rPr>
      <w:tblPr/>
      <w:tcPr>
        <w:tcBorders>
          <w:top w:val="single" w:color="000000" w:themeColor="light1" w:sz="4" w:space="0"/>
        </w:tcBorders>
        <w:shd w:val="clear" w:color="FFFFFF" w:fill="5B9BD5" w:themeFill="accent5"/>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53">
    <w:name w:val="Grid Table 5 Dark - Accent 6"/>
    <w:basedOn w:val="771"/>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BDDBA8" w:themeFill="accent6" w:themeFillTint="75"/>
      </w:tcPr>
    </w:tblStylePr>
    <w:tblStylePr w:type="band1Vert">
      <w:pPr/>
      <w:tblPr/>
      <w:tcPr>
        <w:shd w:val="clear" w:color="FFFFFF" w:fill="BDDBA8" w:themeFill="accent6" w:themeFillTint="75"/>
      </w:tcPr>
    </w:tblStylePr>
    <w:tblStylePr w:type="band2Horz">
      <w:pPr/>
      <w:tblPr/>
      <w:tcPr/>
    </w:tblStylePr>
    <w:tblStylePr w:type="band2Vert">
      <w:pPr/>
      <w:tblPr/>
      <w:tcPr/>
    </w:tblStylePr>
    <w:tblStylePr w:type="firstCol">
      <w:pPr/>
      <w:rPr>
        <w:b/>
        <w:sz w:val="22"/>
      </w:rPr>
      <w:tblPr/>
      <w:tcPr>
        <w:shd w:val="clear" w:color="FFFFFF" w:fill="70AD47" w:themeFill="accent6"/>
      </w:tcPr>
    </w:tblStylePr>
    <w:tblStylePr w:type="firstRow">
      <w:pPr/>
      <w:rPr>
        <w:b/>
        <w:sz w:val="22"/>
      </w:rPr>
      <w:tblPr/>
      <w:tcPr>
        <w:shd w:val="clear" w:color="FFFFFF" w:fill="70AD47" w:themeFill="accent6"/>
      </w:tcPr>
    </w:tblStylePr>
    <w:tblStylePr w:type="lastCol">
      <w:pPr/>
      <w:rPr>
        <w:b/>
        <w:sz w:val="22"/>
      </w:rPr>
      <w:tblPr/>
      <w:tcPr>
        <w:shd w:val="clear" w:color="FFFFFF" w:fill="70AD47" w:themeFill="accent6"/>
      </w:tcPr>
    </w:tblStylePr>
    <w:tblStylePr w:type="lastRow">
      <w:pPr/>
      <w:rPr>
        <w:b/>
        <w:sz w:val="22"/>
      </w:rPr>
      <w:tblPr/>
      <w:tcPr>
        <w:tcBorders>
          <w:top w:val="single" w:color="000000" w:themeColor="light1" w:sz="4" w:space="0"/>
        </w:tcBorders>
        <w:shd w:val="clear" w:color="FFFFFF" w:fill="70AD47" w:themeFill="accent6"/>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54">
    <w:name w:val="Grid Table 6 Colorful"/>
    <w:basedOn w:val="771"/>
    <w:uiPriority w:val="99"/>
    <w:pPr>
      <w:spacing w:after="0" w:line="240" w:lineRule="auto"/>
    </w:pPr>
    <w:tblPr>
      <w:tblStyleRowBandSize w:val="1"/>
      <w:tblStyleColBandSize w:val="1"/>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blStylePr w:type="band1Horz">
      <w:pPr/>
      <w:rPr>
        <w:color w:themeColor="text1" w:themeTint="80" w:themeShade="95"/>
        <w:sz w:val="22"/>
      </w:rPr>
      <w:tblPr/>
      <w:tcPr>
        <w:shd w:val="clear" w:color="FFFFFF" w:fill="CBCBCB" w:themeFill="text1" w:themeFillTint="34"/>
      </w:tcPr>
    </w:tblStylePr>
    <w:tblStylePr w:type="band1Vert">
      <w:pPr/>
      <w:tblPr/>
      <w:tcPr>
        <w:shd w:val="clear" w:color="FFFFFF" w:fill="CBCBCB" w:themeFill="text1" w:themeFillTint="34"/>
      </w:tcPr>
    </w:tblStylePr>
    <w:tblStylePr w:type="band2Horz">
      <w:pPr/>
      <w:rPr>
        <w:color w:themeColor="text1" w:themeTint="80" w:themeShade="95"/>
        <w:sz w:val="22"/>
      </w:rPr>
      <w:tblPr/>
      <w:tcPr/>
    </w:tblStylePr>
    <w:tblStylePr w:type="band2Vert">
      <w:pPr/>
      <w:tblPr/>
      <w:tcPr/>
    </w:tblStylePr>
    <w:tblStylePr w:type="firstCol">
      <w:pPr/>
      <w:rPr>
        <w:b/>
        <w:color w:themeColor="text1" w:themeTint="80" w:themeShade="95"/>
      </w:rPr>
      <w:tblPr/>
      <w:tcPr/>
    </w:tblStylePr>
    <w:tblStylePr w:type="firstRow">
      <w:pPr/>
      <w:rPr>
        <w:b/>
        <w:color w:themeColor="text1" w:themeTint="80" w:themeShade="95"/>
      </w:rPr>
      <w:tblPr/>
      <w:tcPr>
        <w:tcBorders>
          <w:bottom w:val="single" w:color="000000" w:themeColor="text1" w:sz="12" w:space="0"/>
        </w:tcBorders>
      </w:tcPr>
    </w:tblStylePr>
    <w:tblStylePr w:type="lastCol">
      <w:pPr/>
      <w:rPr>
        <w:b/>
        <w:color w:themeColor="text1" w:themeTint="80" w:themeShade="95"/>
      </w:rPr>
      <w:tblPr/>
      <w:tcPr/>
    </w:tblStylePr>
    <w:tblStylePr w:type="lastRow">
      <w:pPr/>
      <w:rPr>
        <w:b/>
        <w:color w:themeColor="text1" w:themeTint="80"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text1" w:themeTint="80" w:themeShade="95"/>
        <w:sz w:val="22"/>
      </w:rPr>
      <w:tblPr/>
      <w:tcPr/>
    </w:tblStylePr>
  </w:style>
  <w:style w:type="table" w:styleId="55">
    <w:name w:val="Grid Table 6 Colorful - Accent 1"/>
    <w:basedOn w:val="771"/>
    <w:uiPriority w:val="99"/>
    <w:pPr>
      <w:spacing w:after="0" w:line="240" w:lineRule="auto"/>
    </w:pPr>
    <w:tblPr>
      <w:tblStyleRowBandSize w:val="1"/>
      <w:tblStyleColBandSize w:val="1"/>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blStylePr w:type="band1Horz">
      <w:pPr/>
      <w:rPr>
        <w:color w:themeColor="accent1" w:themeTint="80" w:themeShade="95"/>
        <w:sz w:val="22"/>
      </w:rPr>
      <w:tblPr/>
      <w:tcPr>
        <w:shd w:val="clear" w:color="FFFFFF" w:fill="D9E2F3" w:themeFill="accent1" w:themeFillTint="34"/>
      </w:tcPr>
    </w:tblStylePr>
    <w:tblStylePr w:type="band1Vert">
      <w:pPr/>
      <w:tblPr/>
      <w:tcPr>
        <w:shd w:val="clear" w:color="FFFFFF" w:fill="D9E2F3" w:themeFill="accent1" w:themeFillTint="34"/>
      </w:tcPr>
    </w:tblStylePr>
    <w:tblStylePr w:type="band2Horz">
      <w:pPr/>
      <w:rPr>
        <w:color w:themeColor="accent1" w:themeTint="80" w:themeShade="95"/>
        <w:sz w:val="22"/>
      </w:rPr>
      <w:tblPr/>
      <w:tcPr/>
    </w:tblStylePr>
    <w:tblStylePr w:type="band2Vert">
      <w:pPr/>
      <w:tblPr/>
      <w:tcPr/>
    </w:tblStylePr>
    <w:tblStylePr w:type="firstCol">
      <w:pPr/>
      <w:rPr>
        <w:b/>
        <w:color w:themeColor="accent1" w:themeTint="80" w:themeShade="95"/>
      </w:rPr>
      <w:tblPr/>
      <w:tcPr/>
    </w:tblStylePr>
    <w:tblStylePr w:type="firstRow">
      <w:pPr/>
      <w:rPr>
        <w:b/>
        <w:color w:themeColor="accent1" w:themeTint="80" w:themeShade="95"/>
      </w:rPr>
      <w:tblPr/>
      <w:tcPr>
        <w:tcBorders>
          <w:bottom w:val="single" w:color="000000" w:themeColor="accent1" w:sz="12" w:space="0"/>
        </w:tcBorders>
      </w:tcPr>
    </w:tblStylePr>
    <w:tblStylePr w:type="lastCol">
      <w:pPr/>
      <w:rPr>
        <w:b/>
        <w:color w:themeColor="accent1" w:themeTint="80" w:themeShade="95"/>
      </w:rPr>
      <w:tblPr/>
      <w:tcPr/>
    </w:tblStylePr>
    <w:tblStylePr w:type="lastRow">
      <w:pPr/>
      <w:rPr>
        <w:b/>
        <w:color w:themeColor="accent1" w:themeTint="80"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1" w:themeTint="80" w:themeShade="95"/>
        <w:sz w:val="22"/>
      </w:rPr>
      <w:tblPr/>
      <w:tcPr/>
    </w:tblStylePr>
  </w:style>
  <w:style w:type="table" w:styleId="56">
    <w:name w:val="Grid Table 6 Colorful - Accent 2"/>
    <w:basedOn w:val="771"/>
    <w:uiPriority w:val="99"/>
    <w:pPr>
      <w:spacing w:after="0" w:line="240" w:lineRule="auto"/>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blStylePr w:type="band1Horz">
      <w:pPr/>
      <w:rPr>
        <w:color w:themeColor="accent2" w:themeTint="97" w:themeShade="95"/>
        <w:sz w:val="22"/>
      </w:rPr>
      <w:tblPr/>
      <w:tcPr>
        <w:shd w:val="clear" w:color="FFFFFF" w:fill="FBE6D7" w:themeFill="accent2" w:themeFillTint="32"/>
      </w:tcPr>
    </w:tblStylePr>
    <w:tblStylePr w:type="band1Vert">
      <w:pPr/>
      <w:tblPr/>
      <w:tcPr>
        <w:shd w:val="clear" w:color="FFFFFF" w:fill="FBE6D7" w:themeFill="accent2" w:themeFillTint="32"/>
      </w:tcPr>
    </w:tblStylePr>
    <w:tblStylePr w:type="band2Horz">
      <w:pPr/>
      <w:rPr>
        <w:color w:themeColor="accent2" w:themeTint="97" w:themeShade="95"/>
        <w:sz w:val="22"/>
      </w:rPr>
      <w:tblPr/>
      <w:tcPr/>
    </w:tblStylePr>
    <w:tblStylePr w:type="band2Vert">
      <w:pPr/>
      <w:tblPr/>
      <w:tcPr/>
    </w:tblStylePr>
    <w:tblStylePr w:type="firstCol">
      <w:pPr/>
      <w:rPr>
        <w:b/>
        <w:color w:themeColor="accent2" w:themeTint="97" w:themeShade="95"/>
      </w:rPr>
      <w:tblPr/>
      <w:tcPr/>
    </w:tblStylePr>
    <w:tblStylePr w:type="firstRow">
      <w:pPr/>
      <w:rPr>
        <w:b/>
        <w:color w:themeColor="accent2" w:themeTint="97" w:themeShade="95"/>
      </w:rPr>
      <w:tblPr/>
      <w:tcPr>
        <w:tcBorders>
          <w:bottom w:val="single" w:color="000000" w:themeColor="accent2" w:sz="12" w:space="0"/>
        </w:tcBorders>
      </w:tcPr>
    </w:tblStylePr>
    <w:tblStylePr w:type="lastCol">
      <w:pPr/>
      <w:rPr>
        <w:b/>
        <w:color w:themeColor="accent2" w:themeTint="97" w:themeShade="95"/>
      </w:rPr>
      <w:tblPr/>
      <w:tcPr/>
    </w:tblStylePr>
    <w:tblStylePr w:type="lastRow">
      <w:pPr/>
      <w:rPr>
        <w:b/>
        <w:color w:themeColor="accent2" w:themeTint="97"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2" w:themeTint="97" w:themeShade="95"/>
        <w:sz w:val="22"/>
      </w:rPr>
      <w:tblPr/>
      <w:tcPr/>
    </w:tblStylePr>
  </w:style>
  <w:style w:type="table" w:styleId="57">
    <w:name w:val="Grid Table 6 Colorful - Accent 3"/>
    <w:basedOn w:val="771"/>
    <w:uiPriority w:val="99"/>
    <w:pPr>
      <w:spacing w:after="0" w:line="240" w:lineRule="auto"/>
    </w:pPr>
    <w:tblPr>
      <w:tblStyleRowBandSize w:val="1"/>
      <w:tblStyleColBandSize w:val="1"/>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blStylePr w:type="band1Horz">
      <w:pPr/>
      <w:rPr>
        <w:color w:themeColor="accent3" w:themeTint="fe" w:themeShade="95"/>
        <w:sz w:val="22"/>
      </w:rPr>
      <w:tblPr/>
      <w:tcPr>
        <w:shd w:val="clear" w:color="FFFFFF" w:fill="EDEDED" w:themeFill="accent3" w:themeFillTint="34"/>
      </w:tcPr>
    </w:tblStylePr>
    <w:tblStylePr w:type="band1Vert">
      <w:pPr/>
      <w:tblPr/>
      <w:tcPr>
        <w:shd w:val="clear" w:color="FFFFFF" w:fill="EDEDED" w:themeFill="accent3" w:themeFillTint="34"/>
      </w:tcPr>
    </w:tblStylePr>
    <w:tblStylePr w:type="band2Horz">
      <w:pPr/>
      <w:rPr>
        <w:color w:themeColor="accent3" w:themeTint="fe" w:themeShade="95"/>
        <w:sz w:val="22"/>
      </w:rPr>
      <w:tblPr/>
      <w:tcPr/>
    </w:tblStylePr>
    <w:tblStylePr w:type="band2Vert">
      <w:pPr/>
      <w:tblPr/>
      <w:tcPr/>
    </w:tblStylePr>
    <w:tblStylePr w:type="firstCol">
      <w:pPr/>
      <w:rPr>
        <w:b/>
        <w:color w:themeColor="accent3" w:themeTint="fe" w:themeShade="95"/>
      </w:rPr>
      <w:tblPr/>
      <w:tcPr/>
    </w:tblStylePr>
    <w:tblStylePr w:type="firstRow">
      <w:pPr/>
      <w:rPr>
        <w:b/>
        <w:color w:themeColor="accent3" w:themeTint="fe" w:themeShade="95"/>
      </w:rPr>
      <w:tblPr/>
      <w:tcPr>
        <w:tcBorders>
          <w:bottom w:val="single" w:color="000000" w:themeColor="accent3" w:sz="12" w:space="0"/>
        </w:tcBorders>
      </w:tcPr>
    </w:tblStylePr>
    <w:tblStylePr w:type="lastCol">
      <w:pPr/>
      <w:rPr>
        <w:b/>
        <w:color w:themeColor="accent3" w:themeTint="fe" w:themeShade="95"/>
      </w:rPr>
      <w:tblPr/>
      <w:tcPr/>
    </w:tblStylePr>
    <w:tblStylePr w:type="lastRow">
      <w:pPr/>
      <w:rPr>
        <w:b/>
        <w:color w:themeColor="accent3" w:themeTint="fe"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3" w:themeTint="fe" w:themeShade="95"/>
        <w:sz w:val="22"/>
      </w:rPr>
      <w:tblPr/>
      <w:tcPr/>
    </w:tblStylePr>
  </w:style>
  <w:style w:type="table" w:styleId="58">
    <w:name w:val="Grid Table 6 Colorful - Accent 4"/>
    <w:basedOn w:val="771"/>
    <w:uiPriority w:val="99"/>
    <w:pPr>
      <w:spacing w:after="0" w:line="240" w:lineRule="auto"/>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blStylePr w:type="band1Horz">
      <w:pPr/>
      <w:rPr>
        <w:color w:themeColor="accent4" w:themeTint="9a" w:themeShade="95"/>
        <w:sz w:val="22"/>
      </w:rPr>
      <w:tblPr/>
      <w:tcPr>
        <w:shd w:val="clear" w:color="FFFFFF" w:fill="FFF2CB" w:themeFill="accent4" w:themeFillTint="34"/>
      </w:tcPr>
    </w:tblStylePr>
    <w:tblStylePr w:type="band1Vert">
      <w:pPr/>
      <w:tblPr/>
      <w:tcPr>
        <w:shd w:val="clear" w:color="FFFFFF" w:fill="FFF2CB" w:themeFill="accent4" w:themeFillTint="34"/>
      </w:tcPr>
    </w:tblStylePr>
    <w:tblStylePr w:type="band2Horz">
      <w:pPr/>
      <w:rPr>
        <w:color w:themeColor="accent4" w:themeTint="9a" w:themeShade="95"/>
        <w:sz w:val="22"/>
      </w:rPr>
      <w:tblPr/>
      <w:tcPr/>
    </w:tblStylePr>
    <w:tblStylePr w:type="band2Vert">
      <w:pPr/>
      <w:tblPr/>
      <w:tcPr/>
    </w:tblStylePr>
    <w:tblStylePr w:type="firstCol">
      <w:pPr/>
      <w:rPr>
        <w:b/>
        <w:color w:themeColor="accent4" w:themeTint="9a" w:themeShade="95"/>
      </w:rPr>
      <w:tblPr/>
      <w:tcPr/>
    </w:tblStylePr>
    <w:tblStylePr w:type="firstRow">
      <w:pPr/>
      <w:rPr>
        <w:b/>
        <w:color w:themeColor="accent4" w:themeTint="9a" w:themeShade="95"/>
      </w:rPr>
      <w:tblPr/>
      <w:tcPr>
        <w:tcBorders>
          <w:bottom w:val="single" w:color="000000" w:themeColor="accent4" w:sz="12" w:space="0"/>
        </w:tcBorders>
      </w:tcPr>
    </w:tblStylePr>
    <w:tblStylePr w:type="lastCol">
      <w:pPr/>
      <w:rPr>
        <w:b/>
        <w:color w:themeColor="accent4" w:themeTint="9a" w:themeShade="95"/>
      </w:rPr>
      <w:tblPr/>
      <w:tcPr/>
    </w:tblStylePr>
    <w:tblStylePr w:type="lastRow">
      <w:pPr/>
      <w:rPr>
        <w:b/>
        <w:color w:themeColor="accent4" w:themeTint="9a"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4" w:themeTint="9a" w:themeShade="95"/>
        <w:sz w:val="22"/>
      </w:rPr>
      <w:tblPr/>
      <w:tcPr/>
    </w:tblStylePr>
  </w:style>
  <w:style w:type="table" w:styleId="59">
    <w:name w:val="Grid Table 6 Colorful - Accent 5"/>
    <w:basedOn w:val="771"/>
    <w:uiPriority w:val="99"/>
    <w:pPr>
      <w:spacing w:after="0" w:line="240" w:lineRule="auto"/>
    </w:p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blStylePr w:type="band1Horz">
      <w:pPr/>
      <w:rPr>
        <w:color w:themeColor="accent5" w:themeShade="95"/>
        <w:sz w:val="22"/>
      </w:rPr>
      <w:tblPr/>
      <w:tcPr>
        <w:shd w:val="clear" w:color="FFFFFF" w:fill="DEEBF6" w:themeFill="accent5" w:themeFillTint="34"/>
      </w:tcPr>
    </w:tblStylePr>
    <w:tblStylePr w:type="band1Vert">
      <w:pPr/>
      <w:tblPr/>
      <w:tcPr>
        <w:shd w:val="clear" w:color="FFFFFF" w:fill="DEEBF6" w:themeFill="accent5" w:themeFillTint="34"/>
      </w:tcPr>
    </w:tblStylePr>
    <w:tblStylePr w:type="band2Horz">
      <w:pPr/>
      <w:rPr>
        <w:color w:themeColor="accent5" w:themeShade="95"/>
        <w:sz w:val="22"/>
      </w:rPr>
      <w:tblPr/>
      <w:tcPr/>
    </w:tblStylePr>
    <w:tblStylePr w:type="band2Vert">
      <w:pPr/>
      <w:tblPr/>
      <w:tcPr/>
    </w:tblStylePr>
    <w:tblStylePr w:type="firstCol">
      <w:pPr/>
      <w:rPr>
        <w:b/>
        <w:color w:themeColor="accent5" w:themeShade="95"/>
      </w:rPr>
      <w:tblPr/>
      <w:tcPr/>
    </w:tblStylePr>
    <w:tblStylePr w:type="firstRow">
      <w:pPr/>
      <w:rPr>
        <w:b/>
        <w:color w:themeColor="accent5" w:themeShade="95"/>
      </w:rPr>
      <w:tblPr/>
      <w:tcPr>
        <w:tcBorders>
          <w:bottom w:val="single" w:color="000000" w:themeColor="accent5" w:sz="12" w:space="0"/>
        </w:tcBorders>
      </w:tcPr>
    </w:tblStylePr>
    <w:tblStylePr w:type="lastCol">
      <w:pPr/>
      <w:rPr>
        <w:b/>
        <w:color w:themeColor="accent5" w:themeShade="95"/>
      </w:rPr>
      <w:tblPr/>
      <w:tcPr/>
    </w:tblStylePr>
    <w:tblStylePr w:type="lastRow">
      <w:pPr/>
      <w:rPr>
        <w:b/>
        <w:color w:themeColor="accent5"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5" w:themeShade="95"/>
        <w:sz w:val="22"/>
      </w:rPr>
      <w:tblPr/>
      <w:tcPr/>
    </w:tblStylePr>
  </w:style>
  <w:style w:type="table" w:styleId="60">
    <w:name w:val="Grid Table 6 Colorful - Accent 6"/>
    <w:basedOn w:val="771"/>
    <w:uiPriority w:val="99"/>
    <w:pPr>
      <w:spacing w:after="0" w:line="240" w:lineRule="auto"/>
    </w:p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blStylePr w:type="band1Horz">
      <w:pPr/>
      <w:rPr>
        <w:color w:themeColor="accent5" w:themeShade="95"/>
        <w:sz w:val="22"/>
      </w:rPr>
      <w:tblPr/>
      <w:tcPr>
        <w:shd w:val="clear" w:color="FFFFFF" w:fill="E2EFD9" w:themeFill="accent6" w:themeFillTint="34"/>
      </w:tcPr>
    </w:tblStylePr>
    <w:tblStylePr w:type="band1Vert">
      <w:pPr/>
      <w:tblPr/>
      <w:tcPr>
        <w:shd w:val="clear" w:color="FFFFFF" w:fill="E2EFD9" w:themeFill="accent6" w:themeFillTint="34"/>
      </w:tcPr>
    </w:tblStylePr>
    <w:tblStylePr w:type="band2Horz">
      <w:pPr/>
      <w:rPr>
        <w:color w:themeColor="accent5" w:themeShade="95"/>
        <w:sz w:val="22"/>
      </w:rPr>
      <w:tblPr/>
      <w:tcPr/>
    </w:tblStylePr>
    <w:tblStylePr w:type="band2Vert">
      <w:pPr/>
      <w:tblPr/>
      <w:tcPr/>
    </w:tblStylePr>
    <w:tblStylePr w:type="firstCol">
      <w:pPr/>
      <w:rPr>
        <w:b/>
        <w:color w:themeColor="accent5" w:themeShade="95"/>
      </w:rPr>
      <w:tblPr/>
      <w:tcPr/>
    </w:tblStylePr>
    <w:tblStylePr w:type="firstRow">
      <w:pPr/>
      <w:rPr>
        <w:b/>
        <w:color w:themeColor="accent5" w:themeShade="95"/>
      </w:rPr>
      <w:tblPr/>
      <w:tcPr>
        <w:tcBorders>
          <w:bottom w:val="single" w:color="000000" w:themeColor="accent6" w:sz="12" w:space="0"/>
        </w:tcBorders>
      </w:tcPr>
    </w:tblStylePr>
    <w:tblStylePr w:type="lastCol">
      <w:pPr/>
      <w:rPr>
        <w:b/>
        <w:color w:themeColor="accent5" w:themeShade="95"/>
      </w:rPr>
      <w:tblPr/>
      <w:tcPr/>
    </w:tblStylePr>
    <w:tblStylePr w:type="lastRow">
      <w:pPr/>
      <w:rPr>
        <w:b/>
        <w:color w:themeColor="accent5"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5" w:themeShade="95"/>
        <w:sz w:val="22"/>
      </w:rPr>
      <w:tblPr/>
      <w:tcPr/>
    </w:tblStylePr>
  </w:style>
  <w:style w:type="table" w:styleId="61">
    <w:name w:val="Grid Table 7 Colorful"/>
    <w:basedOn w:val="771"/>
    <w:uiPriority w:val="99"/>
    <w:pPr>
      <w:spacing w:after="0" w:line="240" w:lineRule="auto"/>
    </w:pPr>
    <w:tblPr>
      <w:tblStyleRowBandSize w:val="1"/>
      <w:tblStyleColBandSize w:val="1"/>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blStylePr w:type="band1Horz">
      <w:pPr/>
      <w:rPr>
        <w:color w:themeColor="text1" w:themeTint="80" w:themeShade="95"/>
        <w:sz w:val="22"/>
      </w:rPr>
      <w:tblPr/>
      <w:tcPr>
        <w:shd w:val="clear" w:color="FFFFFF" w:fill="F2F2F2" w:themeFill="text1" w:themeFillTint="d"/>
      </w:tcPr>
    </w:tblStylePr>
    <w:tblStylePr w:type="band1Vert">
      <w:pPr/>
      <w:tblPr/>
      <w:tcPr>
        <w:shd w:val="clear" w:color="FFFFFF" w:fill="F2F2F2" w:themeFill="text1" w:themeFillTint="d"/>
      </w:tcPr>
    </w:tblStylePr>
    <w:tblStylePr w:type="band2Horz">
      <w:pPr/>
      <w:rPr>
        <w:color w:themeColor="text1" w:themeTint="80" w:themeShade="95"/>
        <w:sz w:val="22"/>
      </w:rPr>
      <w:tblPr/>
      <w:tcPr/>
    </w:tblStylePr>
    <w:tblStylePr w:type="band2Vert">
      <w:pPr/>
      <w:tblPr/>
      <w:tcPr/>
    </w:tblStylePr>
    <w:tblStylePr w:type="firstCol">
      <w:pPr>
        <w:jc w:val="right"/>
      </w:pPr>
      <w:rPr>
        <w:i/>
        <w:color w:themeColor="text1" w:themeTint="80" w:themeShade="95"/>
        <w:sz w:val="22"/>
      </w:rPr>
      <w:tblPr/>
      <w:tcPr>
        <w:tcBorders>
          <w:top w:val="none"/>
          <w:left w:val="none"/>
          <w:bottom w:val="none"/>
          <w:right w:val="single" w:color="000000" w:themeColor="text1" w:sz="4" w:space="0"/>
        </w:tcBorders>
        <w:shd w:color="FFFFFF"/>
      </w:tcPr>
    </w:tblStylePr>
    <w:tblStylePr w:type="firstRow">
      <w:pPr/>
      <w:rPr>
        <w:b/>
        <w:color w:themeColor="text1" w:themeTint="80" w:themeShade="95"/>
        <w:sz w:val="22"/>
      </w:rPr>
      <w:tblPr/>
      <w:tcPr>
        <w:tcBorders>
          <w:top w:val="none"/>
          <w:left w:val="none"/>
          <w:bottom w:val="single" w:color="000000" w:themeColor="text1" w:sz="4" w:space="0"/>
          <w:right w:val="none"/>
        </w:tcBorders>
        <w:shd w:val="clear" w:color="FFFFFF" w:fill="FFFFFF" w:themeFill="light1"/>
      </w:tcPr>
    </w:tblStylePr>
    <w:tblStylePr w:type="lastCol">
      <w:pPr/>
      <w:rPr>
        <w:i/>
        <w:color w:themeColor="text1" w:themeTint="80" w:themeShade="95"/>
        <w:sz w:val="22"/>
      </w:rPr>
      <w:tblPr/>
      <w:tcPr>
        <w:tcBorders>
          <w:top w:val="none"/>
          <w:left w:val="single" w:color="000000" w:themeColor="text1" w:sz="4" w:space="0"/>
          <w:bottom w:val="none"/>
          <w:right w:val="none"/>
        </w:tcBorders>
        <w:shd w:color="FFFFFF"/>
      </w:tcPr>
    </w:tblStylePr>
    <w:tblStylePr w:type="lastRow">
      <w:pPr/>
      <w:rPr>
        <w:b/>
        <w:color w:themeColor="text1" w:themeTint="80" w:themeShade="95"/>
        <w:sz w:val="22"/>
      </w:rPr>
      <w:tblPr/>
      <w:tcPr>
        <w:tcBorders>
          <w:top w:val="single" w:color="000000" w:themeColor="text1"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2">
    <w:name w:val="Grid Table 7 Colorful - Accent 1"/>
    <w:basedOn w:val="771"/>
    <w:uiPriority w:val="99"/>
    <w:pPr>
      <w:spacing w:after="0" w:line="240" w:lineRule="auto"/>
    </w:pPr>
    <w:tblPr>
      <w:tblStyleRowBandSize w:val="1"/>
      <w:tblStyleColBandSize w:val="1"/>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blStylePr w:type="band1Horz">
      <w:pPr/>
      <w:rPr>
        <w:color w:themeColor="accent1" w:themeTint="80" w:themeShade="95"/>
        <w:sz w:val="22"/>
      </w:rPr>
      <w:tblPr/>
      <w:tcPr>
        <w:shd w:val="clear" w:color="FFFFFF" w:fill="D9E2F3" w:themeFill="accent1" w:themeFillTint="34"/>
      </w:tcPr>
    </w:tblStylePr>
    <w:tblStylePr w:type="band1Vert">
      <w:pPr/>
      <w:tblPr/>
      <w:tcPr>
        <w:shd w:val="clear" w:color="FFFFFF" w:fill="D9E2F3" w:themeFill="accent1" w:themeFillTint="34"/>
      </w:tcPr>
    </w:tblStylePr>
    <w:tblStylePr w:type="band2Horz">
      <w:pPr/>
      <w:rPr>
        <w:color w:themeColor="accent1" w:themeTint="80" w:themeShade="95"/>
        <w:sz w:val="22"/>
      </w:rPr>
      <w:tblPr/>
      <w:tcPr/>
    </w:tblStylePr>
    <w:tblStylePr w:type="band2Vert">
      <w:pPr/>
      <w:tblPr/>
      <w:tcPr/>
    </w:tblStylePr>
    <w:tblStylePr w:type="firstCol">
      <w:pPr>
        <w:jc w:val="right"/>
      </w:pPr>
      <w:rPr>
        <w:i/>
        <w:color w:themeColor="accent1" w:themeTint="80" w:themeShade="95"/>
        <w:sz w:val="22"/>
      </w:rPr>
      <w:tblPr/>
      <w:tcPr>
        <w:tcBorders>
          <w:top w:val="none"/>
          <w:left w:val="none"/>
          <w:bottom w:val="none"/>
          <w:right w:val="single" w:color="000000" w:themeColor="accent1" w:sz="4" w:space="0"/>
        </w:tcBorders>
        <w:shd w:color="FFFFFF"/>
      </w:tcPr>
    </w:tblStylePr>
    <w:tblStylePr w:type="firstRow">
      <w:pPr/>
      <w:rPr>
        <w:b/>
        <w:color w:themeColor="accent1" w:themeTint="80" w:themeShade="95"/>
        <w:sz w:val="22"/>
      </w:rPr>
      <w:tblPr/>
      <w:tcPr>
        <w:tcBorders>
          <w:top w:val="none"/>
          <w:left w:val="none"/>
          <w:bottom w:val="single" w:color="000000" w:themeColor="accent1" w:sz="4" w:space="0"/>
          <w:right w:val="none"/>
        </w:tcBorders>
        <w:shd w:val="clear" w:color="FFFFFF" w:fill="FFFFFF" w:themeFill="light1"/>
      </w:tcPr>
    </w:tblStylePr>
    <w:tblStylePr w:type="lastCol">
      <w:pPr/>
      <w:rPr>
        <w:i/>
        <w:color w:themeColor="accent1" w:themeTint="80" w:themeShade="95"/>
        <w:sz w:val="22"/>
      </w:rPr>
      <w:tblPr/>
      <w:tcPr>
        <w:tcBorders>
          <w:top w:val="none"/>
          <w:left w:val="single" w:color="000000" w:themeColor="accent1" w:sz="4" w:space="0"/>
          <w:bottom w:val="none"/>
          <w:right w:val="none"/>
        </w:tcBorders>
        <w:shd w:color="FFFFFF"/>
      </w:tcPr>
    </w:tblStylePr>
    <w:tblStylePr w:type="lastRow">
      <w:pPr/>
      <w:rPr>
        <w:b/>
        <w:color w:themeColor="accent1" w:themeTint="80" w:themeShade="95"/>
        <w:sz w:val="22"/>
      </w:rPr>
      <w:tblPr/>
      <w:tcPr>
        <w:tcBorders>
          <w:top w:val="single" w:color="000000" w:themeColor="accent1"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3">
    <w:name w:val="Grid Table 7 Colorful - Accent 2"/>
    <w:basedOn w:val="771"/>
    <w:uiPriority w:val="99"/>
    <w:pPr>
      <w:spacing w:after="0" w:line="240" w:lineRule="auto"/>
    </w:pPr>
    <w:tblPr>
      <w:tblStyleRowBandSize w:val="1"/>
      <w:tblStyleColBandSize w:val="1"/>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blStylePr w:type="band1Horz">
      <w:pPr/>
      <w:rPr>
        <w:color w:themeColor="accent2" w:themeTint="97" w:themeShade="95"/>
        <w:sz w:val="22"/>
      </w:rPr>
      <w:tblPr/>
      <w:tcPr>
        <w:shd w:val="clear" w:color="FFFFFF" w:fill="FBE6D7" w:themeFill="accent2" w:themeFillTint="32"/>
      </w:tcPr>
    </w:tblStylePr>
    <w:tblStylePr w:type="band1Vert">
      <w:pPr/>
      <w:tblPr/>
      <w:tcPr>
        <w:shd w:val="clear" w:color="FFFFFF" w:fill="FBE6D7" w:themeFill="accent2" w:themeFillTint="32"/>
      </w:tcPr>
    </w:tblStylePr>
    <w:tblStylePr w:type="band2Horz">
      <w:pPr/>
      <w:rPr>
        <w:color w:themeColor="accent2" w:themeTint="97" w:themeShade="95"/>
        <w:sz w:val="22"/>
      </w:rPr>
      <w:tblPr/>
      <w:tcPr/>
    </w:tblStylePr>
    <w:tblStylePr w:type="band2Vert">
      <w:pPr/>
      <w:tblPr/>
      <w:tcPr/>
    </w:tblStylePr>
    <w:tblStylePr w:type="firstCol">
      <w:pPr>
        <w:jc w:val="right"/>
      </w:pPr>
      <w:rPr>
        <w:i/>
        <w:color w:themeColor="accent2" w:themeTint="97" w:themeShade="95"/>
        <w:sz w:val="22"/>
      </w:rPr>
      <w:tblPr/>
      <w:tcPr>
        <w:tcBorders>
          <w:top w:val="none"/>
          <w:left w:val="none"/>
          <w:bottom w:val="none"/>
          <w:right w:val="single" w:color="000000" w:themeColor="accent2" w:sz="4" w:space="0"/>
        </w:tcBorders>
        <w:shd w:color="FFFFFF"/>
      </w:tcPr>
    </w:tblStylePr>
    <w:tblStylePr w:type="firstRow">
      <w:pPr/>
      <w:rPr>
        <w:b/>
        <w:color w:themeColor="accent2" w:themeTint="97" w:themeShade="95"/>
        <w:sz w:val="22"/>
      </w:rPr>
      <w:tblPr/>
      <w:tcPr>
        <w:tcBorders>
          <w:top w:val="none"/>
          <w:left w:val="none"/>
          <w:bottom w:val="single" w:color="000000" w:themeColor="accent2" w:sz="4" w:space="0"/>
          <w:right w:val="none"/>
        </w:tcBorders>
        <w:shd w:val="clear" w:color="FFFFFF" w:fill="FFFFFF" w:themeFill="light1"/>
      </w:tcPr>
    </w:tblStylePr>
    <w:tblStylePr w:type="lastCol">
      <w:pPr/>
      <w:rPr>
        <w:i/>
        <w:color w:themeColor="accent2" w:themeTint="97" w:themeShade="95"/>
        <w:sz w:val="22"/>
      </w:rPr>
      <w:tblPr/>
      <w:tcPr>
        <w:tcBorders>
          <w:top w:val="none"/>
          <w:left w:val="single" w:color="000000" w:themeColor="accent2" w:sz="4" w:space="0"/>
          <w:bottom w:val="none"/>
          <w:right w:val="none"/>
        </w:tcBorders>
        <w:shd w:color="FFFFFF"/>
      </w:tcPr>
    </w:tblStylePr>
    <w:tblStylePr w:type="lastRow">
      <w:pPr/>
      <w:rPr>
        <w:b/>
        <w:color w:themeColor="accent2" w:themeTint="97" w:themeShade="95"/>
        <w:sz w:val="22"/>
      </w:rPr>
      <w:tblPr/>
      <w:tcPr>
        <w:tcBorders>
          <w:top w:val="single" w:color="000000" w:themeColor="accent2"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4">
    <w:name w:val="Grid Table 7 Colorful - Accent 3"/>
    <w:basedOn w:val="771"/>
    <w:uiPriority w:val="99"/>
    <w:pPr>
      <w:spacing w:after="0" w:line="240" w:lineRule="auto"/>
    </w:pPr>
    <w:tblPr>
      <w:tblStyleRowBandSize w:val="1"/>
      <w:tblStyleColBandSize w:val="1"/>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blStylePr w:type="band1Horz">
      <w:pPr/>
      <w:rPr>
        <w:color w:themeColor="accent3" w:themeTint="fe" w:themeShade="95"/>
        <w:sz w:val="22"/>
      </w:rPr>
      <w:tblPr/>
      <w:tcPr>
        <w:shd w:val="clear" w:color="FFFFFF" w:fill="EDEDED" w:themeFill="accent3" w:themeFillTint="34"/>
      </w:tcPr>
    </w:tblStylePr>
    <w:tblStylePr w:type="band1Vert">
      <w:pPr/>
      <w:tblPr/>
      <w:tcPr>
        <w:shd w:val="clear" w:color="FFFFFF" w:fill="EDEDED" w:themeFill="accent3" w:themeFillTint="34"/>
      </w:tcPr>
    </w:tblStylePr>
    <w:tblStylePr w:type="band2Horz">
      <w:pPr/>
      <w:rPr>
        <w:color w:themeColor="accent3" w:themeTint="fe" w:themeShade="95"/>
        <w:sz w:val="22"/>
      </w:rPr>
      <w:tblPr/>
      <w:tcPr/>
    </w:tblStylePr>
    <w:tblStylePr w:type="band2Vert">
      <w:pPr/>
      <w:tblPr/>
      <w:tcPr/>
    </w:tblStylePr>
    <w:tblStylePr w:type="firstCol">
      <w:pPr>
        <w:jc w:val="right"/>
      </w:pPr>
      <w:rPr>
        <w:i/>
        <w:color w:themeColor="accent3" w:themeTint="fe" w:themeShade="95"/>
        <w:sz w:val="22"/>
      </w:rPr>
      <w:tblPr/>
      <w:tcPr>
        <w:tcBorders>
          <w:top w:val="none"/>
          <w:left w:val="none"/>
          <w:bottom w:val="none"/>
          <w:right w:val="single" w:color="000000" w:themeColor="accent3" w:sz="4" w:space="0"/>
        </w:tcBorders>
        <w:shd w:color="FFFFFF"/>
      </w:tcPr>
    </w:tblStylePr>
    <w:tblStylePr w:type="firstRow">
      <w:pPr/>
      <w:rPr>
        <w:b/>
        <w:color w:themeColor="accent3" w:themeTint="fe" w:themeShade="95"/>
        <w:sz w:val="22"/>
      </w:rPr>
      <w:tblPr/>
      <w:tcPr>
        <w:tcBorders>
          <w:top w:val="none"/>
          <w:left w:val="none"/>
          <w:bottom w:val="single" w:color="000000" w:themeColor="accent3" w:sz="4" w:space="0"/>
          <w:right w:val="none"/>
        </w:tcBorders>
        <w:shd w:val="clear" w:color="FFFFFF" w:fill="FFFFFF" w:themeFill="light1"/>
      </w:tcPr>
    </w:tblStylePr>
    <w:tblStylePr w:type="lastCol">
      <w:pPr/>
      <w:rPr>
        <w:i/>
        <w:color w:themeColor="accent3" w:themeTint="fe" w:themeShade="95"/>
        <w:sz w:val="22"/>
      </w:rPr>
      <w:tblPr/>
      <w:tcPr>
        <w:tcBorders>
          <w:top w:val="none"/>
          <w:left w:val="single" w:color="000000" w:themeColor="accent3" w:sz="4" w:space="0"/>
          <w:bottom w:val="none"/>
          <w:right w:val="none"/>
        </w:tcBorders>
        <w:shd w:color="FFFFFF"/>
      </w:tcPr>
    </w:tblStylePr>
    <w:tblStylePr w:type="lastRow">
      <w:pPr/>
      <w:rPr>
        <w:b/>
        <w:color w:themeColor="accent3" w:themeTint="fe" w:themeShade="95"/>
        <w:sz w:val="22"/>
      </w:rPr>
      <w:tblPr/>
      <w:tcPr>
        <w:tcBorders>
          <w:top w:val="single" w:color="000000" w:themeColor="accent3"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5">
    <w:name w:val="Grid Table 7 Colorful - Accent 4"/>
    <w:basedOn w:val="771"/>
    <w:uiPriority w:val="99"/>
    <w:pPr>
      <w:spacing w:after="0" w:line="240" w:lineRule="auto"/>
    </w:pPr>
    <w:tblPr>
      <w:tblStyleRowBandSize w:val="1"/>
      <w:tblStyleColBandSize w:val="1"/>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blStylePr w:type="band1Horz">
      <w:pPr/>
      <w:rPr>
        <w:color w:themeColor="accent4" w:themeTint="9a" w:themeShade="95"/>
        <w:sz w:val="22"/>
      </w:rPr>
      <w:tblPr/>
      <w:tcPr>
        <w:shd w:val="clear" w:color="FFFFFF" w:fill="FFF2CB" w:themeFill="accent4" w:themeFillTint="34"/>
      </w:tcPr>
    </w:tblStylePr>
    <w:tblStylePr w:type="band1Vert">
      <w:pPr/>
      <w:tblPr/>
      <w:tcPr>
        <w:shd w:val="clear" w:color="FFFFFF" w:fill="FFF2CB" w:themeFill="accent4" w:themeFillTint="34"/>
      </w:tcPr>
    </w:tblStylePr>
    <w:tblStylePr w:type="band2Horz">
      <w:pPr/>
      <w:rPr>
        <w:color w:themeColor="accent4" w:themeTint="9a" w:themeShade="95"/>
        <w:sz w:val="22"/>
      </w:rPr>
      <w:tblPr/>
      <w:tcPr/>
    </w:tblStylePr>
    <w:tblStylePr w:type="band2Vert">
      <w:pPr/>
      <w:tblPr/>
      <w:tcPr/>
    </w:tblStylePr>
    <w:tblStylePr w:type="firstCol">
      <w:pPr>
        <w:jc w:val="right"/>
      </w:pPr>
      <w:rPr>
        <w:i/>
        <w:color w:themeColor="accent4" w:themeTint="9a" w:themeShade="95"/>
        <w:sz w:val="22"/>
      </w:rPr>
      <w:tblPr/>
      <w:tcPr>
        <w:tcBorders>
          <w:top w:val="none"/>
          <w:left w:val="none"/>
          <w:bottom w:val="none"/>
          <w:right w:val="single" w:color="000000" w:themeColor="accent4" w:sz="4" w:space="0"/>
        </w:tcBorders>
        <w:shd w:color="FFFFFF"/>
      </w:tcPr>
    </w:tblStylePr>
    <w:tblStylePr w:type="firstRow">
      <w:pPr/>
      <w:rPr>
        <w:b/>
        <w:color w:themeColor="accent4" w:themeTint="9a" w:themeShade="95"/>
        <w:sz w:val="22"/>
      </w:rPr>
      <w:tblPr/>
      <w:tcPr>
        <w:tcBorders>
          <w:top w:val="none"/>
          <w:left w:val="none"/>
          <w:bottom w:val="single" w:color="000000" w:themeColor="accent4" w:sz="4" w:space="0"/>
          <w:right w:val="none"/>
        </w:tcBorders>
        <w:shd w:val="clear" w:color="FFFFFF" w:fill="FFFFFF" w:themeFill="light1"/>
      </w:tcPr>
    </w:tblStylePr>
    <w:tblStylePr w:type="lastCol">
      <w:pPr/>
      <w:rPr>
        <w:i/>
        <w:color w:themeColor="accent4" w:themeTint="9a" w:themeShade="95"/>
        <w:sz w:val="22"/>
      </w:rPr>
      <w:tblPr/>
      <w:tcPr>
        <w:tcBorders>
          <w:top w:val="none"/>
          <w:left w:val="single" w:color="000000" w:themeColor="accent4" w:sz="4" w:space="0"/>
          <w:bottom w:val="none"/>
          <w:right w:val="none"/>
        </w:tcBorders>
        <w:shd w:color="FFFFFF"/>
      </w:tcPr>
    </w:tblStylePr>
    <w:tblStylePr w:type="lastRow">
      <w:pPr/>
      <w:rPr>
        <w:b/>
        <w:color w:themeColor="accent4" w:themeTint="9a" w:themeShade="95"/>
        <w:sz w:val="22"/>
      </w:rPr>
      <w:tblPr/>
      <w:tcPr>
        <w:tcBorders>
          <w:top w:val="single" w:color="000000" w:themeColor="accent4"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6">
    <w:name w:val="Grid Table 7 Colorful - Accent 5"/>
    <w:basedOn w:val="771"/>
    <w:uiPriority w:val="99"/>
    <w:pPr>
      <w:spacing w:after="0" w:line="240" w:lineRule="auto"/>
    </w:pPr>
    <w:tblPr>
      <w:tblStyleRowBandSize w:val="1"/>
      <w:tblStyleColBandSize w:val="1"/>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blStylePr w:type="band1Horz">
      <w:pPr/>
      <w:rPr>
        <w:color w:themeColor="accent5" w:themeShade="95"/>
        <w:sz w:val="22"/>
      </w:rPr>
      <w:tblPr/>
      <w:tcPr>
        <w:shd w:val="clear" w:color="FFFFFF" w:fill="DEEBF6" w:themeFill="accent5" w:themeFillTint="34"/>
      </w:tcPr>
    </w:tblStylePr>
    <w:tblStylePr w:type="band1Vert">
      <w:pPr/>
      <w:tblPr/>
      <w:tcPr>
        <w:shd w:val="clear" w:color="FFFFFF" w:fill="DEEBF6" w:themeFill="accent5" w:themeFillTint="34"/>
      </w:tcPr>
    </w:tblStylePr>
    <w:tblStylePr w:type="band2Horz">
      <w:pPr/>
      <w:rPr>
        <w:color w:themeColor="accent5" w:themeShade="95"/>
        <w:sz w:val="22"/>
      </w:rPr>
      <w:tblPr/>
      <w:tcPr/>
    </w:tblStylePr>
    <w:tblStylePr w:type="band2Vert">
      <w:pPr/>
      <w:tblPr/>
      <w:tcPr/>
    </w:tblStylePr>
    <w:tblStylePr w:type="firstCol">
      <w:pPr>
        <w:jc w:val="right"/>
      </w:pPr>
      <w:rPr>
        <w:i/>
        <w:color w:themeColor="accent5" w:themeShade="95"/>
        <w:sz w:val="22"/>
      </w:rPr>
      <w:tblPr/>
      <w:tcPr>
        <w:tcBorders>
          <w:top w:val="none"/>
          <w:left w:val="none"/>
          <w:bottom w:val="none"/>
          <w:right w:val="single" w:color="000000" w:themeColor="accent5" w:sz="4" w:space="0"/>
        </w:tcBorders>
        <w:shd w:color="FFFFFF"/>
      </w:tcPr>
    </w:tblStylePr>
    <w:tblStylePr w:type="firstRow">
      <w:pPr/>
      <w:rPr>
        <w:b/>
        <w:color w:themeColor="accent5" w:themeShade="95"/>
        <w:sz w:val="22"/>
      </w:rPr>
      <w:tblPr/>
      <w:tcPr>
        <w:tcBorders>
          <w:top w:val="none"/>
          <w:left w:val="none"/>
          <w:bottom w:val="single" w:color="000000" w:themeColor="accent5" w:sz="4" w:space="0"/>
          <w:right w:val="none"/>
        </w:tcBorders>
        <w:shd w:val="clear" w:color="FFFFFF" w:fill="FFFFFF" w:themeFill="light1"/>
      </w:tcPr>
    </w:tblStylePr>
    <w:tblStylePr w:type="lastCol">
      <w:pPr/>
      <w:rPr>
        <w:i/>
        <w:color w:themeColor="accent5" w:themeShade="95"/>
        <w:sz w:val="22"/>
      </w:rPr>
      <w:tblPr/>
      <w:tcPr>
        <w:tcBorders>
          <w:top w:val="none"/>
          <w:left w:val="single" w:color="000000" w:themeColor="accent5" w:sz="4" w:space="0"/>
          <w:bottom w:val="none"/>
          <w:right w:val="none"/>
        </w:tcBorders>
        <w:shd w:color="FFFFFF"/>
      </w:tcPr>
    </w:tblStylePr>
    <w:tblStylePr w:type="lastRow">
      <w:pPr/>
      <w:rPr>
        <w:b/>
        <w:color w:themeColor="accent5" w:themeShade="95"/>
        <w:sz w:val="22"/>
      </w:rPr>
      <w:tblPr/>
      <w:tcPr>
        <w:tcBorders>
          <w:top w:val="single" w:color="000000" w:themeColor="accent5"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7">
    <w:name w:val="Grid Table 7 Colorful - Accent 6"/>
    <w:basedOn w:val="771"/>
    <w:uiPriority w:val="99"/>
    <w:pPr>
      <w:spacing w:after="0" w:line="240" w:lineRule="auto"/>
    </w:pPr>
    <w:tblPr>
      <w:tblStyleRowBandSize w:val="1"/>
      <w:tblStyleColBandSize w:val="1"/>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blStylePr w:type="band1Horz">
      <w:pPr/>
      <w:rPr>
        <w:color w:themeColor="accent6" w:themeShade="95"/>
        <w:sz w:val="22"/>
      </w:rPr>
      <w:tblPr/>
      <w:tcPr>
        <w:shd w:val="clear" w:color="FFFFFF" w:fill="E2EFD9" w:themeFill="accent6" w:themeFillTint="34"/>
      </w:tcPr>
    </w:tblStylePr>
    <w:tblStylePr w:type="band1Vert">
      <w:pPr/>
      <w:tblPr/>
      <w:tcPr>
        <w:shd w:val="clear" w:color="FFFFFF" w:fill="E2EFD9" w:themeFill="accent6" w:themeFillTint="34"/>
      </w:tcPr>
    </w:tblStylePr>
    <w:tblStylePr w:type="band2Horz">
      <w:pPr/>
      <w:rPr>
        <w:color w:themeColor="accent6" w:themeShade="95"/>
        <w:sz w:val="22"/>
      </w:rPr>
      <w:tblPr/>
      <w:tcPr/>
    </w:tblStylePr>
    <w:tblStylePr w:type="band2Vert">
      <w:pPr/>
      <w:tblPr/>
      <w:tcPr/>
    </w:tblStylePr>
    <w:tblStylePr w:type="firstCol">
      <w:pPr>
        <w:jc w:val="right"/>
      </w:pPr>
      <w:rPr>
        <w:i/>
        <w:color w:themeColor="accent6" w:themeShade="95"/>
        <w:sz w:val="22"/>
      </w:rPr>
      <w:tblPr/>
      <w:tcPr>
        <w:tcBorders>
          <w:top w:val="none"/>
          <w:left w:val="none"/>
          <w:bottom w:val="none"/>
          <w:right w:val="single" w:color="000000" w:themeColor="accent6" w:sz="4" w:space="0"/>
        </w:tcBorders>
        <w:shd w:color="FFFFFF"/>
      </w:tcPr>
    </w:tblStylePr>
    <w:tblStylePr w:type="firstRow">
      <w:pPr/>
      <w:rPr>
        <w:b/>
        <w:color w:themeColor="accent6" w:themeShade="95"/>
        <w:sz w:val="22"/>
      </w:rPr>
      <w:tblPr/>
      <w:tcPr>
        <w:tcBorders>
          <w:top w:val="none"/>
          <w:left w:val="none"/>
          <w:bottom w:val="single" w:color="000000" w:themeColor="accent6" w:sz="4" w:space="0"/>
          <w:right w:val="none"/>
        </w:tcBorders>
        <w:shd w:val="clear" w:color="FFFFFF" w:fill="FFFFFF" w:themeFill="light1"/>
      </w:tcPr>
    </w:tblStylePr>
    <w:tblStylePr w:type="lastCol">
      <w:pPr/>
      <w:rPr>
        <w:i/>
        <w:color w:themeColor="accent6" w:themeShade="95"/>
        <w:sz w:val="22"/>
      </w:rPr>
      <w:tblPr/>
      <w:tcPr>
        <w:tcBorders>
          <w:top w:val="none"/>
          <w:left w:val="single" w:color="000000" w:themeColor="accent6" w:sz="4" w:space="0"/>
          <w:bottom w:val="none"/>
          <w:right w:val="none"/>
        </w:tcBorders>
        <w:shd w:color="FFFFFF"/>
      </w:tcPr>
    </w:tblStylePr>
    <w:tblStylePr w:type="lastRow">
      <w:pPr/>
      <w:rPr>
        <w:b/>
        <w:color w:themeColor="accent6" w:themeShade="95"/>
        <w:sz w:val="22"/>
      </w:rPr>
      <w:tblPr/>
      <w:tcPr>
        <w:tcBorders>
          <w:top w:val="single" w:color="000000" w:themeColor="accent6"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8">
    <w:name w:val="List Table 1 Light"/>
    <w:basedOn w:val="771"/>
    <w:uiPriority w:val="99"/>
    <w:pPr>
      <w:spacing w:after="0" w:line="240" w:lineRule="auto"/>
    </w:pPr>
    <w:tblPr>
      <w:tblStyleRowBandSize w:val="1"/>
      <w:tblStyleColBandSize w:val="1"/>
    </w:tblPr>
    <w:tcPr/>
    <w:tblStylePr w:type="band1Horz">
      <w:pPr/>
      <w:tblPr/>
      <w:tcPr>
        <w:shd w:val="clear" w:color="FFFFFF" w:fill="BFBFBF" w:themeFill="text1" w:themeFillTint="40"/>
      </w:tcPr>
    </w:tblStylePr>
    <w:tblStylePr w:type="band1Vert">
      <w:pPr/>
      <w:tblPr/>
      <w:tcPr>
        <w:shd w:val="clear" w:color="FFFFFF" w:fill="BFBFBF" w:themeFill="text1"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text1" w:sz="4" w:space="0"/>
          <w:right w:val="none" w:color="000000" w:sz="4" w:space="0"/>
        </w:tcBorders>
      </w:tcPr>
    </w:tblStylePr>
    <w:tblStylePr w:type="lastCol">
      <w:pPr/>
      <w:rPr>
        <w:b/>
      </w:rPr>
      <w:tblPr/>
      <w:tcPr/>
    </w:tblStylePr>
    <w:tblStylePr w:type="lastRow">
      <w:pPr/>
      <w:rPr>
        <w:b/>
      </w:rPr>
      <w:tblPr/>
      <w:tcPr>
        <w:tcBorders>
          <w:top w:val="single" w:color="000000" w:themeColor="text1"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69">
    <w:name w:val="List Table 1 Light - Accent 1"/>
    <w:basedOn w:val="771"/>
    <w:uiPriority w:val="99"/>
    <w:pPr>
      <w:spacing w:after="0" w:line="240" w:lineRule="auto"/>
    </w:pPr>
    <w:tblPr>
      <w:tblStyleRowBandSize w:val="1"/>
      <w:tblStyleColBandSize w:val="1"/>
    </w:tblPr>
    <w:tcPr/>
    <w:tblStylePr w:type="band1Horz">
      <w:pPr/>
      <w:tblPr/>
      <w:tcPr>
        <w:shd w:val="clear" w:color="FFFFFF" w:fill="D0DCF0" w:themeFill="accent1" w:themeFillTint="40"/>
      </w:tcPr>
    </w:tblStylePr>
    <w:tblStylePr w:type="band1Vert">
      <w:pPr/>
      <w:tblPr/>
      <w:tcPr>
        <w:shd w:val="clear" w:color="FFFFFF" w:fill="D0DCF0" w:themeFill="accent1"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1" w:sz="4" w:space="0"/>
          <w:right w:val="none" w:color="000000" w:sz="4" w:space="0"/>
        </w:tcBorders>
      </w:tcPr>
    </w:tblStylePr>
    <w:tblStylePr w:type="lastCol">
      <w:pPr/>
      <w:rPr>
        <w:b/>
      </w:rPr>
      <w:tblPr/>
      <w:tcPr/>
    </w:tblStylePr>
    <w:tblStylePr w:type="lastRow">
      <w:pPr/>
      <w:rPr>
        <w:b/>
      </w:rPr>
      <w:tblPr/>
      <w:tcPr>
        <w:tcBorders>
          <w:top w:val="single" w:color="000000" w:themeColor="accent1"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0">
    <w:name w:val="List Table 1 Light - Accent 2"/>
    <w:basedOn w:val="771"/>
    <w:uiPriority w:val="99"/>
    <w:pPr>
      <w:spacing w:after="0" w:line="240" w:lineRule="auto"/>
    </w:pPr>
    <w:tblPr>
      <w:tblStyleRowBandSize w:val="1"/>
      <w:tblStyleColBandSize w:val="1"/>
    </w:tblPr>
    <w:tcPr/>
    <w:tblStylePr w:type="band1Horz">
      <w:pPr/>
      <w:tblPr/>
      <w:tcPr>
        <w:shd w:val="clear" w:color="FFFFFF" w:fill="FADECB" w:themeFill="accent2" w:themeFillTint="40"/>
      </w:tcPr>
    </w:tblStylePr>
    <w:tblStylePr w:type="band1Vert">
      <w:pPr/>
      <w:tblPr/>
      <w:tcPr>
        <w:shd w:val="clear" w:color="FFFFFF" w:fill="FADECB" w:themeFill="accent2"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2" w:sz="4" w:space="0"/>
          <w:right w:val="none" w:color="000000" w:sz="4" w:space="0"/>
        </w:tcBorders>
      </w:tcPr>
    </w:tblStylePr>
    <w:tblStylePr w:type="lastCol">
      <w:pPr/>
      <w:rPr>
        <w:b/>
      </w:rPr>
      <w:tblPr/>
      <w:tcPr/>
    </w:tblStylePr>
    <w:tblStylePr w:type="lastRow">
      <w:pPr/>
      <w:rPr>
        <w:b/>
      </w:rPr>
      <w:tblPr/>
      <w:tcPr>
        <w:tcBorders>
          <w:top w:val="single" w:color="000000" w:themeColor="accent2"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1">
    <w:name w:val="List Table 1 Light - Accent 3"/>
    <w:basedOn w:val="771"/>
    <w:uiPriority w:val="99"/>
    <w:pPr>
      <w:spacing w:after="0" w:line="240" w:lineRule="auto"/>
    </w:pPr>
    <w:tblPr>
      <w:tblStyleRowBandSize w:val="1"/>
      <w:tblStyleColBandSize w:val="1"/>
    </w:tblPr>
    <w:tcPr/>
    <w:tblStylePr w:type="band1Horz">
      <w:pPr/>
      <w:tblPr/>
      <w:tcPr>
        <w:shd w:val="clear" w:color="FFFFFF" w:fill="E8E8E8" w:themeFill="accent3" w:themeFillTint="40"/>
      </w:tcPr>
    </w:tblStylePr>
    <w:tblStylePr w:type="band1Vert">
      <w:pPr/>
      <w:tblPr/>
      <w:tcPr>
        <w:shd w:val="clear" w:color="FFFFFF" w:fill="E8E8E8" w:themeFill="accent3"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3" w:sz="4" w:space="0"/>
          <w:right w:val="none" w:color="000000" w:sz="4" w:space="0"/>
        </w:tcBorders>
      </w:tcPr>
    </w:tblStylePr>
    <w:tblStylePr w:type="lastCol">
      <w:pPr/>
      <w:rPr>
        <w:b/>
      </w:rPr>
      <w:tblPr/>
      <w:tcPr/>
    </w:tblStylePr>
    <w:tblStylePr w:type="lastRow">
      <w:pPr/>
      <w:rPr>
        <w:b/>
      </w:rPr>
      <w:tblPr/>
      <w:tcPr>
        <w:tcBorders>
          <w:top w:val="single" w:color="000000" w:themeColor="accent3"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2">
    <w:name w:val="List Table 1 Light - Accent 4"/>
    <w:basedOn w:val="771"/>
    <w:uiPriority w:val="99"/>
    <w:pPr>
      <w:spacing w:after="0" w:line="240" w:lineRule="auto"/>
    </w:pPr>
    <w:tblPr>
      <w:tblStyleRowBandSize w:val="1"/>
      <w:tblStyleColBandSize w:val="1"/>
    </w:tblPr>
    <w:tcPr/>
    <w:tblStylePr w:type="band1Horz">
      <w:pPr/>
      <w:tblPr/>
      <w:tcPr>
        <w:shd w:val="clear" w:color="FFFFFF" w:fill="FFEFBF" w:themeFill="accent4" w:themeFillTint="40"/>
      </w:tcPr>
    </w:tblStylePr>
    <w:tblStylePr w:type="band1Vert">
      <w:pPr/>
      <w:tblPr/>
      <w:tcPr>
        <w:shd w:val="clear" w:color="FFFFFF" w:fill="FFEFBF" w:themeFill="accent4"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4" w:sz="4" w:space="0"/>
          <w:right w:val="none" w:color="000000" w:sz="4" w:space="0"/>
        </w:tcBorders>
      </w:tcPr>
    </w:tblStylePr>
    <w:tblStylePr w:type="lastCol">
      <w:pPr/>
      <w:rPr>
        <w:b/>
      </w:rPr>
      <w:tblPr/>
      <w:tcPr/>
    </w:tblStylePr>
    <w:tblStylePr w:type="lastRow">
      <w:pPr/>
      <w:rPr>
        <w:b/>
      </w:rPr>
      <w:tblPr/>
      <w:tcPr>
        <w:tcBorders>
          <w:top w:val="single" w:color="000000" w:themeColor="accent4"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3">
    <w:name w:val="List Table 1 Light - Accent 5"/>
    <w:basedOn w:val="771"/>
    <w:uiPriority w:val="99"/>
    <w:pPr>
      <w:spacing w:after="0" w:line="240" w:lineRule="auto"/>
    </w:pPr>
    <w:tblPr>
      <w:tblStyleRowBandSize w:val="1"/>
      <w:tblStyleColBandSize w:val="1"/>
    </w:tblPr>
    <w:tcPr/>
    <w:tblStylePr w:type="band1Horz">
      <w:pPr/>
      <w:tblPr/>
      <w:tcPr>
        <w:shd w:val="clear" w:color="FFFFFF" w:fill="D6E6F4" w:themeFill="accent5" w:themeFillTint="40"/>
      </w:tcPr>
    </w:tblStylePr>
    <w:tblStylePr w:type="band1Vert">
      <w:pPr/>
      <w:tblPr/>
      <w:tcPr>
        <w:shd w:val="clear" w:color="FFFFFF" w:fill="D6E6F4" w:themeFill="accent5"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5" w:sz="4" w:space="0"/>
          <w:right w:val="none" w:color="000000" w:sz="4" w:space="0"/>
        </w:tcBorders>
      </w:tcPr>
    </w:tblStylePr>
    <w:tblStylePr w:type="lastCol">
      <w:pPr/>
      <w:rPr>
        <w:b/>
      </w:rPr>
      <w:tblPr/>
      <w:tcPr/>
    </w:tblStylePr>
    <w:tblStylePr w:type="lastRow">
      <w:pPr/>
      <w:rPr>
        <w:b/>
      </w:rPr>
      <w:tblPr/>
      <w:tcPr>
        <w:tcBorders>
          <w:top w:val="single" w:color="000000" w:themeColor="accent5"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4">
    <w:name w:val="List Table 1 Light - Accent 6"/>
    <w:basedOn w:val="771"/>
    <w:uiPriority w:val="99"/>
    <w:pPr>
      <w:spacing w:after="0" w:line="240" w:lineRule="auto"/>
    </w:pPr>
    <w:tblPr>
      <w:tblStyleRowBandSize w:val="1"/>
      <w:tblStyleColBandSize w:val="1"/>
    </w:tblPr>
    <w:tcPr/>
    <w:tblStylePr w:type="band1Horz">
      <w:pPr/>
      <w:tblPr/>
      <w:tcPr>
        <w:shd w:val="clear" w:color="FFFFFF" w:fill="DBECD0" w:themeFill="accent6" w:themeFillTint="40"/>
      </w:tcPr>
    </w:tblStylePr>
    <w:tblStylePr w:type="band1Vert">
      <w:pPr/>
      <w:tblPr/>
      <w:tcPr>
        <w:shd w:val="clear" w:color="FFFFFF" w:fill="DBECD0" w:themeFill="accent6"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6" w:sz="4" w:space="0"/>
          <w:right w:val="none" w:color="000000" w:sz="4" w:space="0"/>
        </w:tcBorders>
      </w:tcPr>
    </w:tblStylePr>
    <w:tblStylePr w:type="lastCol">
      <w:pPr/>
      <w:rPr>
        <w:b/>
      </w:rPr>
      <w:tblPr/>
      <w:tcPr/>
    </w:tblStylePr>
    <w:tblStylePr w:type="lastRow">
      <w:pPr/>
      <w:rPr>
        <w:b/>
      </w:rPr>
      <w:tblPr/>
      <w:tcPr>
        <w:tcBorders>
          <w:top w:val="single" w:color="000000" w:themeColor="accent6"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5">
    <w:name w:val="List Table 2"/>
    <w:basedOn w:val="771"/>
    <w:uiPriority w:val="99"/>
    <w:pPr>
      <w:spacing w:after="0" w:line="240" w:lineRule="auto"/>
    </w:pPr>
    <w:tblPr>
      <w:tblStyleRowBandSize w:val="1"/>
      <w:tblStyleColBandSize w:val="1"/>
      <w:tblBorders>
        <w:top w:val="single" w:color="000000" w:themeColor="text1" w:themeTint="90" w:sz="4" w:space="0"/>
        <w:bottom w:val="single" w:color="000000" w:themeColor="text1" w:themeTint="90" w:sz="4" w:space="0"/>
        <w:insideH w:val="single" w:color="000000" w:themeColor="text1" w:themeTint="90" w:sz="4" w:space="0"/>
      </w:tblBorders>
    </w:tblPr>
    <w:tcPr/>
    <w:tblStylePr w:type="band1Horz">
      <w:pPr/>
      <w:rPr>
        <w:sz w:val="22"/>
      </w:rPr>
      <w:tblPr/>
      <w:tcPr>
        <w:shd w:val="clear" w:color="FFFFFF" w:fill="BFBFBF" w:themeFill="text1" w:themeFillTint="40"/>
      </w:tcPr>
    </w:tblStylePr>
    <w:tblStylePr w:type="band1Vert">
      <w:pPr/>
      <w:rPr>
        <w:sz w:val="22"/>
      </w:rPr>
      <w:tblPr/>
      <w:tcPr>
        <w:shd w:val="clear" w:color="FFFFFF" w:fill="BFBFBF" w:themeFill="text1"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text1" w:sz="4" w:space="0"/>
          <w:left w:val="none" w:color="000000" w:sz="4" w:space="0"/>
          <w:bottom w:val="single" w:color="000000" w:themeColor="text1"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text1" w:sz="4" w:space="0"/>
          <w:left w:val="none" w:color="000000" w:sz="4" w:space="0"/>
          <w:bottom w:val="single" w:color="000000" w:themeColor="text1"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6">
    <w:name w:val="List Table 2 - Accent 1"/>
    <w:basedOn w:val="771"/>
    <w:uiPriority w:val="99"/>
    <w:pPr>
      <w:spacing w:after="0" w:line="240" w:lineRule="auto"/>
    </w:pPr>
    <w:tblPr>
      <w:tblStyleRowBandSize w:val="1"/>
      <w:tblStyleColBandSize w:val="1"/>
      <w:tblBorders>
        <w:top w:val="single" w:color="000000" w:themeColor="accent1" w:themeTint="90" w:sz="4" w:space="0"/>
        <w:bottom w:val="single" w:color="000000" w:themeColor="accent1" w:themeTint="90" w:sz="4" w:space="0"/>
        <w:insideH w:val="single" w:color="000000" w:themeColor="accent1" w:themeTint="90" w:sz="4" w:space="0"/>
      </w:tblBorders>
    </w:tblPr>
    <w:tcPr/>
    <w:tblStylePr w:type="band1Horz">
      <w:pPr/>
      <w:rPr>
        <w:sz w:val="22"/>
      </w:rPr>
      <w:tblPr/>
      <w:tcPr>
        <w:shd w:val="clear" w:color="FFFFFF" w:fill="D0DCF0" w:themeFill="accent1" w:themeFillTint="40"/>
      </w:tcPr>
    </w:tblStylePr>
    <w:tblStylePr w:type="band1Vert">
      <w:pPr/>
      <w:rPr>
        <w:sz w:val="22"/>
      </w:rPr>
      <w:tblPr/>
      <w:tcPr>
        <w:shd w:val="clear" w:color="FFFFFF" w:fill="D0DCF0" w:themeFill="accent1"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1" w:sz="4" w:space="0"/>
          <w:left w:val="none" w:color="000000" w:sz="4" w:space="0"/>
          <w:bottom w:val="single" w:color="000000" w:themeColor="accent1"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1" w:sz="4" w:space="0"/>
          <w:left w:val="none" w:color="000000" w:sz="4" w:space="0"/>
          <w:bottom w:val="single" w:color="000000" w:themeColor="accent1"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7">
    <w:name w:val="List Table 2 - Accent 2"/>
    <w:basedOn w:val="771"/>
    <w:uiPriority w:val="99"/>
    <w:pPr>
      <w:spacing w:after="0" w:line="240" w:lineRule="auto"/>
    </w:pPr>
    <w:tblPr>
      <w:tblStyleRowBandSize w:val="1"/>
      <w:tblStyleColBandSize w:val="1"/>
      <w:tblBorders>
        <w:top w:val="single" w:color="000000" w:themeColor="accent2" w:themeTint="90" w:sz="4" w:space="0"/>
        <w:bottom w:val="single" w:color="000000" w:themeColor="accent2" w:themeTint="90" w:sz="4" w:space="0"/>
        <w:insideH w:val="single" w:color="000000" w:themeColor="accent2" w:themeTint="90" w:sz="4" w:space="0"/>
      </w:tblBorders>
    </w:tblPr>
    <w:tcPr/>
    <w:tblStylePr w:type="band1Horz">
      <w:pPr/>
      <w:rPr>
        <w:sz w:val="22"/>
      </w:rPr>
      <w:tblPr/>
      <w:tcPr>
        <w:shd w:val="clear" w:color="FFFFFF" w:fill="FADECB" w:themeFill="accent2" w:themeFillTint="40"/>
      </w:tcPr>
    </w:tblStylePr>
    <w:tblStylePr w:type="band1Vert">
      <w:pPr/>
      <w:rPr>
        <w:sz w:val="22"/>
      </w:rPr>
      <w:tblPr/>
      <w:tcPr>
        <w:shd w:val="clear" w:color="FFFFFF" w:fill="FADECB" w:themeFill="accent2"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2" w:sz="4" w:space="0"/>
          <w:left w:val="none" w:color="000000" w:sz="4" w:space="0"/>
          <w:bottom w:val="single" w:color="000000" w:themeColor="accent2"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2" w:sz="4" w:space="0"/>
          <w:left w:val="none" w:color="000000" w:sz="4" w:space="0"/>
          <w:bottom w:val="single" w:color="000000" w:themeColor="accent2"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8">
    <w:name w:val="List Table 2 - Accent 3"/>
    <w:basedOn w:val="771"/>
    <w:uiPriority w:val="99"/>
    <w:pPr>
      <w:spacing w:after="0" w:line="240" w:lineRule="auto"/>
    </w:pPr>
    <w:tblPr>
      <w:tblStyleRowBandSize w:val="1"/>
      <w:tblStyleColBandSize w:val="1"/>
      <w:tblBorders>
        <w:top w:val="single" w:color="000000" w:themeColor="accent3" w:themeTint="90" w:sz="4" w:space="0"/>
        <w:bottom w:val="single" w:color="000000" w:themeColor="accent3" w:themeTint="90" w:sz="4" w:space="0"/>
        <w:insideH w:val="single" w:color="000000" w:themeColor="accent3" w:themeTint="90" w:sz="4" w:space="0"/>
      </w:tblBorders>
    </w:tblPr>
    <w:tcPr/>
    <w:tblStylePr w:type="band1Horz">
      <w:pPr/>
      <w:rPr>
        <w:sz w:val="22"/>
      </w:rPr>
      <w:tblPr/>
      <w:tcPr>
        <w:shd w:val="clear" w:color="FFFFFF" w:fill="E8E8E8" w:themeFill="accent3" w:themeFillTint="40"/>
      </w:tcPr>
    </w:tblStylePr>
    <w:tblStylePr w:type="band1Vert">
      <w:pPr/>
      <w:rPr>
        <w:sz w:val="22"/>
      </w:rPr>
      <w:tblPr/>
      <w:tcPr>
        <w:shd w:val="clear" w:color="FFFFFF" w:fill="E8E8E8" w:themeFill="accent3"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3" w:sz="4" w:space="0"/>
          <w:left w:val="none" w:color="000000" w:sz="4" w:space="0"/>
          <w:bottom w:val="single" w:color="000000" w:themeColor="accent3"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3" w:sz="4" w:space="0"/>
          <w:left w:val="none" w:color="000000" w:sz="4" w:space="0"/>
          <w:bottom w:val="single" w:color="000000" w:themeColor="accent3"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9">
    <w:name w:val="List Table 2 - Accent 4"/>
    <w:basedOn w:val="771"/>
    <w:uiPriority w:val="99"/>
    <w:pPr>
      <w:spacing w:after="0" w:line="240" w:lineRule="auto"/>
    </w:pPr>
    <w:tblPr>
      <w:tblStyleRowBandSize w:val="1"/>
      <w:tblStyleColBandSize w:val="1"/>
      <w:tblBorders>
        <w:top w:val="single" w:color="000000" w:themeColor="accent4" w:themeTint="90" w:sz="4" w:space="0"/>
        <w:bottom w:val="single" w:color="000000" w:themeColor="accent4" w:themeTint="90" w:sz="4" w:space="0"/>
        <w:insideH w:val="single" w:color="000000" w:themeColor="accent4" w:themeTint="90" w:sz="4" w:space="0"/>
      </w:tblBorders>
    </w:tblPr>
    <w:tcPr/>
    <w:tblStylePr w:type="band1Horz">
      <w:pPr/>
      <w:rPr>
        <w:sz w:val="22"/>
      </w:rPr>
      <w:tblPr/>
      <w:tcPr>
        <w:shd w:val="clear" w:color="FFFFFF" w:fill="FFEFBF" w:themeFill="accent4" w:themeFillTint="40"/>
      </w:tcPr>
    </w:tblStylePr>
    <w:tblStylePr w:type="band1Vert">
      <w:pPr/>
      <w:rPr>
        <w:sz w:val="22"/>
      </w:rPr>
      <w:tblPr/>
      <w:tcPr>
        <w:shd w:val="clear" w:color="FFFFFF" w:fill="FFEFBF" w:themeFill="accent4"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4" w:sz="4" w:space="0"/>
          <w:left w:val="none" w:color="000000" w:sz="4" w:space="0"/>
          <w:bottom w:val="single" w:color="000000" w:themeColor="accent4"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4" w:sz="4" w:space="0"/>
          <w:left w:val="none" w:color="000000" w:sz="4" w:space="0"/>
          <w:bottom w:val="single" w:color="000000" w:themeColor="accent4"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0">
    <w:name w:val="List Table 2 - Accent 5"/>
    <w:basedOn w:val="771"/>
    <w:uiPriority w:val="99"/>
    <w:pPr>
      <w:spacing w:after="0" w:line="240" w:lineRule="auto"/>
    </w:pPr>
    <w:tblPr>
      <w:tblStyleRowBandSize w:val="1"/>
      <w:tblStyleColBandSize w:val="1"/>
      <w:tblBorders>
        <w:top w:val="single" w:color="000000" w:themeColor="accent5" w:themeTint="90" w:sz="4" w:space="0"/>
        <w:bottom w:val="single" w:color="000000" w:themeColor="accent5" w:themeTint="90" w:sz="4" w:space="0"/>
        <w:insideH w:val="single" w:color="000000" w:themeColor="accent5" w:themeTint="90" w:sz="4" w:space="0"/>
      </w:tblBorders>
    </w:tblPr>
    <w:tcPr/>
    <w:tblStylePr w:type="band1Horz">
      <w:pPr/>
      <w:rPr>
        <w:sz w:val="22"/>
      </w:rPr>
      <w:tblPr/>
      <w:tcPr>
        <w:shd w:val="clear" w:color="FFFFFF" w:fill="D6E6F4" w:themeFill="accent5" w:themeFillTint="40"/>
      </w:tcPr>
    </w:tblStylePr>
    <w:tblStylePr w:type="band1Vert">
      <w:pPr/>
      <w:rPr>
        <w:sz w:val="22"/>
      </w:rPr>
      <w:tblPr/>
      <w:tcPr>
        <w:shd w:val="clear" w:color="FFFFFF" w:fill="D6E6F4" w:themeFill="accent5"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5" w:sz="4" w:space="0"/>
          <w:left w:val="none" w:color="000000" w:sz="4" w:space="0"/>
          <w:bottom w:val="single" w:color="000000" w:themeColor="accent5"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5" w:sz="4" w:space="0"/>
          <w:left w:val="none" w:color="000000" w:sz="4" w:space="0"/>
          <w:bottom w:val="single" w:color="000000" w:themeColor="accent5"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1">
    <w:name w:val="List Table 2 - Accent 6"/>
    <w:basedOn w:val="771"/>
    <w:uiPriority w:val="99"/>
    <w:pPr>
      <w:spacing w:after="0" w:line="240" w:lineRule="auto"/>
    </w:pPr>
    <w:tblPr>
      <w:tblStyleRowBandSize w:val="1"/>
      <w:tblStyleColBandSize w:val="1"/>
      <w:tblBorders>
        <w:top w:val="single" w:color="000000" w:themeColor="accent6" w:themeTint="90" w:sz="4" w:space="0"/>
        <w:bottom w:val="single" w:color="000000" w:themeColor="accent6" w:themeTint="90" w:sz="4" w:space="0"/>
        <w:insideH w:val="single" w:color="000000" w:themeColor="accent6" w:themeTint="90" w:sz="4" w:space="0"/>
      </w:tblBorders>
    </w:tblPr>
    <w:tcPr/>
    <w:tblStylePr w:type="band1Horz">
      <w:pPr/>
      <w:rPr>
        <w:sz w:val="22"/>
      </w:rPr>
      <w:tblPr/>
      <w:tcPr>
        <w:shd w:val="clear" w:color="FFFFFF" w:fill="DBECD0" w:themeFill="accent6" w:themeFillTint="40"/>
      </w:tcPr>
    </w:tblStylePr>
    <w:tblStylePr w:type="band1Vert">
      <w:pPr/>
      <w:rPr>
        <w:sz w:val="22"/>
      </w:rPr>
      <w:tblPr/>
      <w:tcPr>
        <w:shd w:val="clear" w:color="FFFFFF" w:fill="DBECD0" w:themeFill="accent6"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6" w:sz="4" w:space="0"/>
          <w:left w:val="none" w:color="000000" w:sz="4" w:space="0"/>
          <w:bottom w:val="single" w:color="000000" w:themeColor="accent6"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6" w:sz="4" w:space="0"/>
          <w:left w:val="none" w:color="000000" w:sz="4" w:space="0"/>
          <w:bottom w:val="single" w:color="000000" w:themeColor="accent6"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2">
    <w:name w:val="List Table 3"/>
    <w:basedOn w:val="771"/>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blStylePr w:type="band1Horz">
      <w:pPr/>
      <w:rPr>
        <w:sz w:val="22"/>
      </w:rPr>
      <w:tblPr/>
      <w:tcPr>
        <w:tcBorders>
          <w:top w:val="single" w:color="000000" w:themeColor="text1" w:sz="4" w:space="0"/>
          <w:bottom w:val="single" w:color="000000" w:themeColor="text1" w:sz="4" w:space="0"/>
        </w:tcBorders>
      </w:tcPr>
    </w:tblStylePr>
    <w:tblStylePr w:type="band1Vert">
      <w:pPr/>
      <w:rPr>
        <w:sz w:val="22"/>
      </w:rPr>
      <w:tblPr/>
      <w:tcPr>
        <w:tcBorders>
          <w:left w:val="single" w:color="000000" w:themeColor="text1" w:sz="4" w:space="0"/>
          <w:right w:val="single" w:color="000000" w:themeColor="text1"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000000" w:themeFill="text1"/>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3">
    <w:name w:val="List Table 3 - Accent 1"/>
    <w:basedOn w:val="771"/>
    <w:uiPriority w:val="99"/>
    <w:pPr>
      <w:spacing w:after="0" w:line="240" w:lineRule="auto"/>
    </w:p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blStylePr w:type="band1Horz">
      <w:pPr/>
      <w:rPr>
        <w:sz w:val="22"/>
      </w:rPr>
      <w:tblPr/>
      <w:tcPr>
        <w:tcBorders>
          <w:top w:val="single" w:color="000000" w:themeColor="accent1" w:sz="4" w:space="0"/>
          <w:bottom w:val="single" w:color="000000" w:themeColor="accent1" w:sz="4" w:space="0"/>
        </w:tcBorders>
      </w:tcPr>
    </w:tblStylePr>
    <w:tblStylePr w:type="band1Vert">
      <w:pPr/>
      <w:rPr>
        <w:sz w:val="22"/>
      </w:rPr>
      <w:tblPr/>
      <w:tcPr>
        <w:tcBorders>
          <w:left w:val="single" w:color="000000" w:themeColor="accent1" w:sz="4" w:space="0"/>
          <w:right w:val="single" w:color="000000" w:themeColor="accent1"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4472C4" w:themeFill="accent1"/>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4">
    <w:name w:val="List Table 3 - Accent 2"/>
    <w:basedOn w:val="771"/>
    <w:uiPriority w:val="99"/>
    <w:pPr>
      <w:spacing w:after="0" w:line="240" w:lineRule="auto"/>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blStylePr w:type="band1Horz">
      <w:pPr/>
      <w:rPr>
        <w:sz w:val="22"/>
      </w:rPr>
      <w:tblPr/>
      <w:tcPr>
        <w:tcBorders>
          <w:top w:val="single" w:color="000000" w:themeColor="accent2" w:sz="4" w:space="0"/>
          <w:bottom w:val="single" w:color="000000" w:themeColor="accent2" w:sz="4" w:space="0"/>
        </w:tcBorders>
      </w:tcPr>
    </w:tblStylePr>
    <w:tblStylePr w:type="band1Vert">
      <w:pPr/>
      <w:rPr>
        <w:sz w:val="22"/>
      </w:rPr>
      <w:tblPr/>
      <w:tcPr>
        <w:tcBorders>
          <w:left w:val="single" w:color="000000" w:themeColor="accent2" w:sz="4" w:space="0"/>
          <w:right w:val="single" w:color="000000" w:themeColor="accent2"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F4B285" w:themeFill="accent2" w:themeFillTint="97"/>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5">
    <w:name w:val="List Table 3 - Accent 3"/>
    <w:basedOn w:val="771"/>
    <w:uiPriority w:val="99"/>
    <w:pPr>
      <w:spacing w:after="0" w:line="240" w:lineRule="auto"/>
    </w:pPr>
    <w:tblPr>
      <w:tblStyleRowBandSize w:val="1"/>
      <w:tblStyleColBandSize w:val="1"/>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blStylePr w:type="band1Horz">
      <w:pPr/>
      <w:rPr>
        <w:sz w:val="22"/>
      </w:rPr>
      <w:tblPr/>
      <w:tcPr>
        <w:tcBorders>
          <w:top w:val="single" w:color="000000" w:themeColor="accent3" w:sz="4" w:space="0"/>
          <w:bottom w:val="single" w:color="000000" w:themeColor="accent3" w:sz="4" w:space="0"/>
        </w:tcBorders>
      </w:tcPr>
    </w:tblStylePr>
    <w:tblStylePr w:type="band1Vert">
      <w:pPr/>
      <w:rPr>
        <w:sz w:val="22"/>
      </w:rPr>
      <w:tblPr/>
      <w:tcPr>
        <w:tcBorders>
          <w:left w:val="single" w:color="000000" w:themeColor="accent3" w:sz="4" w:space="0"/>
          <w:right w:val="single" w:color="000000" w:themeColor="accent3"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C9C9C9" w:themeFill="accent3" w:themeFillTint="98"/>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6">
    <w:name w:val="List Table 3 - Accent 4"/>
    <w:basedOn w:val="771"/>
    <w:uiPriority w:val="99"/>
    <w:pPr>
      <w:spacing w:after="0" w:line="240" w:lineRule="auto"/>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blStylePr w:type="band1Horz">
      <w:pPr/>
      <w:rPr>
        <w:sz w:val="22"/>
      </w:rPr>
      <w:tblPr/>
      <w:tcPr>
        <w:tcBorders>
          <w:top w:val="single" w:color="000000" w:themeColor="accent4" w:sz="4" w:space="0"/>
          <w:bottom w:val="single" w:color="000000" w:themeColor="accent4" w:sz="4" w:space="0"/>
        </w:tcBorders>
      </w:tcPr>
    </w:tblStylePr>
    <w:tblStylePr w:type="band1Vert">
      <w:pPr/>
      <w:rPr>
        <w:sz w:val="22"/>
      </w:rPr>
      <w:tblPr/>
      <w:tcPr>
        <w:tcBorders>
          <w:left w:val="single" w:color="000000" w:themeColor="accent4" w:sz="4" w:space="0"/>
          <w:right w:val="single" w:color="000000" w:themeColor="accent4"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FFD965" w:themeFill="accent4" w:themeFillTint="9a"/>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7">
    <w:name w:val="List Table 3 - Accent 5"/>
    <w:basedOn w:val="771"/>
    <w:uiPriority w:val="99"/>
    <w:pPr>
      <w:spacing w:after="0" w:line="240" w:lineRule="auto"/>
    </w:pPr>
    <w:tblPr>
      <w:tblStyleRowBandSize w:val="1"/>
      <w:tblStyleColBandSize w:val="1"/>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blStylePr w:type="band1Horz">
      <w:pPr/>
      <w:rPr>
        <w:sz w:val="22"/>
      </w:rPr>
      <w:tblPr/>
      <w:tcPr>
        <w:tcBorders>
          <w:top w:val="single" w:color="000000" w:themeColor="accent5" w:sz="4" w:space="0"/>
          <w:bottom w:val="single" w:color="000000" w:themeColor="accent5" w:sz="4" w:space="0"/>
        </w:tcBorders>
      </w:tcPr>
    </w:tblStylePr>
    <w:tblStylePr w:type="band1Vert">
      <w:pPr/>
      <w:rPr>
        <w:sz w:val="22"/>
      </w:rPr>
      <w:tblPr/>
      <w:tcPr>
        <w:tcBorders>
          <w:left w:val="single" w:color="000000" w:themeColor="accent5" w:sz="4" w:space="0"/>
          <w:right w:val="single" w:color="000000" w:themeColor="accent5"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9CC3E6" w:themeFill="accent5" w:themeFillTint="9a"/>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8">
    <w:name w:val="List Table 3 - Accent 6"/>
    <w:basedOn w:val="771"/>
    <w:uiPriority w:val="99"/>
    <w:pPr>
      <w:spacing w:after="0" w:line="240" w:lineRule="auto"/>
    </w:pPr>
    <w:tblPr>
      <w:tblStyleRowBandSize w:val="1"/>
      <w:tblStyleColBandSize w:val="1"/>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blStylePr w:type="band1Horz">
      <w:pPr/>
      <w:rPr>
        <w:sz w:val="22"/>
      </w:rPr>
      <w:tblPr/>
      <w:tcPr>
        <w:tcBorders>
          <w:top w:val="single" w:color="000000" w:themeColor="accent6" w:sz="4" w:space="0"/>
          <w:bottom w:val="single" w:color="000000" w:themeColor="accent6" w:sz="4" w:space="0"/>
        </w:tcBorders>
      </w:tcPr>
    </w:tblStylePr>
    <w:tblStylePr w:type="band1Vert">
      <w:pPr/>
      <w:rPr>
        <w:sz w:val="22"/>
      </w:rPr>
      <w:tblPr/>
      <w:tcPr>
        <w:tcBorders>
          <w:left w:val="single" w:color="000000" w:themeColor="accent6" w:sz="4" w:space="0"/>
          <w:right w:val="single" w:color="000000" w:themeColor="accent6"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A9D18F" w:themeFill="accent6" w:themeFillTint="98"/>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9">
    <w:name w:val="List Table 4"/>
    <w:basedOn w:val="771"/>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blStylePr w:type="band1Horz">
      <w:pPr/>
      <w:rPr>
        <w:sz w:val="22"/>
      </w:rPr>
      <w:tblPr/>
      <w:tcPr>
        <w:shd w:val="clear" w:color="FFFFFF" w:fill="BFBFBF" w:themeFill="text1" w:themeFillTint="40"/>
      </w:tcPr>
    </w:tblStylePr>
    <w:tblStylePr w:type="band1Vert">
      <w:pPr/>
      <w:rPr>
        <w:sz w:val="22"/>
      </w:rPr>
      <w:tblPr/>
      <w:tcPr>
        <w:shd w:val="clear" w:color="FFFFFF" w:fill="BFBFBF" w:themeFill="text1"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000000" w:themeFill="text1"/>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0">
    <w:name w:val="List Table 4 - Accent 1"/>
    <w:basedOn w:val="771"/>
    <w:uiPriority w:val="99"/>
    <w:pPr>
      <w:spacing w:after="0" w:line="240" w:lineRule="auto"/>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blStylePr w:type="band1Horz">
      <w:pPr/>
      <w:rPr>
        <w:sz w:val="22"/>
      </w:rPr>
      <w:tblPr/>
      <w:tcPr>
        <w:shd w:val="clear" w:color="FFFFFF" w:fill="D0DCF0" w:themeFill="accent1" w:themeFillTint="40"/>
      </w:tcPr>
    </w:tblStylePr>
    <w:tblStylePr w:type="band1Vert">
      <w:pPr/>
      <w:rPr>
        <w:sz w:val="22"/>
      </w:rPr>
      <w:tblPr/>
      <w:tcPr>
        <w:shd w:val="clear" w:color="FFFFFF" w:fill="D0DCF0" w:themeFill="accent1"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4472C4" w:themeFill="accent1"/>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1">
    <w:name w:val="List Table 4 - Accent 2"/>
    <w:basedOn w:val="771"/>
    <w:uiPriority w:val="99"/>
    <w:pPr>
      <w:spacing w:after="0" w:line="240" w:lineRule="auto"/>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blStylePr w:type="band1Horz">
      <w:pPr/>
      <w:rPr>
        <w:sz w:val="22"/>
      </w:rPr>
      <w:tblPr/>
      <w:tcPr>
        <w:shd w:val="clear" w:color="FFFFFF" w:fill="FADECB" w:themeFill="accent2" w:themeFillTint="40"/>
      </w:tcPr>
    </w:tblStylePr>
    <w:tblStylePr w:type="band1Vert">
      <w:pPr/>
      <w:rPr>
        <w:sz w:val="22"/>
      </w:rPr>
      <w:tblPr/>
      <w:tcPr>
        <w:shd w:val="clear" w:color="FFFFFF" w:fill="FADECB" w:themeFill="accent2"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ED7D31" w:themeFill="accent2"/>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2">
    <w:name w:val="List Table 4 - Accent 3"/>
    <w:basedOn w:val="771"/>
    <w:uiPriority w:val="99"/>
    <w:pPr>
      <w:spacing w:after="0" w:line="240" w:lineRule="auto"/>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blStylePr w:type="band1Horz">
      <w:pPr/>
      <w:rPr>
        <w:sz w:val="22"/>
      </w:rPr>
      <w:tblPr/>
      <w:tcPr>
        <w:shd w:val="clear" w:color="FFFFFF" w:fill="E8E8E8" w:themeFill="accent3" w:themeFillTint="40"/>
      </w:tcPr>
    </w:tblStylePr>
    <w:tblStylePr w:type="band1Vert">
      <w:pPr/>
      <w:rPr>
        <w:sz w:val="22"/>
      </w:rPr>
      <w:tblPr/>
      <w:tcPr>
        <w:shd w:val="clear" w:color="FFFFFF" w:fill="E8E8E8" w:themeFill="accent3"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A5A5A5" w:themeFill="accent3"/>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3">
    <w:name w:val="List Table 4 - Accent 4"/>
    <w:basedOn w:val="771"/>
    <w:uiPriority w:val="99"/>
    <w:pPr>
      <w:spacing w:after="0" w:line="240" w:lineRule="auto"/>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blStylePr w:type="band1Horz">
      <w:pPr/>
      <w:rPr>
        <w:sz w:val="22"/>
      </w:rPr>
      <w:tblPr/>
      <w:tcPr>
        <w:shd w:val="clear" w:color="FFFFFF" w:fill="FFEFBF" w:themeFill="accent4" w:themeFillTint="40"/>
      </w:tcPr>
    </w:tblStylePr>
    <w:tblStylePr w:type="band1Vert">
      <w:pPr/>
      <w:rPr>
        <w:sz w:val="22"/>
      </w:rPr>
      <w:tblPr/>
      <w:tcPr>
        <w:shd w:val="clear" w:color="FFFFFF" w:fill="FFEFBF" w:themeFill="accent4"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FFC000" w:themeFill="accent4"/>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4">
    <w:name w:val="List Table 4 - Accent 5"/>
    <w:basedOn w:val="771"/>
    <w:uiPriority w:val="99"/>
    <w:pPr>
      <w:spacing w:after="0" w:line="240" w:lineRule="auto"/>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blStylePr w:type="band1Horz">
      <w:pPr/>
      <w:rPr>
        <w:sz w:val="22"/>
      </w:rPr>
      <w:tblPr/>
      <w:tcPr>
        <w:shd w:val="clear" w:color="FFFFFF" w:fill="D6E6F4" w:themeFill="accent5" w:themeFillTint="40"/>
      </w:tcPr>
    </w:tblStylePr>
    <w:tblStylePr w:type="band1Vert">
      <w:pPr/>
      <w:rPr>
        <w:sz w:val="22"/>
      </w:rPr>
      <w:tblPr/>
      <w:tcPr>
        <w:shd w:val="clear" w:color="FFFFFF" w:fill="D6E6F4" w:themeFill="accent5"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5B9BD5" w:themeFill="accent5"/>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5">
    <w:name w:val="List Table 4 - Accent 6"/>
    <w:basedOn w:val="771"/>
    <w:uiPriority w:val="99"/>
    <w:pPr>
      <w:spacing w:after="0" w:line="240" w:lineRule="auto"/>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blStylePr w:type="band1Horz">
      <w:pPr/>
      <w:rPr>
        <w:sz w:val="22"/>
      </w:rPr>
      <w:tblPr/>
      <w:tcPr>
        <w:shd w:val="clear" w:color="FFFFFF" w:fill="DBECD0" w:themeFill="accent6" w:themeFillTint="40"/>
      </w:tcPr>
    </w:tblStylePr>
    <w:tblStylePr w:type="band1Vert">
      <w:pPr/>
      <w:rPr>
        <w:sz w:val="22"/>
      </w:rPr>
      <w:tblPr/>
      <w:tcPr>
        <w:shd w:val="clear" w:color="FFFFFF" w:fill="DBECD0" w:themeFill="accent6"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70AD47" w:themeFill="accent6"/>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96">
    <w:name w:val="List Table 5 Dark"/>
    <w:basedOn w:val="771"/>
    <w:uiPriority w:val="99"/>
    <w:pPr>
      <w:spacing w:after="0" w:line="240" w:lineRule="auto"/>
    </w:pPr>
    <w:tblPr>
      <w:tblStyleRowBandSize w:val="1"/>
      <w:tblStyleColBandSize w:val="1"/>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tblPr>
    <w:tcPr/>
    <w:tblStylePr w:type="band1Horz">
      <w:pPr/>
      <w:tblPr/>
      <w:tcPr>
        <w:tcBorders>
          <w:top w:val="single" w:color="000000" w:themeColor="light1" w:sz="4" w:space="0"/>
          <w:bottom w:val="single" w:color="000000" w:themeColor="light1" w:sz="4" w:space="0"/>
        </w:tcBorders>
        <w:shd w:val="clear" w:color="FFFFFF" w:fill="7F7F7F" w:themeFill="text1" w:themeFillTint="80"/>
      </w:tcPr>
    </w:tblStylePr>
    <w:tblStylePr w:type="band1Vert">
      <w:pPr/>
      <w:tblPr/>
      <w:tcPr>
        <w:tcBorders>
          <w:left w:val="single" w:color="000000" w:themeColor="light1" w:sz="4" w:space="0"/>
          <w:right w:val="single" w:color="000000" w:themeColor="light1" w:sz="4" w:space="0"/>
        </w:tcBorders>
        <w:shd w:val="clear" w:color="FFFFFF" w:fill="7F7F7F" w:themeFill="text1" w:themeFillTint="80"/>
      </w:tcPr>
    </w:tblStylePr>
    <w:tblStylePr w:type="band2Horz">
      <w:pPr/>
      <w:tblPr/>
      <w:tcPr>
        <w:tcBorders>
          <w:top w:val="single" w:color="000000" w:themeColor="light1" w:sz="4" w:space="0"/>
          <w:bottom w:val="single" w:color="000000" w:themeColor="light1" w:sz="4" w:space="0"/>
        </w:tcBorders>
        <w:shd w:val="clear" w:color="FFFFFF" w:fill="7F7F7F" w:themeFill="text1" w:themeFillTint="80"/>
      </w:tcPr>
    </w:tblStylePr>
    <w:tblStylePr w:type="band2Vert">
      <w:pPr/>
      <w:tblPr/>
      <w:tcPr>
        <w:tcBorders>
          <w:left w:val="single" w:color="000000" w:themeColor="light1" w:sz="4" w:space="0"/>
          <w:right w:val="single" w:color="000000" w:themeColor="light1" w:sz="4" w:space="0"/>
        </w:tcBorders>
      </w:tcPr>
    </w:tblStylePr>
    <w:tblStylePr w:type="firstCol">
      <w:pPr/>
      <w:rPr>
        <w:b/>
        <w:color w:themeColor="light1"/>
        <w:sz w:val="22"/>
      </w:rPr>
      <w:tblPr/>
      <w:tcPr>
        <w:tcBorders>
          <w:left w:val="single" w:color="000000" w:themeColor="text1" w:sz="32" w:space="0"/>
          <w:right w:val="single" w:color="000000" w:themeColor="light1" w:sz="4" w:space="0"/>
        </w:tcBorders>
      </w:tcPr>
    </w:tblStylePr>
    <w:tblStylePr w:type="firstRow">
      <w:pPr/>
      <w:rPr>
        <w:b/>
        <w:color w:themeColor="light1"/>
        <w:sz w:val="22"/>
      </w:rPr>
      <w:tblPr/>
      <w:tcPr>
        <w:tcBorders>
          <w:top w:val="single" w:color="000000" w:themeColor="text1" w:sz="32" w:space="0"/>
          <w:bottom w:val="single" w:color="000000" w:themeColor="light1" w:sz="12" w:space="0"/>
        </w:tcBorders>
        <w:shd w:val="clear" w:color="FFFFFF" w:fill="7F7F7F" w:themeFill="text1" w:themeFillTint="80"/>
      </w:tcPr>
    </w:tblStylePr>
    <w:tblStylePr w:type="lastCol">
      <w:pPr/>
      <w:tblPr/>
      <w:tcPr>
        <w:tcBorders>
          <w:left w:val="single" w:color="000000" w:themeColor="light1" w:sz="4" w:space="0"/>
          <w:right w:val="single" w:color="000000" w:themeColor="text1" w:sz="32" w:space="0"/>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type="table" w:styleId="97">
    <w:name w:val="List Table 5 Dark - Accent 1"/>
    <w:basedOn w:val="771"/>
    <w:uiPriority w:val="99"/>
    <w:pPr>
      <w:spacing w:after="0" w:line="240" w:lineRule="auto"/>
    </w:pPr>
    <w:tblPr>
      <w:tblStyleRowBandSize w:val="1"/>
      <w:tblStyleColBandSize w:val="1"/>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tblPr>
    <w:tcPr/>
    <w:tblStylePr w:type="band1Horz">
      <w:pPr/>
      <w:tblPr/>
      <w:tcPr>
        <w:tcBorders>
          <w:top w:val="single" w:color="000000" w:themeColor="light1" w:sz="4" w:space="0"/>
          <w:bottom w:val="single" w:color="000000" w:themeColor="light1" w:sz="4" w:space="0"/>
        </w:tcBorders>
        <w:shd w:val="clear" w:color="FFFFFF" w:fill="4472C4" w:themeFill="accent1"/>
      </w:tcPr>
    </w:tblStylePr>
    <w:tblStylePr w:type="band1Vert">
      <w:pPr/>
      <w:tblPr/>
      <w:tcPr>
        <w:tcBorders>
          <w:left w:val="single" w:color="000000" w:themeColor="light1" w:sz="4" w:space="0"/>
          <w:right w:val="single" w:color="000000" w:themeColor="light1" w:sz="4" w:space="0"/>
        </w:tcBorders>
        <w:shd w:val="clear" w:color="FFFFFF" w:fill="4472C4" w:themeFill="accent1"/>
      </w:tcPr>
    </w:tblStylePr>
    <w:tblStylePr w:type="band2Horz">
      <w:pPr/>
      <w:tblPr/>
      <w:tcPr>
        <w:tcBorders>
          <w:top w:val="single" w:color="000000" w:themeColor="light1" w:sz="4" w:space="0"/>
          <w:bottom w:val="single" w:color="000000" w:themeColor="light1" w:sz="4" w:space="0"/>
        </w:tcBorders>
        <w:shd w:val="clear" w:color="FFFFFF" w:fill="4472C4" w:themeFill="accent1"/>
      </w:tcPr>
    </w:tblStylePr>
    <w:tblStylePr w:type="band2Vert">
      <w:pPr/>
      <w:tblPr/>
      <w:tcPr>
        <w:tcBorders>
          <w:left w:val="single" w:color="000000" w:themeColor="light1" w:sz="4" w:space="0"/>
          <w:right w:val="single" w:color="000000" w:themeColor="light1" w:sz="4" w:space="0"/>
        </w:tcBorders>
      </w:tcPr>
    </w:tblStylePr>
    <w:tblStylePr w:type="firstCol">
      <w:pPr/>
      <w:rPr>
        <w:b/>
        <w:color w:themeColor="light1"/>
        <w:sz w:val="22"/>
      </w:rPr>
      <w:tblPr/>
      <w:tcPr>
        <w:tcBorders>
          <w:left w:val="single" w:color="000000" w:themeColor="accent1" w:sz="32" w:space="0"/>
          <w:right w:val="single" w:color="000000" w:themeColor="light1" w:sz="4" w:space="0"/>
        </w:tcBorders>
      </w:tcPr>
    </w:tblStylePr>
    <w:tblStylePr w:type="firstRow">
      <w:pPr/>
      <w:rPr>
        <w:b/>
        <w:color w:themeColor="light1"/>
        <w:sz w:val="22"/>
      </w:rPr>
      <w:tblPr/>
      <w:tcPr>
        <w:tcBorders>
          <w:top w:val="single" w:color="000000" w:themeColor="accent1" w:sz="32" w:space="0"/>
          <w:bottom w:val="single" w:color="000000" w:themeColor="light1" w:sz="12" w:space="0"/>
        </w:tcBorders>
        <w:shd w:val="clear" w:color="FFFFFF" w:fill="4472C4" w:themeFill="accent1"/>
      </w:tcPr>
    </w:tblStylePr>
    <w:tblStylePr w:type="lastCol">
      <w:pPr/>
      <w:tblPr/>
      <w:tcPr>
        <w:tcBorders>
          <w:left w:val="single" w:color="000000" w:themeColor="light1" w:sz="4" w:space="0"/>
          <w:right w:val="single" w:color="000000" w:themeColor="accent1" w:sz="32" w:space="0"/>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type="table" w:styleId="98">
    <w:name w:val="List Table 5 Dark - Accent 2"/>
    <w:basedOn w:val="771"/>
    <w:uiPriority w:val="99"/>
    <w:pPr>
      <w:spacing w:after="0" w:line="240" w:lineRule="auto"/>
    </w:pPr>
    <w:tblPr>
      <w:tblStyleRowBandSize w:val="1"/>
      <w:tblStyleColBandSize w:val="1"/>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tblPr>
    <w:tcPr/>
    <w:tblStylePr w:type="band1Horz">
      <w:pPr/>
      <w:tblPr/>
      <w:tcPr>
        <w:tcBorders>
          <w:top w:val="single" w:color="000000" w:themeColor="light1" w:sz="4" w:space="0"/>
          <w:bottom w:val="single" w:color="000000" w:themeColor="light1" w:sz="4" w:space="0"/>
        </w:tcBorders>
        <w:shd w:val="clear" w:color="FFFFFF" w:fill="F4B285" w:themeFill="accent2" w:themeFillTint="97"/>
      </w:tcPr>
    </w:tblStylePr>
    <w:tblStylePr w:type="band1Vert">
      <w:pPr/>
      <w:tblPr/>
      <w:tcPr>
        <w:tcBorders>
          <w:left w:val="single" w:color="000000" w:themeColor="light1" w:sz="4" w:space="0"/>
          <w:right w:val="single" w:color="000000" w:themeColor="light1" w:sz="4" w:space="0"/>
        </w:tcBorders>
        <w:shd w:val="clear" w:color="FFFFFF" w:fill="F4B285" w:themeFill="accent2" w:themeFillTint="97"/>
      </w:tcPr>
    </w:tblStylePr>
    <w:tblStylePr w:type="band2Horz">
      <w:pPr/>
      <w:tblPr/>
      <w:tcPr>
        <w:tcBorders>
          <w:top w:val="single" w:color="000000" w:themeColor="light1" w:sz="4" w:space="0"/>
          <w:bottom w:val="single" w:color="000000" w:themeColor="light1" w:sz="4" w:space="0"/>
        </w:tcBorders>
        <w:shd w:val="clear" w:color="FFFFFF" w:fill="F4B285" w:themeFill="accent2" w:themeFillTint="97"/>
      </w:tcPr>
    </w:tblStylePr>
    <w:tblStylePr w:type="band2Vert">
      <w:pPr/>
      <w:tblPr/>
      <w:tcPr>
        <w:tcBorders>
          <w:left w:val="single" w:color="000000" w:themeColor="light1" w:sz="4" w:space="0"/>
          <w:right w:val="single" w:color="000000" w:themeColor="light1" w:sz="4" w:space="0"/>
        </w:tcBorders>
      </w:tcPr>
    </w:tblStylePr>
    <w:tblStylePr w:type="firstCol">
      <w:pPr/>
      <w:rPr>
        <w:b/>
        <w:color w:themeColor="light1"/>
        <w:sz w:val="22"/>
      </w:rPr>
      <w:tblPr/>
      <w:tcPr>
        <w:tcBorders>
          <w:left w:val="single" w:color="000000" w:themeColor="accent2" w:sz="32" w:space="0"/>
          <w:right w:val="single" w:color="000000" w:themeColor="light1" w:sz="4" w:space="0"/>
        </w:tcBorders>
      </w:tcPr>
    </w:tblStylePr>
    <w:tblStylePr w:type="firstRow">
      <w:pPr/>
      <w:rPr>
        <w:b/>
        <w:color w:themeColor="light1"/>
        <w:sz w:val="22"/>
      </w:rPr>
      <w:tblPr/>
      <w:tcPr>
        <w:tcBorders>
          <w:top w:val="single" w:color="000000" w:themeColor="accent2" w:sz="32" w:space="0"/>
          <w:bottom w:val="single" w:color="000000" w:themeColor="light1" w:sz="12" w:space="0"/>
        </w:tcBorders>
        <w:shd w:val="clear" w:color="FFFFFF" w:fill="F4B285" w:themeFill="accent2" w:themeFillTint="97"/>
      </w:tcPr>
    </w:tblStylePr>
    <w:tblStylePr w:type="lastCol">
      <w:pPr/>
      <w:tblPr/>
      <w:tcPr>
        <w:tcBorders>
          <w:left w:val="single" w:color="000000" w:themeColor="light1" w:sz="4" w:space="0"/>
          <w:right w:val="single" w:color="000000" w:themeColor="accent2" w:sz="32" w:space="0"/>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type="table" w:styleId="99">
    <w:name w:val="List Table 5 Dark - Accent 3"/>
    <w:basedOn w:val="771"/>
    <w:uiPriority w:val="99"/>
    <w:pPr>
      <w:spacing w:after="0" w:line="240" w:lineRule="auto"/>
    </w:pPr>
    <w:tblPr>
      <w:tblStyleRowBandSize w:val="1"/>
      <w:tblStyleColBandSize w:val="1"/>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tblPr>
    <w:tcPr/>
    <w:tblStylePr w:type="band1Horz">
      <w:pPr/>
      <w:tblPr/>
      <w:tcPr>
        <w:tcBorders>
          <w:top w:val="single" w:color="000000" w:themeColor="light1" w:sz="4" w:space="0"/>
          <w:bottom w:val="single" w:color="000000" w:themeColor="light1" w:sz="4" w:space="0"/>
        </w:tcBorders>
        <w:shd w:val="clear" w:color="FFFFFF" w:fill="C9C9C9" w:themeFill="accent3" w:themeFillTint="98"/>
      </w:tcPr>
    </w:tblStylePr>
    <w:tblStylePr w:type="band1Vert">
      <w:pPr/>
      <w:tblPr/>
      <w:tcPr>
        <w:tcBorders>
          <w:left w:val="single" w:color="000000" w:themeColor="light1" w:sz="4" w:space="0"/>
          <w:right w:val="single" w:color="000000" w:themeColor="light1" w:sz="4" w:space="0"/>
        </w:tcBorders>
        <w:shd w:val="clear" w:color="FFFFFF" w:fill="C9C9C9" w:themeFill="accent3" w:themeFillTint="98"/>
      </w:tcPr>
    </w:tblStylePr>
    <w:tblStylePr w:type="band2Horz">
      <w:pPr/>
      <w:tblPr/>
      <w:tcPr>
        <w:tcBorders>
          <w:top w:val="single" w:color="000000" w:themeColor="light1" w:sz="4" w:space="0"/>
          <w:bottom w:val="single" w:color="000000" w:themeColor="light1" w:sz="4" w:space="0"/>
        </w:tcBorders>
        <w:shd w:val="clear" w:color="FFFFFF" w:fill="C9C9C9" w:themeFill="accent3" w:themeFillTint="98"/>
      </w:tcPr>
    </w:tblStylePr>
    <w:tblStylePr w:type="band2Vert">
      <w:pPr/>
      <w:tblPr/>
      <w:tcPr>
        <w:tcBorders>
          <w:left w:val="single" w:color="000000" w:themeColor="light1" w:sz="4" w:space="0"/>
          <w:right w:val="single" w:color="000000" w:themeColor="light1" w:sz="4" w:space="0"/>
        </w:tcBorders>
      </w:tcPr>
    </w:tblStylePr>
    <w:tblStylePr w:type="firstCol">
      <w:pPr/>
      <w:rPr>
        <w:b/>
        <w:color w:themeColor="light1"/>
        <w:sz w:val="22"/>
      </w:rPr>
      <w:tblPr/>
      <w:tcPr>
        <w:tcBorders>
          <w:left w:val="single" w:color="000000" w:themeColor="accent3" w:sz="32" w:space="0"/>
          <w:right w:val="single" w:color="000000" w:themeColor="light1" w:sz="4" w:space="0"/>
        </w:tcBorders>
      </w:tcPr>
    </w:tblStylePr>
    <w:tblStylePr w:type="firstRow">
      <w:pPr/>
      <w:rPr>
        <w:b/>
        <w:color w:themeColor="light1"/>
        <w:sz w:val="22"/>
      </w:rPr>
      <w:tblPr/>
      <w:tcPr>
        <w:tcBorders>
          <w:top w:val="single" w:color="000000" w:themeColor="accent3" w:sz="32" w:space="0"/>
          <w:bottom w:val="single" w:color="000000" w:themeColor="light1" w:sz="12" w:space="0"/>
        </w:tcBorders>
        <w:shd w:val="clear" w:color="FFFFFF" w:fill="C9C9C9" w:themeFill="accent3" w:themeFillTint="98"/>
      </w:tcPr>
    </w:tblStylePr>
    <w:tblStylePr w:type="lastCol">
      <w:pPr/>
      <w:tblPr/>
      <w:tcPr>
        <w:tcBorders>
          <w:left w:val="single" w:color="000000" w:themeColor="light1" w:sz="4" w:space="0"/>
          <w:right w:val="single" w:color="000000" w:themeColor="accent3" w:sz="32" w:space="0"/>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type="table" w:styleId="100">
    <w:name w:val="List Table 5 Dark - Accent 4"/>
    <w:basedOn w:val="771"/>
    <w:uiPriority w:val="99"/>
    <w:pPr>
      <w:spacing w:after="0" w:line="240" w:lineRule="auto"/>
    </w:pPr>
    <w:tblPr>
      <w:tblStyleRowBandSize w:val="1"/>
      <w:tblStyleColBandSize w:val="1"/>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tblPr>
    <w:tcPr/>
    <w:tblStylePr w:type="band1Horz">
      <w:pPr/>
      <w:tblPr/>
      <w:tcPr>
        <w:tcBorders>
          <w:top w:val="single" w:color="000000" w:themeColor="light1" w:sz="4" w:space="0"/>
          <w:bottom w:val="single" w:color="000000" w:themeColor="light1" w:sz="4" w:space="0"/>
        </w:tcBorders>
        <w:shd w:val="clear" w:color="FFFFFF" w:fill="FFD965" w:themeFill="accent4" w:themeFillTint="9a"/>
      </w:tcPr>
    </w:tblStylePr>
    <w:tblStylePr w:type="band1Vert">
      <w:pPr/>
      <w:tblPr/>
      <w:tcPr>
        <w:tcBorders>
          <w:left w:val="single" w:color="000000" w:themeColor="light1" w:sz="4" w:space="0"/>
          <w:right w:val="single" w:color="000000" w:themeColor="light1" w:sz="4" w:space="0"/>
        </w:tcBorders>
        <w:shd w:val="clear" w:color="FFFFFF" w:fill="FFD965" w:themeFill="accent4" w:themeFillTint="9a"/>
      </w:tcPr>
    </w:tblStylePr>
    <w:tblStylePr w:type="band2Horz">
      <w:pPr/>
      <w:tblPr/>
      <w:tcPr>
        <w:tcBorders>
          <w:top w:val="single" w:color="000000" w:themeColor="light1" w:sz="4" w:space="0"/>
          <w:bottom w:val="single" w:color="000000" w:themeColor="light1" w:sz="4" w:space="0"/>
        </w:tcBorders>
        <w:shd w:val="clear" w:color="FFFFFF" w:fill="FFD965" w:themeFill="accent4" w:themeFillTint="9a"/>
      </w:tcPr>
    </w:tblStylePr>
    <w:tblStylePr w:type="band2Vert">
      <w:pPr/>
      <w:tblPr/>
      <w:tcPr>
        <w:tcBorders>
          <w:left w:val="single" w:color="000000" w:themeColor="light1" w:sz="4" w:space="0"/>
          <w:right w:val="single" w:color="000000" w:themeColor="light1" w:sz="4" w:space="0"/>
        </w:tcBorders>
      </w:tcPr>
    </w:tblStylePr>
    <w:tblStylePr w:type="firstCol">
      <w:pPr/>
      <w:rPr>
        <w:b/>
        <w:color w:themeColor="light1"/>
        <w:sz w:val="22"/>
      </w:rPr>
      <w:tblPr/>
      <w:tcPr>
        <w:tcBorders>
          <w:left w:val="single" w:color="000000" w:themeColor="accent4" w:sz="32" w:space="0"/>
          <w:right w:val="single" w:color="000000" w:themeColor="light1" w:sz="4" w:space="0"/>
        </w:tcBorders>
      </w:tcPr>
    </w:tblStylePr>
    <w:tblStylePr w:type="firstRow">
      <w:pPr/>
      <w:rPr>
        <w:b/>
        <w:color w:themeColor="light1"/>
        <w:sz w:val="22"/>
      </w:rPr>
      <w:tblPr/>
      <w:tcPr>
        <w:tcBorders>
          <w:top w:val="single" w:color="000000" w:themeColor="accent4" w:sz="32" w:space="0"/>
          <w:bottom w:val="single" w:color="000000" w:themeColor="light1" w:sz="12" w:space="0"/>
        </w:tcBorders>
        <w:shd w:val="clear" w:color="FFFFFF" w:fill="FFD965" w:themeFill="accent4" w:themeFillTint="9a"/>
      </w:tcPr>
    </w:tblStylePr>
    <w:tblStylePr w:type="lastCol">
      <w:pPr/>
      <w:tblPr/>
      <w:tcPr>
        <w:tcBorders>
          <w:left w:val="single" w:color="000000" w:themeColor="light1" w:sz="4" w:space="0"/>
          <w:right w:val="single" w:color="000000" w:themeColor="accent4" w:sz="32" w:space="0"/>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type="table" w:styleId="101">
    <w:name w:val="List Table 5 Dark - Accent 5"/>
    <w:basedOn w:val="771"/>
    <w:uiPriority w:val="99"/>
    <w:pPr>
      <w:spacing w:after="0" w:line="240" w:lineRule="auto"/>
    </w:pPr>
    <w:tblPr>
      <w:tblStyleRowBandSize w:val="1"/>
      <w:tblStyleColBandSize w:val="1"/>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tblPr>
    <w:tcPr/>
    <w:tblStylePr w:type="band1Horz">
      <w:pPr/>
      <w:tblPr/>
      <w:tcPr>
        <w:tcBorders>
          <w:top w:val="single" w:color="000000" w:themeColor="light1" w:sz="4" w:space="0"/>
          <w:bottom w:val="single" w:color="000000" w:themeColor="light1" w:sz="4" w:space="0"/>
        </w:tcBorders>
        <w:shd w:val="clear" w:color="FFFFFF" w:fill="9CC3E6" w:themeFill="accent5" w:themeFillTint="9a"/>
      </w:tcPr>
    </w:tblStylePr>
    <w:tblStylePr w:type="band1Vert">
      <w:pPr/>
      <w:tblPr/>
      <w:tcPr>
        <w:tcBorders>
          <w:left w:val="single" w:color="000000" w:themeColor="light1" w:sz="4" w:space="0"/>
          <w:right w:val="single" w:color="000000" w:themeColor="light1" w:sz="4" w:space="0"/>
        </w:tcBorders>
        <w:shd w:val="clear" w:color="FFFFFF" w:fill="9CC3E6" w:themeFill="accent5" w:themeFillTint="9a"/>
      </w:tcPr>
    </w:tblStylePr>
    <w:tblStylePr w:type="band2Horz">
      <w:pPr/>
      <w:tblPr/>
      <w:tcPr>
        <w:tcBorders>
          <w:top w:val="single" w:color="000000" w:themeColor="light1" w:sz="4" w:space="0"/>
          <w:bottom w:val="single" w:color="000000" w:themeColor="light1" w:sz="4" w:space="0"/>
        </w:tcBorders>
        <w:shd w:val="clear" w:color="FFFFFF" w:fill="9CC3E6" w:themeFill="accent5" w:themeFillTint="9a"/>
      </w:tcPr>
    </w:tblStylePr>
    <w:tblStylePr w:type="band2Vert">
      <w:pPr/>
      <w:tblPr/>
      <w:tcPr>
        <w:tcBorders>
          <w:left w:val="single" w:color="000000" w:themeColor="light1" w:sz="4" w:space="0"/>
          <w:right w:val="single" w:color="000000" w:themeColor="light1" w:sz="4" w:space="0"/>
        </w:tcBorders>
      </w:tcPr>
    </w:tblStylePr>
    <w:tblStylePr w:type="firstCol">
      <w:pPr/>
      <w:rPr>
        <w:b/>
        <w:color w:themeColor="light1"/>
        <w:sz w:val="22"/>
      </w:rPr>
      <w:tblPr/>
      <w:tcPr>
        <w:tcBorders>
          <w:left w:val="single" w:color="000000" w:themeColor="accent5" w:sz="32" w:space="0"/>
          <w:right w:val="single" w:color="000000" w:themeColor="light1" w:sz="4" w:space="0"/>
        </w:tcBorders>
      </w:tcPr>
    </w:tblStylePr>
    <w:tblStylePr w:type="firstRow">
      <w:pPr/>
      <w:rPr>
        <w:b/>
        <w:color w:themeColor="light1"/>
        <w:sz w:val="22"/>
      </w:rPr>
      <w:tblPr/>
      <w:tcPr>
        <w:tcBorders>
          <w:top w:val="single" w:color="000000" w:themeColor="accent5" w:sz="32" w:space="0"/>
          <w:bottom w:val="single" w:color="000000" w:themeColor="light1" w:sz="12" w:space="0"/>
        </w:tcBorders>
        <w:shd w:val="clear" w:color="FFFFFF" w:fill="9CC3E6" w:themeFill="accent5" w:themeFillTint="9a"/>
      </w:tcPr>
    </w:tblStylePr>
    <w:tblStylePr w:type="lastCol">
      <w:pPr/>
      <w:tblPr/>
      <w:tcPr>
        <w:tcBorders>
          <w:left w:val="single" w:color="000000" w:themeColor="light1" w:sz="4" w:space="0"/>
          <w:right w:val="single" w:color="000000" w:themeColor="accent5" w:sz="32" w:space="0"/>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type="table" w:styleId="102">
    <w:name w:val="List Table 5 Dark - Accent 6"/>
    <w:basedOn w:val="771"/>
    <w:uiPriority w:val="99"/>
    <w:pPr>
      <w:spacing w:after="0" w:line="240" w:lineRule="auto"/>
    </w:pPr>
    <w:tblPr>
      <w:tblStyleRowBandSize w:val="1"/>
      <w:tblStyleColBandSize w:val="1"/>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tblPr>
    <w:tcPr/>
    <w:tblStylePr w:type="band1Horz">
      <w:pPr/>
      <w:tblPr/>
      <w:tcPr>
        <w:tcBorders>
          <w:top w:val="single" w:color="000000" w:themeColor="light1" w:sz="4" w:space="0"/>
          <w:bottom w:val="single" w:color="000000" w:themeColor="light1" w:sz="4" w:space="0"/>
        </w:tcBorders>
        <w:shd w:val="clear" w:color="FFFFFF" w:fill="A9D18F" w:themeFill="accent6" w:themeFillTint="98"/>
      </w:tcPr>
    </w:tblStylePr>
    <w:tblStylePr w:type="band1Vert">
      <w:pPr/>
      <w:tblPr/>
      <w:tcPr>
        <w:tcBorders>
          <w:left w:val="single" w:color="000000" w:themeColor="light1" w:sz="4" w:space="0"/>
          <w:right w:val="single" w:color="000000" w:themeColor="light1" w:sz="4" w:space="0"/>
        </w:tcBorders>
        <w:shd w:val="clear" w:color="FFFFFF" w:fill="A9D18F" w:themeFill="accent6" w:themeFillTint="98"/>
      </w:tcPr>
    </w:tblStylePr>
    <w:tblStylePr w:type="band2Horz">
      <w:pPr/>
      <w:tblPr/>
      <w:tcPr>
        <w:tcBorders>
          <w:top w:val="single" w:color="000000" w:themeColor="light1" w:sz="4" w:space="0"/>
          <w:bottom w:val="single" w:color="000000" w:themeColor="light1" w:sz="4" w:space="0"/>
        </w:tcBorders>
        <w:shd w:val="clear" w:color="FFFFFF" w:fill="A9D18F" w:themeFill="accent6" w:themeFillTint="98"/>
      </w:tcPr>
    </w:tblStylePr>
    <w:tblStylePr w:type="band2Vert">
      <w:pPr/>
      <w:tblPr/>
      <w:tcPr>
        <w:tcBorders>
          <w:left w:val="single" w:color="000000" w:themeColor="light1" w:sz="4" w:space="0"/>
          <w:right w:val="single" w:color="000000" w:themeColor="light1" w:sz="4" w:space="0"/>
        </w:tcBorders>
      </w:tcPr>
    </w:tblStylePr>
    <w:tblStylePr w:type="firstCol">
      <w:pPr/>
      <w:rPr>
        <w:b/>
        <w:color w:themeColor="light1"/>
        <w:sz w:val="22"/>
      </w:rPr>
      <w:tblPr/>
      <w:tcPr>
        <w:tcBorders>
          <w:left w:val="single" w:color="000000" w:themeColor="accent6" w:sz="32" w:space="0"/>
          <w:right w:val="single" w:color="000000" w:themeColor="light1" w:sz="4" w:space="0"/>
        </w:tcBorders>
      </w:tcPr>
    </w:tblStylePr>
    <w:tblStylePr w:type="firstRow">
      <w:pPr/>
      <w:rPr>
        <w:b/>
        <w:color w:themeColor="light1"/>
        <w:sz w:val="22"/>
      </w:rPr>
      <w:tblPr/>
      <w:tcPr>
        <w:tcBorders>
          <w:top w:val="single" w:color="000000" w:themeColor="accent6" w:sz="32" w:space="0"/>
          <w:bottom w:val="single" w:color="000000" w:themeColor="light1" w:sz="12" w:space="0"/>
        </w:tcBorders>
        <w:shd w:val="clear" w:color="FFFFFF" w:fill="A9D18F" w:themeFill="accent6" w:themeFillTint="98"/>
      </w:tcPr>
    </w:tblStylePr>
    <w:tblStylePr w:type="lastCol">
      <w:pPr/>
      <w:tblPr/>
      <w:tcPr>
        <w:tcBorders>
          <w:left w:val="single" w:color="000000" w:themeColor="light1" w:sz="4" w:space="0"/>
          <w:right w:val="single" w:color="000000" w:themeColor="accent6" w:sz="32" w:space="0"/>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type="table" w:styleId="103">
    <w:name w:val="List Table 6 Colorful"/>
    <w:basedOn w:val="771"/>
    <w:uiPriority w:val="99"/>
    <w:pPr>
      <w:spacing w:after="0" w:line="240" w:lineRule="auto"/>
    </w:pPr>
    <w:tblPr>
      <w:tblStyleRowBandSize w:val="1"/>
      <w:tblStyleColBandSize w:val="1"/>
      <w:tblBorders>
        <w:top w:val="single" w:color="000000" w:themeColor="text1" w:themeTint="80" w:sz="4" w:space="0"/>
        <w:bottom w:val="single" w:color="000000" w:themeColor="text1" w:themeTint="80" w:sz="4" w:space="0"/>
      </w:tblBorders>
    </w:tblPr>
    <w:tcPr/>
    <w:tblStylePr w:type="band1Horz">
      <w:pPr/>
      <w:rPr>
        <w:color w:themeColor="text1"/>
        <w:sz w:val="22"/>
      </w:rPr>
      <w:tblPr/>
      <w:tcPr>
        <w:shd w:val="clear" w:color="FFFFFF" w:fill="BFBFBF" w:themeFill="text1" w:themeFillTint="40"/>
      </w:tcPr>
    </w:tblStylePr>
    <w:tblStylePr w:type="band1Vert">
      <w:pPr/>
      <w:tblPr/>
      <w:tcPr>
        <w:shd w:val="clear" w:color="FFFFFF" w:fill="BFBFBF" w:themeFill="text1" w:themeFillTint="40"/>
      </w:tcPr>
    </w:tblStylePr>
    <w:tblStylePr w:type="band2Horz">
      <w:pPr/>
      <w:rPr>
        <w:color w:themeColor="text1"/>
        <w:sz w:val="22"/>
      </w:rPr>
      <w:tblPr/>
      <w:tcPr/>
    </w:tblStylePr>
    <w:tblStylePr w:type="band2Vert">
      <w:pPr/>
      <w:tblPr/>
      <w:tcPr/>
    </w:tblStylePr>
    <w:tblStylePr w:type="firstCol">
      <w:pPr/>
      <w:rPr>
        <w:b/>
        <w:color w:themeColor="text1"/>
      </w:rPr>
      <w:tblPr/>
      <w:tcPr/>
    </w:tblStylePr>
    <w:tblStylePr w:type="firstRow">
      <w:pPr/>
      <w:rPr>
        <w:b/>
        <w:color w:themeColor="text1"/>
      </w:rPr>
      <w:tblPr/>
      <w:tcPr>
        <w:tcBorders>
          <w:bottom w:val="single" w:color="000000" w:themeColor="text1" w:sz="4" w:space="0"/>
        </w:tcBorders>
      </w:tcPr>
    </w:tblStylePr>
    <w:tblStylePr w:type="lastCol">
      <w:pPr/>
      <w:rPr>
        <w:b/>
        <w:color w:themeColor="text1"/>
      </w:rPr>
      <w:tblPr/>
      <w:tcPr/>
    </w:tblStylePr>
    <w:tblStylePr w:type="lastRow">
      <w:pPr/>
      <w:rPr>
        <w:b/>
        <w:color w:themeColor="text1"/>
      </w:rPr>
      <w:tblPr/>
      <w:tcPr>
        <w:tcBorders>
          <w:top w:val="single" w:color="000000" w:themeColor="text1"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4">
    <w:name w:val="List Table 6 Colorful - Accent 1"/>
    <w:basedOn w:val="771"/>
    <w:uiPriority w:val="99"/>
    <w:pPr>
      <w:spacing w:after="0" w:line="240" w:lineRule="auto"/>
    </w:pPr>
    <w:tblPr>
      <w:tblStyleRowBandSize w:val="1"/>
      <w:tblStyleColBandSize w:val="1"/>
      <w:tblBorders>
        <w:top w:val="single" w:color="000000" w:themeColor="accent1" w:sz="4" w:space="0"/>
        <w:bottom w:val="single" w:color="000000" w:themeColor="accent1" w:sz="4" w:space="0"/>
      </w:tblBorders>
    </w:tblPr>
    <w:tcPr/>
    <w:tblStylePr w:type="band1Horz">
      <w:pPr/>
      <w:rPr>
        <w:color w:themeColor="accent1" w:themeShade="95"/>
        <w:sz w:val="22"/>
      </w:rPr>
      <w:tblPr/>
      <w:tcPr>
        <w:shd w:val="clear" w:color="FFFFFF" w:fill="D0DCF0" w:themeFill="accent1" w:themeFillTint="40"/>
      </w:tcPr>
    </w:tblStylePr>
    <w:tblStylePr w:type="band1Vert">
      <w:pPr/>
      <w:tblPr/>
      <w:tcPr>
        <w:shd w:val="clear" w:color="FFFFFF" w:fill="D0DCF0" w:themeFill="accent1" w:themeFillTint="40"/>
      </w:tcPr>
    </w:tblStylePr>
    <w:tblStylePr w:type="band2Horz">
      <w:pPr/>
      <w:rPr>
        <w:color w:themeColor="accent1" w:themeShade="95"/>
        <w:sz w:val="22"/>
      </w:rPr>
      <w:tblPr/>
      <w:tcPr/>
    </w:tblStylePr>
    <w:tblStylePr w:type="band2Vert">
      <w:pPr/>
      <w:tblPr/>
      <w:tcPr/>
    </w:tblStylePr>
    <w:tblStylePr w:type="firstCol">
      <w:pPr/>
      <w:rPr>
        <w:b/>
        <w:color w:themeColor="accent1" w:themeShade="95"/>
      </w:rPr>
      <w:tblPr/>
      <w:tcPr/>
    </w:tblStylePr>
    <w:tblStylePr w:type="firstRow">
      <w:pPr/>
      <w:rPr>
        <w:b/>
        <w:color w:themeColor="accent1" w:themeShade="95"/>
      </w:rPr>
      <w:tblPr/>
      <w:tcPr>
        <w:tcBorders>
          <w:bottom w:val="single" w:color="000000" w:themeColor="accent1" w:sz="4" w:space="0"/>
        </w:tcBorders>
      </w:tcPr>
    </w:tblStylePr>
    <w:tblStylePr w:type="lastCol">
      <w:pPr/>
      <w:rPr>
        <w:b/>
        <w:color w:themeColor="accent1" w:themeShade="95"/>
      </w:rPr>
      <w:tblPr/>
      <w:tcPr/>
    </w:tblStylePr>
    <w:tblStylePr w:type="lastRow">
      <w:pPr/>
      <w:rPr>
        <w:b/>
        <w:color w:themeColor="accent1" w:themeShade="95"/>
      </w:rPr>
      <w:tblPr/>
      <w:tcPr>
        <w:tcBorders>
          <w:top w:val="single" w:color="000000" w:themeColor="accent1"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5">
    <w:name w:val="List Table 6 Colorful - Accent 2"/>
    <w:basedOn w:val="771"/>
    <w:uiPriority w:val="99"/>
    <w:pPr>
      <w:spacing w:after="0" w:line="240" w:lineRule="auto"/>
    </w:pPr>
    <w:tblPr>
      <w:tblStyleRowBandSize w:val="1"/>
      <w:tblStyleColBandSize w:val="1"/>
      <w:tblBorders>
        <w:top w:val="single" w:color="000000" w:themeColor="accent2" w:themeTint="97" w:sz="4" w:space="0"/>
        <w:bottom w:val="single" w:color="000000" w:themeColor="accent2" w:themeTint="97" w:sz="4" w:space="0"/>
      </w:tblBorders>
    </w:tblPr>
    <w:tcPr/>
    <w:tblStylePr w:type="band1Horz">
      <w:pPr/>
      <w:rPr>
        <w:color w:themeColor="accent2" w:themeTint="97" w:themeShade="95"/>
        <w:sz w:val="22"/>
      </w:rPr>
      <w:tblPr/>
      <w:tcPr>
        <w:shd w:val="clear" w:color="FFFFFF" w:fill="FADECB" w:themeFill="accent2" w:themeFillTint="40"/>
      </w:tcPr>
    </w:tblStylePr>
    <w:tblStylePr w:type="band1Vert">
      <w:pPr/>
      <w:tblPr/>
      <w:tcPr>
        <w:shd w:val="clear" w:color="FFFFFF" w:fill="FADECB" w:themeFill="accent2" w:themeFillTint="40"/>
      </w:tcPr>
    </w:tblStylePr>
    <w:tblStylePr w:type="band2Horz">
      <w:pPr/>
      <w:rPr>
        <w:color w:themeColor="accent2" w:themeTint="97" w:themeShade="95"/>
        <w:sz w:val="22"/>
      </w:rPr>
      <w:tblPr/>
      <w:tcPr/>
    </w:tblStylePr>
    <w:tblStylePr w:type="band2Vert">
      <w:pPr/>
      <w:tblPr/>
      <w:tcPr/>
    </w:tblStylePr>
    <w:tblStylePr w:type="firstCol">
      <w:pPr/>
      <w:rPr>
        <w:b/>
        <w:color w:themeColor="accent2" w:themeTint="97" w:themeShade="95"/>
      </w:rPr>
      <w:tblPr/>
      <w:tcPr/>
    </w:tblStylePr>
    <w:tblStylePr w:type="firstRow">
      <w:pPr/>
      <w:rPr>
        <w:b/>
        <w:color w:themeColor="accent2" w:themeTint="97" w:themeShade="95"/>
      </w:rPr>
      <w:tblPr/>
      <w:tcPr>
        <w:tcBorders>
          <w:bottom w:val="single" w:color="000000" w:themeColor="accent2" w:sz="4" w:space="0"/>
        </w:tcBorders>
      </w:tcPr>
    </w:tblStylePr>
    <w:tblStylePr w:type="lastCol">
      <w:pPr/>
      <w:rPr>
        <w:b/>
        <w:color w:themeColor="accent2" w:themeTint="97" w:themeShade="95"/>
      </w:rPr>
      <w:tblPr/>
      <w:tcPr/>
    </w:tblStylePr>
    <w:tblStylePr w:type="lastRow">
      <w:pPr/>
      <w:rPr>
        <w:b/>
        <w:color w:themeColor="accent2" w:themeTint="97" w:themeShade="95"/>
      </w:rPr>
      <w:tblPr/>
      <w:tcPr>
        <w:tcBorders>
          <w:top w:val="single" w:color="000000" w:themeColor="accent2"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6">
    <w:name w:val="List Table 6 Colorful - Accent 3"/>
    <w:basedOn w:val="771"/>
    <w:uiPriority w:val="99"/>
    <w:pPr>
      <w:spacing w:after="0" w:line="240" w:lineRule="auto"/>
    </w:pPr>
    <w:tblPr>
      <w:tblStyleRowBandSize w:val="1"/>
      <w:tblStyleColBandSize w:val="1"/>
      <w:tblBorders>
        <w:top w:val="single" w:color="000000" w:themeColor="accent3" w:themeTint="98" w:sz="4" w:space="0"/>
        <w:bottom w:val="single" w:color="000000" w:themeColor="accent3" w:themeTint="98" w:sz="4" w:space="0"/>
      </w:tblBorders>
    </w:tblPr>
    <w:tcPr/>
    <w:tblStylePr w:type="band1Horz">
      <w:pPr/>
      <w:rPr>
        <w:color w:themeColor="accent3" w:themeTint="98" w:themeShade="95"/>
        <w:sz w:val="22"/>
      </w:rPr>
      <w:tblPr/>
      <w:tcPr>
        <w:shd w:val="clear" w:color="FFFFFF" w:fill="E8E8E8" w:themeFill="accent3" w:themeFillTint="40"/>
      </w:tcPr>
    </w:tblStylePr>
    <w:tblStylePr w:type="band1Vert">
      <w:pPr/>
      <w:tblPr/>
      <w:tcPr>
        <w:shd w:val="clear" w:color="FFFFFF" w:fill="E8E8E8" w:themeFill="accent3" w:themeFillTint="40"/>
      </w:tcPr>
    </w:tblStylePr>
    <w:tblStylePr w:type="band2Horz">
      <w:pPr/>
      <w:rPr>
        <w:color w:themeColor="accent3" w:themeTint="98" w:themeShade="95"/>
        <w:sz w:val="22"/>
      </w:rPr>
      <w:tblPr/>
      <w:tcPr/>
    </w:tblStylePr>
    <w:tblStylePr w:type="band2Vert">
      <w:pPr/>
      <w:tblPr/>
      <w:tcPr/>
    </w:tblStylePr>
    <w:tblStylePr w:type="firstCol">
      <w:pPr/>
      <w:rPr>
        <w:b/>
        <w:color w:themeColor="accent3" w:themeTint="98" w:themeShade="95"/>
      </w:rPr>
      <w:tblPr/>
      <w:tcPr/>
    </w:tblStylePr>
    <w:tblStylePr w:type="firstRow">
      <w:pPr/>
      <w:rPr>
        <w:b/>
        <w:color w:themeColor="accent3" w:themeTint="98" w:themeShade="95"/>
      </w:rPr>
      <w:tblPr/>
      <w:tcPr>
        <w:tcBorders>
          <w:bottom w:val="single" w:color="000000" w:themeColor="accent3" w:sz="4" w:space="0"/>
        </w:tcBorders>
      </w:tcPr>
    </w:tblStylePr>
    <w:tblStylePr w:type="lastCol">
      <w:pPr/>
      <w:rPr>
        <w:b/>
        <w:color w:themeColor="accent3" w:themeTint="98" w:themeShade="95"/>
      </w:rPr>
      <w:tblPr/>
      <w:tcPr/>
    </w:tblStylePr>
    <w:tblStylePr w:type="lastRow">
      <w:pPr/>
      <w:rPr>
        <w:b/>
        <w:color w:themeColor="accent3" w:themeTint="98" w:themeShade="95"/>
      </w:rPr>
      <w:tblPr/>
      <w:tcPr>
        <w:tcBorders>
          <w:top w:val="single" w:color="000000" w:themeColor="accent3"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7">
    <w:name w:val="List Table 6 Colorful - Accent 4"/>
    <w:basedOn w:val="771"/>
    <w:uiPriority w:val="99"/>
    <w:pPr>
      <w:spacing w:after="0" w:line="240" w:lineRule="auto"/>
    </w:pPr>
    <w:tblPr>
      <w:tblStyleRowBandSize w:val="1"/>
      <w:tblStyleColBandSize w:val="1"/>
      <w:tblBorders>
        <w:top w:val="single" w:color="000000" w:themeColor="accent4" w:themeTint="9a" w:sz="4" w:space="0"/>
        <w:bottom w:val="single" w:color="000000" w:themeColor="accent4" w:themeTint="9a" w:sz="4" w:space="0"/>
      </w:tblBorders>
    </w:tblPr>
    <w:tcPr/>
    <w:tblStylePr w:type="band1Horz">
      <w:pPr/>
      <w:rPr>
        <w:color w:themeColor="accent4" w:themeTint="9a" w:themeShade="95"/>
        <w:sz w:val="22"/>
      </w:rPr>
      <w:tblPr/>
      <w:tcPr>
        <w:shd w:val="clear" w:color="FFFFFF" w:fill="FFEFBF" w:themeFill="accent4" w:themeFillTint="40"/>
      </w:tcPr>
    </w:tblStylePr>
    <w:tblStylePr w:type="band1Vert">
      <w:pPr/>
      <w:tblPr/>
      <w:tcPr>
        <w:shd w:val="clear" w:color="FFFFFF" w:fill="FFEFBF" w:themeFill="accent4" w:themeFillTint="40"/>
      </w:tcPr>
    </w:tblStylePr>
    <w:tblStylePr w:type="band2Horz">
      <w:pPr/>
      <w:rPr>
        <w:color w:themeColor="accent4" w:themeTint="9a" w:themeShade="95"/>
        <w:sz w:val="22"/>
      </w:rPr>
      <w:tblPr/>
      <w:tcPr/>
    </w:tblStylePr>
    <w:tblStylePr w:type="band2Vert">
      <w:pPr/>
      <w:tblPr/>
      <w:tcPr/>
    </w:tblStylePr>
    <w:tblStylePr w:type="firstCol">
      <w:pPr/>
      <w:rPr>
        <w:b/>
        <w:color w:themeColor="accent4" w:themeTint="9a" w:themeShade="95"/>
      </w:rPr>
      <w:tblPr/>
      <w:tcPr/>
    </w:tblStylePr>
    <w:tblStylePr w:type="firstRow">
      <w:pPr/>
      <w:rPr>
        <w:b/>
        <w:color w:themeColor="accent4" w:themeTint="9a" w:themeShade="95"/>
      </w:rPr>
      <w:tblPr/>
      <w:tcPr>
        <w:tcBorders>
          <w:bottom w:val="single" w:color="000000" w:themeColor="accent4" w:sz="4" w:space="0"/>
        </w:tcBorders>
      </w:tcPr>
    </w:tblStylePr>
    <w:tblStylePr w:type="lastCol">
      <w:pPr/>
      <w:rPr>
        <w:b/>
        <w:color w:themeColor="accent4" w:themeTint="9a" w:themeShade="95"/>
      </w:rPr>
      <w:tblPr/>
      <w:tcPr/>
    </w:tblStylePr>
    <w:tblStylePr w:type="lastRow">
      <w:pPr/>
      <w:rPr>
        <w:b/>
        <w:color w:themeColor="accent4" w:themeTint="9a" w:themeShade="95"/>
      </w:rPr>
      <w:tblPr/>
      <w:tcPr>
        <w:tcBorders>
          <w:top w:val="single" w:color="000000" w:themeColor="accent4"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8">
    <w:name w:val="List Table 6 Colorful - Accent 5"/>
    <w:basedOn w:val="771"/>
    <w:uiPriority w:val="99"/>
    <w:pPr>
      <w:spacing w:after="0" w:line="240" w:lineRule="auto"/>
    </w:pPr>
    <w:tblPr>
      <w:tblStyleRowBandSize w:val="1"/>
      <w:tblStyleColBandSize w:val="1"/>
      <w:tblBorders>
        <w:top w:val="single" w:color="000000" w:themeColor="accent5" w:themeTint="9a" w:sz="4" w:space="0"/>
        <w:bottom w:val="single" w:color="000000" w:themeColor="accent5" w:themeTint="9a" w:sz="4" w:space="0"/>
      </w:tblBorders>
    </w:tblPr>
    <w:tcPr/>
    <w:tblStylePr w:type="band1Horz">
      <w:pPr/>
      <w:rPr>
        <w:color w:themeColor="accent5" w:themeTint="9a" w:themeShade="95"/>
        <w:sz w:val="22"/>
      </w:rPr>
      <w:tblPr/>
      <w:tcPr>
        <w:shd w:val="clear" w:color="FFFFFF" w:fill="D6E6F4" w:themeFill="accent5" w:themeFillTint="40"/>
      </w:tcPr>
    </w:tblStylePr>
    <w:tblStylePr w:type="band1Vert">
      <w:pPr/>
      <w:tblPr/>
      <w:tcPr>
        <w:shd w:val="clear" w:color="FFFFFF" w:fill="D6E6F4" w:themeFill="accent5" w:themeFillTint="40"/>
      </w:tcPr>
    </w:tblStylePr>
    <w:tblStylePr w:type="band2Horz">
      <w:pPr/>
      <w:rPr>
        <w:color w:themeColor="accent5" w:themeTint="9a" w:themeShade="95"/>
        <w:sz w:val="22"/>
      </w:rPr>
      <w:tblPr/>
      <w:tcPr/>
    </w:tblStylePr>
    <w:tblStylePr w:type="band2Vert">
      <w:pPr/>
      <w:tblPr/>
      <w:tcPr/>
    </w:tblStylePr>
    <w:tblStylePr w:type="firstCol">
      <w:pPr/>
      <w:rPr>
        <w:b/>
        <w:color w:themeColor="accent5" w:themeTint="9a" w:themeShade="95"/>
      </w:rPr>
      <w:tblPr/>
      <w:tcPr/>
    </w:tblStylePr>
    <w:tblStylePr w:type="firstRow">
      <w:pPr/>
      <w:rPr>
        <w:b/>
        <w:color w:themeColor="accent5" w:themeTint="9a" w:themeShade="95"/>
      </w:rPr>
      <w:tblPr/>
      <w:tcPr>
        <w:tcBorders>
          <w:bottom w:val="single" w:color="000000" w:themeColor="accent5" w:sz="4" w:space="0"/>
        </w:tcBorders>
      </w:tcPr>
    </w:tblStylePr>
    <w:tblStylePr w:type="lastCol">
      <w:pPr/>
      <w:rPr>
        <w:b/>
        <w:color w:themeColor="accent5" w:themeTint="9a" w:themeShade="95"/>
      </w:rPr>
      <w:tblPr/>
      <w:tcPr/>
    </w:tblStylePr>
    <w:tblStylePr w:type="lastRow">
      <w:pPr/>
      <w:rPr>
        <w:b/>
        <w:color w:themeColor="accent5" w:themeTint="9a" w:themeShade="95"/>
      </w:rPr>
      <w:tblPr/>
      <w:tcPr>
        <w:tcBorders>
          <w:top w:val="single" w:color="000000" w:themeColor="accent5"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09">
    <w:name w:val="List Table 6 Colorful - Accent 6"/>
    <w:basedOn w:val="771"/>
    <w:uiPriority w:val="99"/>
    <w:pPr>
      <w:spacing w:after="0" w:line="240" w:lineRule="auto"/>
    </w:pPr>
    <w:tblPr>
      <w:tblStyleRowBandSize w:val="1"/>
      <w:tblStyleColBandSize w:val="1"/>
      <w:tblBorders>
        <w:top w:val="single" w:color="000000" w:themeColor="accent6" w:themeTint="98" w:sz="4" w:space="0"/>
        <w:bottom w:val="single" w:color="000000" w:themeColor="accent6" w:themeTint="98" w:sz="4" w:space="0"/>
      </w:tblBorders>
    </w:tblPr>
    <w:tcPr/>
    <w:tblStylePr w:type="band1Horz">
      <w:pPr/>
      <w:rPr>
        <w:color w:themeColor="accent6" w:themeTint="98" w:themeShade="95"/>
        <w:sz w:val="22"/>
      </w:rPr>
      <w:tblPr/>
      <w:tcPr>
        <w:shd w:val="clear" w:color="FFFFFF" w:fill="DBECD0" w:themeFill="accent6" w:themeFillTint="40"/>
      </w:tcPr>
    </w:tblStylePr>
    <w:tblStylePr w:type="band1Vert">
      <w:pPr/>
      <w:tblPr/>
      <w:tcPr>
        <w:shd w:val="clear" w:color="FFFFFF" w:fill="DBECD0" w:themeFill="accent6" w:themeFillTint="40"/>
      </w:tcPr>
    </w:tblStylePr>
    <w:tblStylePr w:type="band2Horz">
      <w:pPr/>
      <w:rPr>
        <w:color w:themeColor="accent6" w:themeTint="98" w:themeShade="95"/>
        <w:sz w:val="22"/>
      </w:rPr>
      <w:tblPr/>
      <w:tcPr/>
    </w:tblStylePr>
    <w:tblStylePr w:type="band2Vert">
      <w:pPr/>
      <w:tblPr/>
      <w:tcPr/>
    </w:tblStylePr>
    <w:tblStylePr w:type="firstCol">
      <w:pPr/>
      <w:rPr>
        <w:b/>
        <w:color w:themeColor="accent6" w:themeTint="98" w:themeShade="95"/>
      </w:rPr>
      <w:tblPr/>
      <w:tcPr/>
    </w:tblStylePr>
    <w:tblStylePr w:type="firstRow">
      <w:pPr/>
      <w:rPr>
        <w:b/>
        <w:color w:themeColor="accent6" w:themeTint="98" w:themeShade="95"/>
      </w:rPr>
      <w:tblPr/>
      <w:tcPr>
        <w:tcBorders>
          <w:bottom w:val="single" w:color="000000" w:themeColor="accent6" w:sz="4" w:space="0"/>
        </w:tcBorders>
      </w:tcPr>
    </w:tblStylePr>
    <w:tblStylePr w:type="lastCol">
      <w:pPr/>
      <w:rPr>
        <w:b/>
        <w:color w:themeColor="accent6" w:themeTint="98" w:themeShade="95"/>
      </w:rPr>
      <w:tblPr/>
      <w:tcPr/>
    </w:tblStylePr>
    <w:tblStylePr w:type="lastRow">
      <w:pPr/>
      <w:rPr>
        <w:b/>
        <w:color w:themeColor="accent6" w:themeTint="98" w:themeShade="95"/>
      </w:rPr>
      <w:tblPr/>
      <w:tcPr>
        <w:tcBorders>
          <w:top w:val="single" w:color="000000" w:themeColor="accent6"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0">
    <w:name w:val="List Table 7 Colorful"/>
    <w:basedOn w:val="771"/>
    <w:uiPriority w:val="99"/>
    <w:pPr>
      <w:spacing w:after="0" w:line="240" w:lineRule="auto"/>
    </w:pPr>
    <w:tblPr>
      <w:tblStyleRowBandSize w:val="1"/>
      <w:tblStyleColBandSize w:val="1"/>
      <w:tblBorders>
        <w:right w:val="single" w:color="000000" w:themeColor="text1" w:themeTint="80" w:sz="4" w:space="0"/>
      </w:tblBorders>
    </w:tblPr>
    <w:tcPr/>
    <w:tblStylePr w:type="band1Horz">
      <w:pPr/>
      <w:rPr>
        <w:color w:themeColor="text1" w:themeTint="80" w:themeShade="95"/>
        <w:sz w:val="22"/>
      </w:rPr>
      <w:tblPr/>
      <w:tcPr>
        <w:shd w:val="clear" w:color="FFFFFF" w:fill="BFBFBF" w:themeFill="text1" w:themeFillTint="40"/>
      </w:tcPr>
    </w:tblStylePr>
    <w:tblStylePr w:type="band1Vert">
      <w:pPr/>
      <w:tblPr/>
      <w:tcPr>
        <w:shd w:val="clear" w:color="FFFFFF" w:fill="BFBFBF" w:themeFill="text1" w:themeFillTint="40"/>
      </w:tcPr>
    </w:tblStylePr>
    <w:tblStylePr w:type="band2Horz">
      <w:pPr/>
      <w:rPr>
        <w:color w:themeColor="text1" w:themeTint="80" w:themeShade="95"/>
        <w:sz w:val="22"/>
      </w:rPr>
      <w:tblPr/>
      <w:tcPr/>
    </w:tblStylePr>
    <w:tblStylePr w:type="band2Vert">
      <w:pPr/>
      <w:tblPr/>
      <w:tcPr/>
    </w:tblStylePr>
    <w:tblStylePr w:type="firstCol">
      <w:pPr>
        <w:jc w:val="right"/>
      </w:pPr>
      <w:rPr>
        <w:i/>
        <w:color w:themeColor="text1" w:themeTint="80" w:themeShade="95"/>
        <w:sz w:val="22"/>
      </w:rPr>
      <w:tblPr/>
      <w:tcPr>
        <w:tcBorders>
          <w:top w:val="none"/>
          <w:left w:val="none"/>
          <w:bottom w:val="none"/>
          <w:right w:val="single" w:color="000000" w:themeColor="text1" w:sz="4" w:space="0"/>
        </w:tcBorders>
        <w:shd w:color="FFFFFF"/>
      </w:tcPr>
    </w:tblStylePr>
    <w:tblStylePr w:type="firstRow">
      <w:pPr/>
      <w:rPr>
        <w:i/>
        <w:color w:themeColor="text1" w:themeTint="80" w:themeShade="95"/>
        <w:sz w:val="22"/>
      </w:rPr>
      <w:tblPr/>
      <w:tcPr>
        <w:tcBorders>
          <w:top w:val="none"/>
          <w:left w:val="none"/>
          <w:bottom w:val="single" w:color="000000" w:themeColor="text1" w:sz="4" w:space="0"/>
          <w:right w:val="none"/>
        </w:tcBorders>
        <w:shd w:val="clear" w:color="FFFFFF" w:fill="FFFFFF" w:themeFill="light1"/>
      </w:tcPr>
    </w:tblStylePr>
    <w:tblStylePr w:type="lastCol">
      <w:pPr/>
      <w:rPr>
        <w:i/>
        <w:color w:themeColor="text1" w:themeTint="80" w:themeShade="95"/>
        <w:sz w:val="22"/>
      </w:rPr>
      <w:tblPr/>
      <w:tcPr>
        <w:tcBorders>
          <w:top w:val="none"/>
          <w:left w:val="single" w:color="000000" w:themeColor="text1" w:sz="4" w:space="0"/>
          <w:bottom w:val="none"/>
          <w:right w:val="none"/>
        </w:tcBorders>
        <w:shd w:color="FFFFFF"/>
      </w:tcPr>
    </w:tblStylePr>
    <w:tblStylePr w:type="lastRow">
      <w:pPr/>
      <w:rPr>
        <w:i/>
        <w:color w:themeColor="text1" w:themeTint="80" w:themeShade="95"/>
        <w:sz w:val="22"/>
      </w:rPr>
      <w:tblPr/>
      <w:tcPr>
        <w:tcBorders>
          <w:top w:val="single" w:color="000000" w:themeColor="text1"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text1" w:themeTint="80" w:themeShade="95"/>
        <w:sz w:val="22"/>
      </w:rPr>
      <w:tblPr/>
      <w:tcPr/>
    </w:tblStylePr>
  </w:style>
  <w:style w:type="table" w:styleId="111">
    <w:name w:val="List Table 7 Colorful - Accent 1"/>
    <w:basedOn w:val="771"/>
    <w:uiPriority w:val="99"/>
    <w:pPr>
      <w:spacing w:after="0" w:line="240" w:lineRule="auto"/>
    </w:pPr>
    <w:tblPr>
      <w:tblStyleRowBandSize w:val="1"/>
      <w:tblStyleColBandSize w:val="1"/>
      <w:tblBorders>
        <w:right w:val="single" w:color="000000" w:themeColor="accent1" w:sz="4" w:space="0"/>
      </w:tblBorders>
    </w:tblPr>
    <w:tcPr/>
    <w:tblStylePr w:type="band1Horz">
      <w:pPr/>
      <w:rPr>
        <w:color w:themeColor="accent1" w:themeShade="95"/>
        <w:sz w:val="22"/>
      </w:rPr>
      <w:tblPr/>
      <w:tcPr>
        <w:shd w:val="clear" w:color="FFFFFF" w:fill="D0DCF0" w:themeFill="accent1" w:themeFillTint="40"/>
      </w:tcPr>
    </w:tblStylePr>
    <w:tblStylePr w:type="band1Vert">
      <w:pPr/>
      <w:tblPr/>
      <w:tcPr>
        <w:shd w:val="clear" w:color="FFFFFF" w:fill="D0DCF0" w:themeFill="accent1" w:themeFillTint="40"/>
      </w:tcPr>
    </w:tblStylePr>
    <w:tblStylePr w:type="band2Horz">
      <w:pPr/>
      <w:rPr>
        <w:color w:themeColor="accent1" w:themeShade="95"/>
        <w:sz w:val="22"/>
      </w:rPr>
      <w:tblPr/>
      <w:tcPr/>
    </w:tblStylePr>
    <w:tblStylePr w:type="band2Vert">
      <w:pPr/>
      <w:tblPr/>
      <w:tcPr/>
    </w:tblStylePr>
    <w:tblStylePr w:type="firstCol">
      <w:pPr>
        <w:jc w:val="right"/>
      </w:pPr>
      <w:rPr>
        <w:i/>
        <w:color w:themeColor="accent1" w:themeShade="95"/>
        <w:sz w:val="22"/>
      </w:rPr>
      <w:tblPr/>
      <w:tcPr>
        <w:tcBorders>
          <w:top w:val="none"/>
          <w:left w:val="none"/>
          <w:bottom w:val="none"/>
          <w:right w:val="single" w:color="000000" w:themeColor="accent1" w:sz="4" w:space="0"/>
        </w:tcBorders>
        <w:shd w:color="FFFFFF"/>
      </w:tcPr>
    </w:tblStylePr>
    <w:tblStylePr w:type="firstRow">
      <w:pPr/>
      <w:rPr>
        <w:i/>
        <w:color w:themeColor="accent1" w:themeShade="95"/>
        <w:sz w:val="22"/>
      </w:rPr>
      <w:tblPr/>
      <w:tcPr>
        <w:tcBorders>
          <w:top w:val="none"/>
          <w:left w:val="none"/>
          <w:bottom w:val="single" w:color="000000" w:themeColor="accent1" w:sz="4" w:space="0"/>
          <w:right w:val="none"/>
        </w:tcBorders>
        <w:shd w:val="clear" w:color="FFFFFF" w:fill="FFFFFF" w:themeFill="light1"/>
      </w:tcPr>
    </w:tblStylePr>
    <w:tblStylePr w:type="lastCol">
      <w:pPr/>
      <w:rPr>
        <w:i/>
        <w:color w:themeColor="accent1" w:themeShade="95"/>
        <w:sz w:val="22"/>
      </w:rPr>
      <w:tblPr/>
      <w:tcPr>
        <w:tcBorders>
          <w:top w:val="none"/>
          <w:left w:val="single" w:color="000000" w:themeColor="accent1" w:sz="4" w:space="0"/>
          <w:bottom w:val="none"/>
          <w:right w:val="none"/>
        </w:tcBorders>
        <w:shd w:color="FFFFFF"/>
      </w:tcPr>
    </w:tblStylePr>
    <w:tblStylePr w:type="lastRow">
      <w:pPr/>
      <w:rPr>
        <w:i/>
        <w:color w:themeColor="accent1" w:themeShade="95"/>
        <w:sz w:val="22"/>
      </w:rPr>
      <w:tblPr/>
      <w:tcPr>
        <w:tcBorders>
          <w:top w:val="single" w:color="000000" w:themeColor="accent1"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1" w:themeShade="95"/>
        <w:sz w:val="22"/>
      </w:rPr>
      <w:tblPr/>
      <w:tcPr/>
    </w:tblStylePr>
  </w:style>
  <w:style w:type="table" w:styleId="112">
    <w:name w:val="List Table 7 Colorful - Accent 2"/>
    <w:basedOn w:val="771"/>
    <w:uiPriority w:val="99"/>
    <w:pPr>
      <w:spacing w:after="0" w:line="240" w:lineRule="auto"/>
    </w:pPr>
    <w:tblPr>
      <w:tblStyleRowBandSize w:val="1"/>
      <w:tblStyleColBandSize w:val="1"/>
      <w:tblBorders>
        <w:right w:val="single" w:color="000000" w:themeColor="accent2" w:themeTint="97" w:sz="4" w:space="0"/>
      </w:tblBorders>
    </w:tblPr>
    <w:tcPr/>
    <w:tblStylePr w:type="band1Horz">
      <w:pPr/>
      <w:rPr>
        <w:color w:themeColor="accent2" w:themeTint="97" w:themeShade="95"/>
        <w:sz w:val="22"/>
      </w:rPr>
      <w:tblPr/>
      <w:tcPr>
        <w:shd w:val="clear" w:color="FFFFFF" w:fill="FADECB" w:themeFill="accent2" w:themeFillTint="40"/>
      </w:tcPr>
    </w:tblStylePr>
    <w:tblStylePr w:type="band1Vert">
      <w:pPr/>
      <w:tblPr/>
      <w:tcPr>
        <w:shd w:val="clear" w:color="FFFFFF" w:fill="FADECB" w:themeFill="accent2" w:themeFillTint="40"/>
      </w:tcPr>
    </w:tblStylePr>
    <w:tblStylePr w:type="band2Horz">
      <w:pPr/>
      <w:rPr>
        <w:color w:themeColor="accent2" w:themeTint="97" w:themeShade="95"/>
        <w:sz w:val="22"/>
      </w:rPr>
      <w:tblPr/>
      <w:tcPr/>
    </w:tblStylePr>
    <w:tblStylePr w:type="band2Vert">
      <w:pPr/>
      <w:tblPr/>
      <w:tcPr/>
    </w:tblStylePr>
    <w:tblStylePr w:type="firstCol">
      <w:pPr>
        <w:jc w:val="right"/>
      </w:pPr>
      <w:rPr>
        <w:i/>
        <w:color w:themeColor="accent2" w:themeTint="97" w:themeShade="95"/>
        <w:sz w:val="22"/>
      </w:rPr>
      <w:tblPr/>
      <w:tcPr>
        <w:tcBorders>
          <w:top w:val="none"/>
          <w:left w:val="none"/>
          <w:bottom w:val="none"/>
          <w:right w:val="single" w:color="000000" w:themeColor="accent2" w:sz="4" w:space="0"/>
        </w:tcBorders>
        <w:shd w:color="FFFFFF"/>
      </w:tcPr>
    </w:tblStylePr>
    <w:tblStylePr w:type="firstRow">
      <w:pPr/>
      <w:rPr>
        <w:i/>
        <w:color w:themeColor="accent2" w:themeTint="97" w:themeShade="95"/>
        <w:sz w:val="22"/>
      </w:rPr>
      <w:tblPr/>
      <w:tcPr>
        <w:tcBorders>
          <w:top w:val="none"/>
          <w:left w:val="none"/>
          <w:bottom w:val="single" w:color="000000" w:themeColor="accent2" w:sz="4" w:space="0"/>
          <w:right w:val="none"/>
        </w:tcBorders>
        <w:shd w:val="clear" w:color="FFFFFF" w:fill="FFFFFF" w:themeFill="light1"/>
      </w:tcPr>
    </w:tblStylePr>
    <w:tblStylePr w:type="lastCol">
      <w:pPr/>
      <w:rPr>
        <w:i/>
        <w:color w:themeColor="accent2" w:themeTint="97" w:themeShade="95"/>
        <w:sz w:val="22"/>
      </w:rPr>
      <w:tblPr/>
      <w:tcPr>
        <w:tcBorders>
          <w:top w:val="none"/>
          <w:left w:val="single" w:color="000000" w:themeColor="accent2" w:sz="4" w:space="0"/>
          <w:bottom w:val="none"/>
          <w:right w:val="none"/>
        </w:tcBorders>
        <w:shd w:color="FFFFFF"/>
      </w:tcPr>
    </w:tblStylePr>
    <w:tblStylePr w:type="lastRow">
      <w:pPr/>
      <w:rPr>
        <w:i/>
        <w:color w:themeColor="accent2" w:themeTint="97" w:themeShade="95"/>
        <w:sz w:val="22"/>
      </w:rPr>
      <w:tblPr/>
      <w:tcPr>
        <w:tcBorders>
          <w:top w:val="single" w:color="000000" w:themeColor="accent2"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2" w:themeTint="97" w:themeShade="95"/>
        <w:sz w:val="22"/>
      </w:rPr>
      <w:tblPr/>
      <w:tcPr/>
    </w:tblStylePr>
  </w:style>
  <w:style w:type="table" w:styleId="113">
    <w:name w:val="List Table 7 Colorful - Accent 3"/>
    <w:basedOn w:val="771"/>
    <w:uiPriority w:val="99"/>
    <w:pPr>
      <w:spacing w:after="0" w:line="240" w:lineRule="auto"/>
    </w:pPr>
    <w:tblPr>
      <w:tblStyleRowBandSize w:val="1"/>
      <w:tblStyleColBandSize w:val="1"/>
      <w:tblBorders>
        <w:right w:val="single" w:color="000000" w:themeColor="accent3" w:themeTint="98" w:sz="4" w:space="0"/>
      </w:tblBorders>
    </w:tblPr>
    <w:tcPr/>
    <w:tblStylePr w:type="band1Horz">
      <w:pPr/>
      <w:rPr>
        <w:color w:themeColor="accent3" w:themeTint="98" w:themeShade="95"/>
        <w:sz w:val="22"/>
      </w:rPr>
      <w:tblPr/>
      <w:tcPr>
        <w:shd w:val="clear" w:color="FFFFFF" w:fill="E8E8E8" w:themeFill="accent3" w:themeFillTint="40"/>
      </w:tcPr>
    </w:tblStylePr>
    <w:tblStylePr w:type="band1Vert">
      <w:pPr/>
      <w:tblPr/>
      <w:tcPr>
        <w:shd w:val="clear" w:color="FFFFFF" w:fill="E8E8E8" w:themeFill="accent3" w:themeFillTint="40"/>
      </w:tcPr>
    </w:tblStylePr>
    <w:tblStylePr w:type="band2Horz">
      <w:pPr/>
      <w:rPr>
        <w:color w:themeColor="accent3" w:themeTint="98" w:themeShade="95"/>
        <w:sz w:val="22"/>
      </w:rPr>
      <w:tblPr/>
      <w:tcPr/>
    </w:tblStylePr>
    <w:tblStylePr w:type="band2Vert">
      <w:pPr/>
      <w:tblPr/>
      <w:tcPr/>
    </w:tblStylePr>
    <w:tblStylePr w:type="firstCol">
      <w:pPr>
        <w:jc w:val="right"/>
      </w:pPr>
      <w:rPr>
        <w:i/>
        <w:color w:themeColor="accent3" w:themeTint="98" w:themeShade="95"/>
        <w:sz w:val="22"/>
      </w:rPr>
      <w:tblPr/>
      <w:tcPr>
        <w:tcBorders>
          <w:top w:val="none"/>
          <w:left w:val="none"/>
          <w:bottom w:val="none"/>
          <w:right w:val="single" w:color="000000" w:themeColor="accent3" w:sz="4" w:space="0"/>
        </w:tcBorders>
        <w:shd w:color="FFFFFF"/>
      </w:tcPr>
    </w:tblStylePr>
    <w:tblStylePr w:type="firstRow">
      <w:pPr/>
      <w:rPr>
        <w:i/>
        <w:color w:themeColor="accent3" w:themeTint="98" w:themeShade="95"/>
        <w:sz w:val="22"/>
      </w:rPr>
      <w:tblPr/>
      <w:tcPr>
        <w:tcBorders>
          <w:top w:val="none"/>
          <w:left w:val="none"/>
          <w:bottom w:val="single" w:color="000000" w:themeColor="accent3" w:sz="4" w:space="0"/>
          <w:right w:val="none"/>
        </w:tcBorders>
        <w:shd w:val="clear" w:color="FFFFFF" w:fill="FFFFFF" w:themeFill="light1"/>
      </w:tcPr>
    </w:tblStylePr>
    <w:tblStylePr w:type="lastCol">
      <w:pPr/>
      <w:rPr>
        <w:i/>
        <w:color w:themeColor="accent3" w:themeTint="98" w:themeShade="95"/>
        <w:sz w:val="22"/>
      </w:rPr>
      <w:tblPr/>
      <w:tcPr>
        <w:tcBorders>
          <w:top w:val="none"/>
          <w:left w:val="single" w:color="000000" w:themeColor="accent3" w:sz="4" w:space="0"/>
          <w:bottom w:val="none"/>
          <w:right w:val="none"/>
        </w:tcBorders>
        <w:shd w:color="FFFFFF"/>
      </w:tcPr>
    </w:tblStylePr>
    <w:tblStylePr w:type="lastRow">
      <w:pPr/>
      <w:rPr>
        <w:i/>
        <w:color w:themeColor="accent3" w:themeTint="98" w:themeShade="95"/>
        <w:sz w:val="22"/>
      </w:rPr>
      <w:tblPr/>
      <w:tcPr>
        <w:tcBorders>
          <w:top w:val="single" w:color="000000" w:themeColor="accent3"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3" w:themeTint="98" w:themeShade="95"/>
        <w:sz w:val="22"/>
      </w:rPr>
      <w:tblPr/>
      <w:tcPr/>
    </w:tblStylePr>
  </w:style>
  <w:style w:type="table" w:styleId="114">
    <w:name w:val="List Table 7 Colorful - Accent 4"/>
    <w:basedOn w:val="771"/>
    <w:uiPriority w:val="99"/>
    <w:pPr>
      <w:spacing w:after="0" w:line="240" w:lineRule="auto"/>
    </w:pPr>
    <w:tblPr>
      <w:tblStyleRowBandSize w:val="1"/>
      <w:tblStyleColBandSize w:val="1"/>
      <w:tblBorders>
        <w:right w:val="single" w:color="000000" w:themeColor="accent4" w:themeTint="9a" w:sz="4" w:space="0"/>
      </w:tblBorders>
    </w:tblPr>
    <w:tcPr/>
    <w:tblStylePr w:type="band1Horz">
      <w:pPr/>
      <w:rPr>
        <w:color w:themeColor="accent4" w:themeTint="9a" w:themeShade="95"/>
        <w:sz w:val="22"/>
      </w:rPr>
      <w:tblPr/>
      <w:tcPr>
        <w:shd w:val="clear" w:color="FFFFFF" w:fill="FFEFBF" w:themeFill="accent4" w:themeFillTint="40"/>
      </w:tcPr>
    </w:tblStylePr>
    <w:tblStylePr w:type="band1Vert">
      <w:pPr/>
      <w:tblPr/>
      <w:tcPr>
        <w:shd w:val="clear" w:color="FFFFFF" w:fill="FFEFBF" w:themeFill="accent4" w:themeFillTint="40"/>
      </w:tcPr>
    </w:tblStylePr>
    <w:tblStylePr w:type="band2Horz">
      <w:pPr/>
      <w:rPr>
        <w:color w:themeColor="accent4" w:themeTint="9a" w:themeShade="95"/>
        <w:sz w:val="22"/>
      </w:rPr>
      <w:tblPr/>
      <w:tcPr/>
    </w:tblStylePr>
    <w:tblStylePr w:type="band2Vert">
      <w:pPr/>
      <w:tblPr/>
      <w:tcPr/>
    </w:tblStylePr>
    <w:tblStylePr w:type="firstCol">
      <w:pPr>
        <w:jc w:val="right"/>
      </w:pPr>
      <w:rPr>
        <w:i/>
        <w:color w:themeColor="accent4" w:themeTint="9a" w:themeShade="95"/>
        <w:sz w:val="22"/>
      </w:rPr>
      <w:tblPr/>
      <w:tcPr>
        <w:tcBorders>
          <w:top w:val="none"/>
          <w:left w:val="none"/>
          <w:bottom w:val="none"/>
          <w:right w:val="single" w:color="000000" w:themeColor="accent4" w:sz="4" w:space="0"/>
        </w:tcBorders>
        <w:shd w:color="FFFFFF"/>
      </w:tcPr>
    </w:tblStylePr>
    <w:tblStylePr w:type="firstRow">
      <w:pPr/>
      <w:rPr>
        <w:i/>
        <w:color w:themeColor="accent4" w:themeTint="9a" w:themeShade="95"/>
        <w:sz w:val="22"/>
      </w:rPr>
      <w:tblPr/>
      <w:tcPr>
        <w:tcBorders>
          <w:top w:val="none"/>
          <w:left w:val="none"/>
          <w:bottom w:val="single" w:color="000000" w:themeColor="accent4" w:sz="4" w:space="0"/>
          <w:right w:val="none"/>
        </w:tcBorders>
        <w:shd w:val="clear" w:color="FFFFFF" w:fill="FFFFFF" w:themeFill="light1"/>
      </w:tcPr>
    </w:tblStylePr>
    <w:tblStylePr w:type="lastCol">
      <w:pPr/>
      <w:rPr>
        <w:i/>
        <w:color w:themeColor="accent4" w:themeTint="9a" w:themeShade="95"/>
        <w:sz w:val="22"/>
      </w:rPr>
      <w:tblPr/>
      <w:tcPr>
        <w:tcBorders>
          <w:top w:val="none"/>
          <w:left w:val="single" w:color="000000" w:themeColor="accent4" w:sz="4" w:space="0"/>
          <w:bottom w:val="none"/>
          <w:right w:val="none"/>
        </w:tcBorders>
        <w:shd w:color="FFFFFF"/>
      </w:tcPr>
    </w:tblStylePr>
    <w:tblStylePr w:type="lastRow">
      <w:pPr/>
      <w:rPr>
        <w:i/>
        <w:color w:themeColor="accent4" w:themeTint="9a" w:themeShade="95"/>
        <w:sz w:val="22"/>
      </w:rPr>
      <w:tblPr/>
      <w:tcPr>
        <w:tcBorders>
          <w:top w:val="single" w:color="000000" w:themeColor="accent4"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4" w:themeTint="9a" w:themeShade="95"/>
        <w:sz w:val="22"/>
      </w:rPr>
      <w:tblPr/>
      <w:tcPr/>
    </w:tblStylePr>
  </w:style>
  <w:style w:type="table" w:styleId="115">
    <w:name w:val="List Table 7 Colorful - Accent 5"/>
    <w:basedOn w:val="771"/>
    <w:uiPriority w:val="99"/>
    <w:pPr>
      <w:spacing w:after="0" w:line="240" w:lineRule="auto"/>
    </w:pPr>
    <w:tblPr>
      <w:tblStyleRowBandSize w:val="1"/>
      <w:tblStyleColBandSize w:val="1"/>
      <w:tblBorders>
        <w:right w:val="single" w:color="000000" w:themeColor="accent5" w:themeTint="9a" w:sz="4" w:space="0"/>
      </w:tblBorders>
    </w:tblPr>
    <w:tcPr/>
    <w:tblStylePr w:type="band1Horz">
      <w:pPr/>
      <w:rPr>
        <w:color w:themeColor="accent5" w:themeTint="9a" w:themeShade="95"/>
        <w:sz w:val="22"/>
      </w:rPr>
      <w:tblPr/>
      <w:tcPr>
        <w:shd w:val="clear" w:color="FFFFFF" w:fill="D6E6F4" w:themeFill="accent5" w:themeFillTint="40"/>
      </w:tcPr>
    </w:tblStylePr>
    <w:tblStylePr w:type="band1Vert">
      <w:pPr/>
      <w:tblPr/>
      <w:tcPr>
        <w:shd w:val="clear" w:color="FFFFFF" w:fill="D6E6F4" w:themeFill="accent5" w:themeFillTint="40"/>
      </w:tcPr>
    </w:tblStylePr>
    <w:tblStylePr w:type="band2Horz">
      <w:pPr/>
      <w:rPr>
        <w:color w:themeColor="accent5" w:themeTint="9a" w:themeShade="95"/>
        <w:sz w:val="22"/>
      </w:rPr>
      <w:tblPr/>
      <w:tcPr/>
    </w:tblStylePr>
    <w:tblStylePr w:type="band2Vert">
      <w:pPr/>
      <w:tblPr/>
      <w:tcPr/>
    </w:tblStylePr>
    <w:tblStylePr w:type="firstCol">
      <w:pPr>
        <w:jc w:val="right"/>
      </w:pPr>
      <w:rPr>
        <w:i/>
        <w:color w:themeColor="accent5" w:themeTint="9a" w:themeShade="95"/>
        <w:sz w:val="22"/>
      </w:rPr>
      <w:tblPr/>
      <w:tcPr>
        <w:tcBorders>
          <w:top w:val="none"/>
          <w:left w:val="none"/>
          <w:bottom w:val="none"/>
          <w:right w:val="single" w:color="000000" w:themeColor="accent5" w:sz="4" w:space="0"/>
        </w:tcBorders>
        <w:shd w:color="FFFFFF"/>
      </w:tcPr>
    </w:tblStylePr>
    <w:tblStylePr w:type="firstRow">
      <w:pPr/>
      <w:rPr>
        <w:i/>
        <w:color w:themeColor="accent5" w:themeTint="9a" w:themeShade="95"/>
        <w:sz w:val="22"/>
      </w:rPr>
      <w:tblPr/>
      <w:tcPr>
        <w:tcBorders>
          <w:top w:val="none"/>
          <w:left w:val="none"/>
          <w:bottom w:val="single" w:color="000000" w:themeColor="accent5" w:sz="4" w:space="0"/>
          <w:right w:val="none"/>
        </w:tcBorders>
        <w:shd w:val="clear" w:color="FFFFFF" w:fill="FFFFFF" w:themeFill="light1"/>
      </w:tcPr>
    </w:tblStylePr>
    <w:tblStylePr w:type="lastCol">
      <w:pPr/>
      <w:rPr>
        <w:i/>
        <w:color w:themeColor="accent5" w:themeTint="9a" w:themeShade="95"/>
        <w:sz w:val="22"/>
      </w:rPr>
      <w:tblPr/>
      <w:tcPr>
        <w:tcBorders>
          <w:top w:val="none"/>
          <w:left w:val="single" w:color="000000" w:themeColor="accent5" w:sz="4" w:space="0"/>
          <w:bottom w:val="none"/>
          <w:right w:val="none"/>
        </w:tcBorders>
        <w:shd w:color="FFFFFF"/>
      </w:tcPr>
    </w:tblStylePr>
    <w:tblStylePr w:type="lastRow">
      <w:pPr/>
      <w:rPr>
        <w:i/>
        <w:color w:themeColor="accent5" w:themeTint="9a" w:themeShade="95"/>
        <w:sz w:val="22"/>
      </w:rPr>
      <w:tblPr/>
      <w:tcPr>
        <w:tcBorders>
          <w:top w:val="single" w:color="000000" w:themeColor="accent5"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5" w:themeTint="9a" w:themeShade="95"/>
        <w:sz w:val="22"/>
      </w:rPr>
      <w:tblPr/>
      <w:tcPr/>
    </w:tblStylePr>
  </w:style>
  <w:style w:type="table" w:styleId="116">
    <w:name w:val="List Table 7 Colorful - Accent 6"/>
    <w:basedOn w:val="771"/>
    <w:uiPriority w:val="99"/>
    <w:pPr>
      <w:spacing w:after="0" w:line="240" w:lineRule="auto"/>
    </w:pPr>
    <w:tblPr>
      <w:tblStyleRowBandSize w:val="1"/>
      <w:tblStyleColBandSize w:val="1"/>
      <w:tblBorders>
        <w:right w:val="single" w:color="000000" w:themeColor="accent6" w:themeTint="98" w:sz="4" w:space="0"/>
      </w:tblBorders>
    </w:tblPr>
    <w:tcPr/>
    <w:tblStylePr w:type="band1Horz">
      <w:pPr/>
      <w:rPr>
        <w:color w:themeColor="accent6" w:themeTint="98" w:themeShade="95"/>
        <w:sz w:val="22"/>
      </w:rPr>
      <w:tblPr/>
      <w:tcPr>
        <w:shd w:val="clear" w:color="FFFFFF" w:fill="DBECD0" w:themeFill="accent6" w:themeFillTint="40"/>
      </w:tcPr>
    </w:tblStylePr>
    <w:tblStylePr w:type="band1Vert">
      <w:pPr/>
      <w:tblPr/>
      <w:tcPr>
        <w:shd w:val="clear" w:color="FFFFFF" w:fill="DBECD0" w:themeFill="accent6" w:themeFillTint="40"/>
      </w:tcPr>
    </w:tblStylePr>
    <w:tblStylePr w:type="band2Horz">
      <w:pPr/>
      <w:rPr>
        <w:color w:themeColor="accent6" w:themeTint="98" w:themeShade="95"/>
        <w:sz w:val="22"/>
      </w:rPr>
      <w:tblPr/>
      <w:tcPr/>
    </w:tblStylePr>
    <w:tblStylePr w:type="band2Vert">
      <w:pPr/>
      <w:tblPr/>
      <w:tcPr/>
    </w:tblStylePr>
    <w:tblStylePr w:type="firstCol">
      <w:pPr>
        <w:jc w:val="right"/>
      </w:pPr>
      <w:rPr>
        <w:i/>
        <w:color w:themeColor="accent6" w:themeTint="98" w:themeShade="95"/>
        <w:sz w:val="22"/>
      </w:rPr>
      <w:tblPr/>
      <w:tcPr>
        <w:tcBorders>
          <w:top w:val="none"/>
          <w:left w:val="none"/>
          <w:bottom w:val="none"/>
          <w:right w:val="single" w:color="000000" w:themeColor="accent6" w:sz="4" w:space="0"/>
        </w:tcBorders>
        <w:shd w:color="FFFFFF"/>
      </w:tcPr>
    </w:tblStylePr>
    <w:tblStylePr w:type="firstRow">
      <w:pPr/>
      <w:rPr>
        <w:i/>
        <w:color w:themeColor="accent6" w:themeTint="98" w:themeShade="95"/>
        <w:sz w:val="22"/>
      </w:rPr>
      <w:tblPr/>
      <w:tcPr>
        <w:tcBorders>
          <w:top w:val="none"/>
          <w:left w:val="none"/>
          <w:bottom w:val="single" w:color="000000" w:themeColor="accent6" w:sz="4" w:space="0"/>
          <w:right w:val="none"/>
        </w:tcBorders>
        <w:shd w:val="clear" w:color="FFFFFF" w:fill="FFFFFF" w:themeFill="light1"/>
      </w:tcPr>
    </w:tblStylePr>
    <w:tblStylePr w:type="lastCol">
      <w:pPr/>
      <w:rPr>
        <w:i/>
        <w:color w:themeColor="accent6" w:themeTint="98" w:themeShade="95"/>
        <w:sz w:val="22"/>
      </w:rPr>
      <w:tblPr/>
      <w:tcPr>
        <w:tcBorders>
          <w:top w:val="none"/>
          <w:left w:val="single" w:color="000000" w:themeColor="accent6" w:sz="4" w:space="0"/>
          <w:bottom w:val="none"/>
          <w:right w:val="none"/>
        </w:tcBorders>
        <w:shd w:color="FFFFFF"/>
      </w:tcPr>
    </w:tblStylePr>
    <w:tblStylePr w:type="lastRow">
      <w:pPr/>
      <w:rPr>
        <w:i/>
        <w:color w:themeColor="accent6" w:themeTint="98" w:themeShade="95"/>
        <w:sz w:val="22"/>
      </w:rPr>
      <w:tblPr/>
      <w:tcPr>
        <w:tcBorders>
          <w:top w:val="single" w:color="000000" w:themeColor="accent6" w:sz="4" w:space="0"/>
          <w:left w:val="none"/>
          <w:bottom w:val="none"/>
          <w:right w:val="none"/>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6" w:themeTint="98" w:themeShade="95"/>
        <w:sz w:val="22"/>
      </w:rPr>
      <w:tblPr/>
      <w:tcPr/>
    </w:tblStylePr>
  </w:style>
  <w:style w:type="table" w:styleId="117">
    <w:name w:val="Lined - Accent"/>
    <w:basedOn w:val="771"/>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F2F2F2" w:themeFill="text1" w:themeFillTint="d"/>
      </w:tcPr>
    </w:tblStylePr>
    <w:tblStylePr w:type="band2Vert">
      <w:pPr/>
      <w:rPr>
        <w:sz w:val="22"/>
      </w:rPr>
      <w:tblPr/>
      <w:tcPr>
        <w:shd w:val="clear" w:color="FFFFFF" w:fill="F2F2F2" w:themeFill="text1" w:themeFillTint="d"/>
      </w:tcPr>
    </w:tblStylePr>
    <w:tblStylePr w:type="firstCol">
      <w:pPr/>
      <w:rPr>
        <w:sz w:val="22"/>
      </w:rPr>
      <w:tblPr/>
      <w:tcPr>
        <w:shd w:val="clear" w:color="FFFFFF" w:fill="7F7F7F" w:themeFill="text1" w:themeFillTint="80"/>
      </w:tcPr>
    </w:tblStylePr>
    <w:tblStylePr w:type="firstRow">
      <w:pPr/>
      <w:rPr>
        <w:sz w:val="22"/>
      </w:rPr>
      <w:tblPr/>
      <w:tcPr>
        <w:shd w:val="clear" w:color="FFFFFF" w:fill="7F7F7F" w:themeFill="text1" w:themeFillTint="80"/>
      </w:tcPr>
    </w:tblStylePr>
    <w:tblStylePr w:type="lastCol">
      <w:pPr/>
      <w:rPr>
        <w:sz w:val="22"/>
      </w:rPr>
      <w:tblPr/>
      <w:tcPr>
        <w:shd w:val="clear" w:color="FFFFFF" w:fill="7F7F7F" w:themeFill="text1" w:themeFillTint="80"/>
      </w:tcPr>
    </w:tblStylePr>
    <w:tblStylePr w:type="lastRow">
      <w:pPr/>
      <w:rPr>
        <w:sz w:val="22"/>
      </w:rPr>
      <w:tblPr/>
      <w:tcPr>
        <w:shd w:val="clear" w:color="FFFFFF" w:fill="7F7F7F" w:themeFill="text1" w:themeFillTint="80"/>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8">
    <w:name w:val="Lined - Accent 1"/>
    <w:basedOn w:val="771"/>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C4D3EC" w:themeFill="accent1" w:themeFillTint="50"/>
      </w:tcPr>
    </w:tblStylePr>
    <w:tblStylePr w:type="band2Vert">
      <w:pPr/>
      <w:rPr>
        <w:sz w:val="22"/>
      </w:rPr>
      <w:tblPr/>
      <w:tcPr>
        <w:shd w:val="clear" w:color="FFFFFF" w:fill="C4D3EC" w:themeFill="accent1" w:themeFillTint="50"/>
      </w:tcPr>
    </w:tblStylePr>
    <w:tblStylePr w:type="firstCol">
      <w:pPr/>
      <w:rPr>
        <w:sz w:val="22"/>
      </w:rPr>
      <w:tblPr/>
      <w:tcPr>
        <w:shd w:val="clear" w:color="FFFFFF" w:fill="537EC9" w:themeFill="accent1" w:themeFillTint="ea"/>
      </w:tcPr>
    </w:tblStylePr>
    <w:tblStylePr w:type="firstRow">
      <w:pPr/>
      <w:rPr>
        <w:sz w:val="22"/>
      </w:rPr>
      <w:tblPr/>
      <w:tcPr>
        <w:shd w:val="clear" w:color="FFFFFF" w:fill="537EC9" w:themeFill="accent1" w:themeFillTint="ea"/>
      </w:tcPr>
    </w:tblStylePr>
    <w:tblStylePr w:type="lastCol">
      <w:pPr/>
      <w:rPr>
        <w:sz w:val="22"/>
      </w:rPr>
      <w:tblPr/>
      <w:tcPr>
        <w:shd w:val="clear" w:color="FFFFFF" w:fill="537EC9" w:themeFill="accent1" w:themeFillTint="ea"/>
      </w:tcPr>
    </w:tblStylePr>
    <w:tblStylePr w:type="lastRow">
      <w:pPr/>
      <w:rPr>
        <w:sz w:val="22"/>
      </w:rPr>
      <w:tblPr/>
      <w:tcPr>
        <w:shd w:val="clear" w:color="FFFFFF" w:fill="537EC9" w:themeFill="accent1" w:themeFillTint="ea"/>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19">
    <w:name w:val="Lined - Accent 2"/>
    <w:basedOn w:val="771"/>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FBE6D7" w:themeFill="accent2" w:themeFillTint="32"/>
      </w:tcPr>
    </w:tblStylePr>
    <w:tblStylePr w:type="band2Vert">
      <w:pPr/>
      <w:rPr>
        <w:sz w:val="22"/>
      </w:rPr>
      <w:tblPr/>
      <w:tcPr>
        <w:shd w:val="clear" w:color="FFFFFF" w:fill="FBE6D7" w:themeFill="accent2" w:themeFillTint="32"/>
      </w:tcPr>
    </w:tblStylePr>
    <w:tblStylePr w:type="firstCol">
      <w:pPr/>
      <w:rPr>
        <w:sz w:val="22"/>
      </w:rPr>
      <w:tblPr/>
      <w:tcPr>
        <w:shd w:val="clear" w:color="FFFFFF" w:fill="F4B285" w:themeFill="accent2" w:themeFillTint="97"/>
      </w:tcPr>
    </w:tblStylePr>
    <w:tblStylePr w:type="firstRow">
      <w:pPr/>
      <w:rPr>
        <w:sz w:val="22"/>
      </w:rPr>
      <w:tblPr/>
      <w:tcPr>
        <w:shd w:val="clear" w:color="FFFFFF" w:fill="F4B285" w:themeFill="accent2" w:themeFillTint="97"/>
      </w:tcPr>
    </w:tblStylePr>
    <w:tblStylePr w:type="lastCol">
      <w:pPr/>
      <w:rPr>
        <w:sz w:val="22"/>
      </w:rPr>
      <w:tblPr/>
      <w:tcPr>
        <w:shd w:val="clear" w:color="FFFFFF" w:fill="F4B285" w:themeFill="accent2" w:themeFillTint="97"/>
      </w:tcPr>
    </w:tblStylePr>
    <w:tblStylePr w:type="lastRow">
      <w:pPr/>
      <w:rPr>
        <w:sz w:val="22"/>
      </w:rPr>
      <w:tblPr/>
      <w:tcPr>
        <w:shd w:val="clear" w:color="FFFFFF" w:fill="F4B285" w:themeFill="accent2" w:themeFillTint="97"/>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0">
    <w:name w:val="Lined - Accent 3"/>
    <w:basedOn w:val="771"/>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EDEDED" w:themeFill="accent3" w:themeFillTint="34"/>
      </w:tcPr>
    </w:tblStylePr>
    <w:tblStylePr w:type="band2Vert">
      <w:pPr/>
      <w:rPr>
        <w:sz w:val="22"/>
      </w:rPr>
      <w:tblPr/>
      <w:tcPr>
        <w:shd w:val="clear" w:color="FFFFFF" w:fill="EDEDED" w:themeFill="accent3" w:themeFillTint="34"/>
      </w:tcPr>
    </w:tblStylePr>
    <w:tblStylePr w:type="firstCol">
      <w:pPr/>
      <w:rPr>
        <w:sz w:val="22"/>
      </w:rPr>
      <w:tblPr/>
      <w:tcPr>
        <w:shd w:val="clear" w:color="FFFFFF" w:fill="A5A5A5" w:themeFill="accent3" w:themeFillTint="fe"/>
      </w:tcPr>
    </w:tblStylePr>
    <w:tblStylePr w:type="firstRow">
      <w:pPr/>
      <w:rPr>
        <w:sz w:val="22"/>
      </w:rPr>
      <w:tblPr/>
      <w:tcPr>
        <w:shd w:val="clear" w:color="FFFFFF" w:fill="A5A5A5" w:themeFill="accent3" w:themeFillTint="fe"/>
      </w:tcPr>
    </w:tblStylePr>
    <w:tblStylePr w:type="lastCol">
      <w:pPr/>
      <w:rPr>
        <w:sz w:val="22"/>
      </w:rPr>
      <w:tblPr/>
      <w:tcPr>
        <w:shd w:val="clear" w:color="FFFFFF" w:fill="A5A5A5" w:themeFill="accent3" w:themeFillTint="fe"/>
      </w:tcPr>
    </w:tblStylePr>
    <w:tblStylePr w:type="lastRow">
      <w:pPr/>
      <w:rPr>
        <w:sz w:val="22"/>
      </w:rPr>
      <w:tblPr/>
      <w:tcPr>
        <w:shd w:val="clear" w:color="FFFFFF" w:fill="A5A5A5" w:themeFill="accent3" w:themeFillTint="fe"/>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1">
    <w:name w:val="Lined - Accent 4"/>
    <w:basedOn w:val="771"/>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FFF2CB" w:themeFill="accent4" w:themeFillTint="34"/>
      </w:tcPr>
    </w:tblStylePr>
    <w:tblStylePr w:type="band2Vert">
      <w:pPr/>
      <w:rPr>
        <w:sz w:val="22"/>
      </w:rPr>
      <w:tblPr/>
      <w:tcPr>
        <w:shd w:val="clear" w:color="FFFFFF" w:fill="FFF2CB" w:themeFill="accent4" w:themeFillTint="34"/>
      </w:tcPr>
    </w:tblStylePr>
    <w:tblStylePr w:type="firstCol">
      <w:pPr/>
      <w:rPr>
        <w:sz w:val="22"/>
      </w:rPr>
      <w:tblPr/>
      <w:tcPr>
        <w:shd w:val="clear" w:color="FFFFFF" w:fill="FFD965" w:themeFill="accent4" w:themeFillTint="9a"/>
      </w:tcPr>
    </w:tblStylePr>
    <w:tblStylePr w:type="firstRow">
      <w:pPr/>
      <w:rPr>
        <w:sz w:val="22"/>
      </w:rPr>
      <w:tblPr/>
      <w:tcPr>
        <w:shd w:val="clear" w:color="FFFFFF" w:fill="FFD965" w:themeFill="accent4" w:themeFillTint="9a"/>
      </w:tcPr>
    </w:tblStylePr>
    <w:tblStylePr w:type="lastCol">
      <w:pPr/>
      <w:rPr>
        <w:sz w:val="22"/>
      </w:rPr>
      <w:tblPr/>
      <w:tcPr>
        <w:shd w:val="clear" w:color="FFFFFF" w:fill="FFD965" w:themeFill="accent4" w:themeFillTint="9a"/>
      </w:tcPr>
    </w:tblStylePr>
    <w:tblStylePr w:type="lastRow">
      <w:pPr/>
      <w:rPr>
        <w:sz w:val="22"/>
      </w:rPr>
      <w:tblPr/>
      <w:tcPr>
        <w:shd w:val="clear" w:color="FFFFFF" w:fill="FFD965" w:themeFill="accent4" w:themeFillTint="9a"/>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2">
    <w:name w:val="Lined - Accent 5"/>
    <w:basedOn w:val="771"/>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DEEBF6" w:themeFill="accent5" w:themeFillTint="34"/>
      </w:tcPr>
    </w:tblStylePr>
    <w:tblStylePr w:type="band2Vert">
      <w:pPr/>
      <w:rPr>
        <w:sz w:val="22"/>
      </w:rPr>
      <w:tblPr/>
      <w:tcPr>
        <w:shd w:val="clear" w:color="FFFFFF" w:fill="DEEBF6" w:themeFill="accent5" w:themeFillTint="34"/>
      </w:tcPr>
    </w:tblStylePr>
    <w:tblStylePr w:type="firstCol">
      <w:pPr/>
      <w:rPr>
        <w:sz w:val="22"/>
      </w:rPr>
      <w:tblPr/>
      <w:tcPr>
        <w:shd w:val="clear" w:color="FFFFFF" w:fill="5B9BD5" w:themeFill="accent5"/>
      </w:tcPr>
    </w:tblStylePr>
    <w:tblStylePr w:type="firstRow">
      <w:pPr/>
      <w:rPr>
        <w:sz w:val="22"/>
      </w:rPr>
      <w:tblPr/>
      <w:tcPr>
        <w:shd w:val="clear" w:color="FFFFFF" w:fill="5B9BD5" w:themeFill="accent5"/>
      </w:tcPr>
    </w:tblStylePr>
    <w:tblStylePr w:type="lastCol">
      <w:pPr/>
      <w:rPr>
        <w:sz w:val="22"/>
      </w:rPr>
      <w:tblPr/>
      <w:tcPr>
        <w:shd w:val="clear" w:color="FFFFFF" w:fill="5B9BD5" w:themeFill="accent5"/>
      </w:tcPr>
    </w:tblStylePr>
    <w:tblStylePr w:type="lastRow">
      <w:pPr/>
      <w:rPr>
        <w:sz w:val="22"/>
      </w:rPr>
      <w:tblPr/>
      <w:tcPr>
        <w:shd w:val="clear" w:color="FFFFFF" w:fill="5B9BD5" w:themeFill="accent5"/>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3">
    <w:name w:val="Lined - Accent 6"/>
    <w:basedOn w:val="771"/>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E2EFD9" w:themeFill="accent6" w:themeFillTint="34"/>
      </w:tcPr>
    </w:tblStylePr>
    <w:tblStylePr w:type="band2Vert">
      <w:pPr/>
      <w:rPr>
        <w:sz w:val="22"/>
      </w:rPr>
      <w:tblPr/>
      <w:tcPr>
        <w:shd w:val="clear" w:color="FFFFFF" w:fill="E2EFD9" w:themeFill="accent6" w:themeFillTint="34"/>
      </w:tcPr>
    </w:tblStylePr>
    <w:tblStylePr w:type="firstCol">
      <w:pPr/>
      <w:rPr>
        <w:sz w:val="22"/>
      </w:rPr>
      <w:tblPr/>
      <w:tcPr>
        <w:shd w:val="clear" w:color="FFFFFF" w:fill="70AD47" w:themeFill="accent6"/>
      </w:tcPr>
    </w:tblStylePr>
    <w:tblStylePr w:type="firstRow">
      <w:pPr/>
      <w:rPr>
        <w:sz w:val="22"/>
      </w:rPr>
      <w:tblPr/>
      <w:tcPr>
        <w:shd w:val="clear" w:color="FFFFFF" w:fill="70AD47" w:themeFill="accent6"/>
      </w:tcPr>
    </w:tblStylePr>
    <w:tblStylePr w:type="lastCol">
      <w:pPr/>
      <w:rPr>
        <w:sz w:val="22"/>
      </w:rPr>
      <w:tblPr/>
      <w:tcPr>
        <w:shd w:val="clear" w:color="FFFFFF" w:fill="70AD47" w:themeFill="accent6"/>
      </w:tcPr>
    </w:tblStylePr>
    <w:tblStylePr w:type="lastRow">
      <w:pPr/>
      <w:rPr>
        <w:sz w:val="22"/>
      </w:rPr>
      <w:tblPr/>
      <w:tcPr>
        <w:shd w:val="clear" w:color="FFFFFF" w:fill="70AD47" w:themeFill="accent6"/>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4">
    <w:name w:val="Bordered &amp; Lined - Accent"/>
    <w:basedOn w:val="771"/>
    <w:uiPriority w:val="99"/>
    <w:pPr>
      <w:spacing w:after="0" w:line="240" w:lineRule="auto"/>
    </w:pPr>
    <w:rPr/>
    <w:tblPr>
      <w:tblStyleRowBandSize w:val="1"/>
      <w:tblStyleColBandSize w:val="1"/>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F2F2F2" w:themeFill="text1" w:themeFillTint="d"/>
      </w:tcPr>
    </w:tblStylePr>
    <w:tblStylePr w:type="band2Vert">
      <w:pPr/>
      <w:rPr>
        <w:sz w:val="22"/>
      </w:rPr>
      <w:tblPr/>
      <w:tcPr>
        <w:shd w:val="clear" w:color="FFFFFF" w:fill="F2F2F2" w:themeFill="text1" w:themeFillTint="d"/>
      </w:tcPr>
    </w:tblStylePr>
    <w:tblStylePr w:type="firstCol">
      <w:pPr/>
      <w:rPr>
        <w:sz w:val="22"/>
      </w:rPr>
      <w:tblPr/>
      <w:tcPr>
        <w:shd w:val="clear" w:color="FFFFFF" w:fill="7F7F7F" w:themeFill="text1" w:themeFillTint="80"/>
      </w:tcPr>
    </w:tblStylePr>
    <w:tblStylePr w:type="firstRow">
      <w:pPr/>
      <w:rPr>
        <w:sz w:val="22"/>
      </w:rPr>
      <w:tblPr/>
      <w:tcPr>
        <w:shd w:val="clear" w:color="FFFFFF" w:fill="7F7F7F" w:themeFill="text1" w:themeFillTint="80"/>
      </w:tcPr>
    </w:tblStylePr>
    <w:tblStylePr w:type="lastCol">
      <w:pPr/>
      <w:rPr>
        <w:sz w:val="22"/>
      </w:rPr>
      <w:tblPr/>
      <w:tcPr>
        <w:shd w:val="clear" w:color="FFFFFF" w:fill="7F7F7F" w:themeFill="text1" w:themeFillTint="80"/>
      </w:tcPr>
    </w:tblStylePr>
    <w:tblStylePr w:type="lastRow">
      <w:pPr/>
      <w:rPr>
        <w:sz w:val="22"/>
      </w:rPr>
      <w:tblPr/>
      <w:tcPr>
        <w:shd w:val="clear" w:color="FFFFFF" w:fill="7F7F7F" w:themeFill="text1" w:themeFillTint="80"/>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5">
    <w:name w:val="Bordered &amp; Lined - Accent 1"/>
    <w:basedOn w:val="771"/>
    <w:uiPriority w:val="99"/>
    <w:pPr>
      <w:spacing w:after="0" w:line="240" w:lineRule="auto"/>
    </w:pPr>
    <w:r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insideH w:val="single" w:color="000000" w:themeColor="accent1" w:sz="4" w:space="0"/>
        <w:insideV w:val="single" w:color="000000" w:themeColor="accent1"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C4D3EC" w:themeFill="accent1" w:themeFillTint="50"/>
      </w:tcPr>
    </w:tblStylePr>
    <w:tblStylePr w:type="band2Vert">
      <w:pPr/>
      <w:rPr>
        <w:sz w:val="22"/>
      </w:rPr>
      <w:tblPr/>
      <w:tcPr>
        <w:shd w:val="clear" w:color="FFFFFF" w:fill="C4D3EC" w:themeFill="accent1" w:themeFillTint="50"/>
      </w:tcPr>
    </w:tblStylePr>
    <w:tblStylePr w:type="firstCol">
      <w:pPr/>
      <w:rPr>
        <w:sz w:val="22"/>
      </w:rPr>
      <w:tblPr/>
      <w:tcPr>
        <w:shd w:val="clear" w:color="FFFFFF" w:fill="537EC9" w:themeFill="accent1" w:themeFillTint="ea"/>
      </w:tcPr>
    </w:tblStylePr>
    <w:tblStylePr w:type="firstRow">
      <w:pPr/>
      <w:rPr>
        <w:sz w:val="22"/>
      </w:rPr>
      <w:tblPr/>
      <w:tcPr>
        <w:shd w:val="clear" w:color="FFFFFF" w:fill="537EC9" w:themeFill="accent1" w:themeFillTint="ea"/>
      </w:tcPr>
    </w:tblStylePr>
    <w:tblStylePr w:type="lastCol">
      <w:pPr/>
      <w:rPr>
        <w:sz w:val="22"/>
      </w:rPr>
      <w:tblPr/>
      <w:tcPr>
        <w:shd w:val="clear" w:color="FFFFFF" w:fill="537EC9" w:themeFill="accent1" w:themeFillTint="ea"/>
      </w:tcPr>
    </w:tblStylePr>
    <w:tblStylePr w:type="lastRow">
      <w:pPr/>
      <w:rPr>
        <w:sz w:val="22"/>
      </w:rPr>
      <w:tblPr/>
      <w:tcPr>
        <w:shd w:val="clear" w:color="FFFFFF" w:fill="537EC9" w:themeFill="accent1" w:themeFillTint="ea"/>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6">
    <w:name w:val="Bordered &amp; Lined - Accent 2"/>
    <w:basedOn w:val="771"/>
    <w:uiPriority w:val="99"/>
    <w:pPr>
      <w:spacing w:after="0" w:line="240" w:lineRule="auto"/>
    </w:pPr>
    <w:rPr/>
    <w:tblPr>
      <w:tblStyleRowBandSize w:val="1"/>
      <w:tblStyleColBandSize w:val="1"/>
      <w:tblBorders>
        <w:top w:val="single" w:color="000000" w:themeColor="accent2" w:sz="4" w:space="0"/>
        <w:left w:val="single" w:color="000000" w:themeColor="accent2" w:sz="4" w:space="0"/>
        <w:bottom w:val="single" w:color="000000" w:themeColor="accent2" w:sz="4" w:space="0"/>
        <w:right w:val="single" w:color="000000" w:themeColor="accent2" w:sz="4" w:space="0"/>
        <w:insideH w:val="single" w:color="000000" w:themeColor="accent2" w:sz="4" w:space="0"/>
        <w:insideV w:val="single" w:color="000000" w:themeColor="accent2"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FBE6D7" w:themeFill="accent2" w:themeFillTint="32"/>
      </w:tcPr>
    </w:tblStylePr>
    <w:tblStylePr w:type="band2Vert">
      <w:pPr/>
      <w:rPr>
        <w:sz w:val="22"/>
      </w:rPr>
      <w:tblPr/>
      <w:tcPr>
        <w:shd w:val="clear" w:color="FFFFFF" w:fill="FBE6D7" w:themeFill="accent2" w:themeFillTint="32"/>
      </w:tcPr>
    </w:tblStylePr>
    <w:tblStylePr w:type="firstCol">
      <w:pPr/>
      <w:rPr>
        <w:sz w:val="22"/>
      </w:rPr>
      <w:tblPr/>
      <w:tcPr>
        <w:shd w:val="clear" w:color="FFFFFF" w:fill="F4B285" w:themeFill="accent2" w:themeFillTint="97"/>
      </w:tcPr>
    </w:tblStylePr>
    <w:tblStylePr w:type="firstRow">
      <w:pPr/>
      <w:rPr>
        <w:sz w:val="22"/>
      </w:rPr>
      <w:tblPr/>
      <w:tcPr>
        <w:shd w:val="clear" w:color="FFFFFF" w:fill="F4B285" w:themeFill="accent2" w:themeFillTint="97"/>
      </w:tcPr>
    </w:tblStylePr>
    <w:tblStylePr w:type="lastCol">
      <w:pPr/>
      <w:rPr>
        <w:sz w:val="22"/>
      </w:rPr>
      <w:tblPr/>
      <w:tcPr>
        <w:shd w:val="clear" w:color="FFFFFF" w:fill="F4B285" w:themeFill="accent2" w:themeFillTint="97"/>
      </w:tcPr>
    </w:tblStylePr>
    <w:tblStylePr w:type="lastRow">
      <w:pPr/>
      <w:rPr>
        <w:sz w:val="22"/>
      </w:rPr>
      <w:tblPr/>
      <w:tcPr>
        <w:shd w:val="clear" w:color="FFFFFF" w:fill="F4B285" w:themeFill="accent2" w:themeFillTint="97"/>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7">
    <w:name w:val="Bordered &amp; Lined - Accent 3"/>
    <w:basedOn w:val="771"/>
    <w:uiPriority w:val="99"/>
    <w:pPr>
      <w:spacing w:after="0" w:line="240" w:lineRule="auto"/>
    </w:pPr>
    <w:rPr/>
    <w:tblPr>
      <w:tblStyleRowBandSize w:val="1"/>
      <w:tblStyleColBandSize w:val="1"/>
      <w:tblBorders>
        <w:top w:val="single" w:color="000000" w:themeColor="accent3" w:sz="4" w:space="0"/>
        <w:left w:val="single" w:color="000000" w:themeColor="accent3" w:sz="4" w:space="0"/>
        <w:bottom w:val="single" w:color="000000" w:themeColor="accent3" w:sz="4" w:space="0"/>
        <w:right w:val="single" w:color="000000" w:themeColor="accent3" w:sz="4" w:space="0"/>
        <w:insideH w:val="single" w:color="000000" w:themeColor="accent3" w:sz="4" w:space="0"/>
        <w:insideV w:val="single" w:color="000000" w:themeColor="accent3"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EDEDED" w:themeFill="accent3" w:themeFillTint="34"/>
      </w:tcPr>
    </w:tblStylePr>
    <w:tblStylePr w:type="band2Vert">
      <w:pPr/>
      <w:rPr>
        <w:sz w:val="22"/>
      </w:rPr>
      <w:tblPr/>
      <w:tcPr>
        <w:shd w:val="clear" w:color="FFFFFF" w:fill="EDEDED" w:themeFill="accent3" w:themeFillTint="34"/>
      </w:tcPr>
    </w:tblStylePr>
    <w:tblStylePr w:type="firstCol">
      <w:pPr/>
      <w:rPr>
        <w:sz w:val="22"/>
      </w:rPr>
      <w:tblPr/>
      <w:tcPr>
        <w:shd w:val="clear" w:color="FFFFFF" w:fill="A5A5A5" w:themeFill="accent3" w:themeFillTint="fe"/>
      </w:tcPr>
    </w:tblStylePr>
    <w:tblStylePr w:type="firstRow">
      <w:pPr/>
      <w:rPr>
        <w:sz w:val="22"/>
      </w:rPr>
      <w:tblPr/>
      <w:tcPr>
        <w:shd w:val="clear" w:color="FFFFFF" w:fill="A5A5A5" w:themeFill="accent3" w:themeFillTint="fe"/>
      </w:tcPr>
    </w:tblStylePr>
    <w:tblStylePr w:type="lastCol">
      <w:pPr/>
      <w:rPr>
        <w:sz w:val="22"/>
      </w:rPr>
      <w:tblPr/>
      <w:tcPr>
        <w:shd w:val="clear" w:color="FFFFFF" w:fill="A5A5A5" w:themeFill="accent3" w:themeFillTint="fe"/>
      </w:tcPr>
    </w:tblStylePr>
    <w:tblStylePr w:type="lastRow">
      <w:pPr/>
      <w:rPr>
        <w:sz w:val="22"/>
      </w:rPr>
      <w:tblPr/>
      <w:tcPr>
        <w:shd w:val="clear" w:color="FFFFFF" w:fill="A5A5A5" w:themeFill="accent3" w:themeFillTint="fe"/>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8">
    <w:name w:val="Bordered &amp; Lined - Accent 4"/>
    <w:basedOn w:val="771"/>
    <w:uiPriority w:val="99"/>
    <w:pPr>
      <w:spacing w:after="0" w:line="240" w:lineRule="auto"/>
    </w:pPr>
    <w:rPr/>
    <w:tblPr>
      <w:tblStyleRowBandSize w:val="1"/>
      <w:tblStyleColBandSize w:val="1"/>
      <w:tblBorders>
        <w:top w:val="single" w:color="000000" w:themeColor="accent4" w:sz="4" w:space="0"/>
        <w:left w:val="single" w:color="000000" w:themeColor="accent4" w:sz="4" w:space="0"/>
        <w:bottom w:val="single" w:color="000000" w:themeColor="accent4" w:sz="4" w:space="0"/>
        <w:right w:val="single" w:color="000000" w:themeColor="accent4" w:sz="4" w:space="0"/>
        <w:insideH w:val="single" w:color="000000" w:themeColor="accent4" w:sz="4" w:space="0"/>
        <w:insideV w:val="single" w:color="000000" w:themeColor="accent4"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FFF2CB" w:themeFill="accent4" w:themeFillTint="34"/>
      </w:tcPr>
    </w:tblStylePr>
    <w:tblStylePr w:type="band2Vert">
      <w:pPr/>
      <w:rPr>
        <w:sz w:val="22"/>
      </w:rPr>
      <w:tblPr/>
      <w:tcPr>
        <w:shd w:val="clear" w:color="FFFFFF" w:fill="FFF2CB" w:themeFill="accent4" w:themeFillTint="34"/>
      </w:tcPr>
    </w:tblStylePr>
    <w:tblStylePr w:type="firstCol">
      <w:pPr/>
      <w:rPr>
        <w:sz w:val="22"/>
      </w:rPr>
      <w:tblPr/>
      <w:tcPr>
        <w:shd w:val="clear" w:color="FFFFFF" w:fill="FFD965" w:themeFill="accent4" w:themeFillTint="9a"/>
      </w:tcPr>
    </w:tblStylePr>
    <w:tblStylePr w:type="firstRow">
      <w:pPr/>
      <w:rPr>
        <w:sz w:val="22"/>
      </w:rPr>
      <w:tblPr/>
      <w:tcPr>
        <w:shd w:val="clear" w:color="FFFFFF" w:fill="FFD965" w:themeFill="accent4" w:themeFillTint="9a"/>
      </w:tcPr>
    </w:tblStylePr>
    <w:tblStylePr w:type="lastCol">
      <w:pPr/>
      <w:rPr>
        <w:sz w:val="22"/>
      </w:rPr>
      <w:tblPr/>
      <w:tcPr>
        <w:shd w:val="clear" w:color="FFFFFF" w:fill="FFD965" w:themeFill="accent4" w:themeFillTint="9a"/>
      </w:tcPr>
    </w:tblStylePr>
    <w:tblStylePr w:type="lastRow">
      <w:pPr/>
      <w:rPr>
        <w:sz w:val="22"/>
      </w:rPr>
      <w:tblPr/>
      <w:tcPr>
        <w:shd w:val="clear" w:color="FFFFFF" w:fill="FFD965" w:themeFill="accent4" w:themeFillTint="9a"/>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29">
    <w:name w:val="Bordered &amp; Lined - Accent 5"/>
    <w:basedOn w:val="771"/>
    <w:uiPriority w:val="99"/>
    <w:pPr>
      <w:spacing w:after="0" w:line="240" w:lineRule="auto"/>
    </w:pPr>
    <w:r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DEEBF6" w:themeFill="accent5" w:themeFillTint="34"/>
      </w:tcPr>
    </w:tblStylePr>
    <w:tblStylePr w:type="band2Vert">
      <w:pPr/>
      <w:rPr>
        <w:sz w:val="22"/>
      </w:rPr>
      <w:tblPr/>
      <w:tcPr>
        <w:shd w:val="clear" w:color="FFFFFF" w:fill="DEEBF6" w:themeFill="accent5" w:themeFillTint="34"/>
      </w:tcPr>
    </w:tblStylePr>
    <w:tblStylePr w:type="firstCol">
      <w:pPr/>
      <w:rPr>
        <w:sz w:val="22"/>
      </w:rPr>
      <w:tblPr/>
      <w:tcPr>
        <w:shd w:val="clear" w:color="FFFFFF" w:fill="5B9BD5" w:themeFill="accent5"/>
      </w:tcPr>
    </w:tblStylePr>
    <w:tblStylePr w:type="firstRow">
      <w:pPr/>
      <w:rPr>
        <w:sz w:val="22"/>
      </w:rPr>
      <w:tblPr/>
      <w:tcPr>
        <w:shd w:val="clear" w:color="FFFFFF" w:fill="5B9BD5" w:themeFill="accent5"/>
      </w:tcPr>
    </w:tblStylePr>
    <w:tblStylePr w:type="lastCol">
      <w:pPr/>
      <w:rPr>
        <w:sz w:val="22"/>
      </w:rPr>
      <w:tblPr/>
      <w:tcPr>
        <w:shd w:val="clear" w:color="FFFFFF" w:fill="5B9BD5" w:themeFill="accent5"/>
      </w:tcPr>
    </w:tblStylePr>
    <w:tblStylePr w:type="lastRow">
      <w:pPr/>
      <w:rPr>
        <w:sz w:val="22"/>
      </w:rPr>
      <w:tblPr/>
      <w:tcPr>
        <w:shd w:val="clear" w:color="FFFFFF" w:fill="5B9BD5" w:themeFill="accent5"/>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0">
    <w:name w:val="Bordered &amp; Lined - Accent 6"/>
    <w:basedOn w:val="771"/>
    <w:uiPriority w:val="99"/>
    <w:pPr>
      <w:spacing w:after="0" w:line="240" w:lineRule="auto"/>
    </w:pPr>
    <w:r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E2EFD9" w:themeFill="accent6" w:themeFillTint="34"/>
      </w:tcPr>
    </w:tblStylePr>
    <w:tblStylePr w:type="band2Vert">
      <w:pPr/>
      <w:rPr>
        <w:sz w:val="22"/>
      </w:rPr>
      <w:tblPr/>
      <w:tcPr>
        <w:shd w:val="clear" w:color="FFFFFF" w:fill="E2EFD9" w:themeFill="accent6" w:themeFillTint="34"/>
      </w:tcPr>
    </w:tblStylePr>
    <w:tblStylePr w:type="firstCol">
      <w:pPr/>
      <w:rPr>
        <w:sz w:val="22"/>
      </w:rPr>
      <w:tblPr/>
      <w:tcPr>
        <w:shd w:val="clear" w:color="FFFFFF" w:fill="70AD47" w:themeFill="accent6"/>
      </w:tcPr>
    </w:tblStylePr>
    <w:tblStylePr w:type="firstRow">
      <w:pPr/>
      <w:rPr>
        <w:sz w:val="22"/>
      </w:rPr>
      <w:tblPr/>
      <w:tcPr>
        <w:shd w:val="clear" w:color="FFFFFF" w:fill="70AD47" w:themeFill="accent6"/>
      </w:tcPr>
    </w:tblStylePr>
    <w:tblStylePr w:type="lastCol">
      <w:pPr/>
      <w:rPr>
        <w:sz w:val="22"/>
      </w:rPr>
      <w:tblPr/>
      <w:tcPr>
        <w:shd w:val="clear" w:color="FFFFFF" w:fill="70AD47" w:themeFill="accent6"/>
      </w:tcPr>
    </w:tblStylePr>
    <w:tblStylePr w:type="lastRow">
      <w:pPr/>
      <w:rPr>
        <w:sz w:val="22"/>
      </w:rPr>
      <w:tblPr/>
      <w:tcPr>
        <w:shd w:val="clear" w:color="FFFFFF" w:fill="70AD47" w:themeFill="accent6"/>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1">
    <w:name w:val="Bordered"/>
    <w:basedOn w:val="771"/>
    <w:uiPriority w:val="99"/>
    <w:pPr>
      <w:spacing w:after="0" w:line="240" w:lineRule="auto"/>
    </w:pPr>
    <w:tblPr>
      <w:tblStyleRowBandSize w:val="1"/>
      <w:tblStyleColBandSize w:val="1"/>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blStylePr w:type="band1Horz">
      <w:pPr/>
      <w:rPr>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text1" w:sz="12" w:space="0"/>
        </w:tcBorders>
      </w:tcPr>
    </w:tblStylePr>
    <w:tblStylePr w:type="lastCol">
      <w:pPr/>
      <w:rPr>
        <w:sz w:val="22"/>
      </w:rPr>
      <w:tblPr/>
      <w:tcPr>
        <w:tcBorders>
          <w:left w:val="single" w:color="000000" w:themeColor="text1" w:sz="12" w:space="0"/>
        </w:tcBorders>
      </w:tcPr>
    </w:tblStylePr>
    <w:tblStylePr w:type="lastRow">
      <w:pPr/>
      <w:rPr>
        <w:sz w:val="22"/>
      </w:rPr>
      <w:tblPr/>
      <w:tcPr>
        <w:tcBorders>
          <w:top w:val="single" w:color="000000" w:themeColor="text1"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2">
    <w:name w:val="Bordered - Accent 1"/>
    <w:basedOn w:val="771"/>
    <w:uiPriority w:val="99"/>
    <w:pPr>
      <w:spacing w:after="0" w:line="240" w:lineRule="auto"/>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blStylePr w:type="band1Horz">
      <w:pPr/>
      <w:rPr>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1" w:sz="12" w:space="0"/>
        </w:tcBorders>
      </w:tcPr>
    </w:tblStylePr>
    <w:tblStylePr w:type="lastCol">
      <w:pPr/>
      <w:rPr>
        <w:sz w:val="22"/>
      </w:rPr>
      <w:tblPr/>
      <w:tcPr>
        <w:tcBorders>
          <w:left w:val="single" w:color="000000" w:themeColor="accent1" w:sz="12" w:space="0"/>
        </w:tcBorders>
      </w:tcPr>
    </w:tblStylePr>
    <w:tblStylePr w:type="lastRow">
      <w:pPr/>
      <w:rPr>
        <w:sz w:val="22"/>
      </w:rPr>
      <w:tblPr/>
      <w:tcPr>
        <w:tcBorders>
          <w:top w:val="single" w:color="000000" w:themeColor="accent1"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3">
    <w:name w:val="Bordered - Accent 2"/>
    <w:basedOn w:val="771"/>
    <w:uiPriority w:val="99"/>
    <w:pPr>
      <w:spacing w:after="0" w:line="240" w:lineRule="auto"/>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blStylePr w:type="band1Horz">
      <w:pPr/>
      <w:rPr>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2" w:sz="12" w:space="0"/>
        </w:tcBorders>
      </w:tcPr>
    </w:tblStylePr>
    <w:tblStylePr w:type="lastCol">
      <w:pPr/>
      <w:rPr>
        <w:sz w:val="22"/>
      </w:rPr>
      <w:tblPr/>
      <w:tcPr>
        <w:tcBorders>
          <w:left w:val="single" w:color="000000" w:themeColor="accent2" w:sz="12" w:space="0"/>
        </w:tcBorders>
      </w:tcPr>
    </w:tblStylePr>
    <w:tblStylePr w:type="lastRow">
      <w:pPr/>
      <w:rPr>
        <w:sz w:val="22"/>
      </w:rPr>
      <w:tblPr/>
      <w:tcPr>
        <w:tcBorders>
          <w:top w:val="single" w:color="000000" w:themeColor="accent2"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4">
    <w:name w:val="Bordered - Accent 3"/>
    <w:basedOn w:val="771"/>
    <w:uiPriority w:val="99"/>
    <w:pPr>
      <w:spacing w:after="0" w:line="240" w:lineRule="auto"/>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blStylePr w:type="band1Horz">
      <w:pPr/>
      <w:rPr>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3" w:sz="12" w:space="0"/>
        </w:tcBorders>
      </w:tcPr>
    </w:tblStylePr>
    <w:tblStylePr w:type="lastCol">
      <w:pPr/>
      <w:rPr>
        <w:sz w:val="22"/>
      </w:rPr>
      <w:tblPr/>
      <w:tcPr>
        <w:tcBorders>
          <w:left w:val="single" w:color="000000" w:themeColor="accent3" w:sz="12" w:space="0"/>
        </w:tcBorders>
      </w:tcPr>
    </w:tblStylePr>
    <w:tblStylePr w:type="lastRow">
      <w:pPr/>
      <w:rPr>
        <w:sz w:val="22"/>
      </w:rPr>
      <w:tblPr/>
      <w:tcPr>
        <w:tcBorders>
          <w:top w:val="single" w:color="000000" w:themeColor="accent3"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5">
    <w:name w:val="Bordered - Accent 4"/>
    <w:basedOn w:val="771"/>
    <w:uiPriority w:val="99"/>
    <w:pPr>
      <w:spacing w:after="0" w:line="240" w:lineRule="auto"/>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blStylePr w:type="band1Horz">
      <w:pPr/>
      <w:rPr>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4" w:sz="12" w:space="0"/>
        </w:tcBorders>
      </w:tcPr>
    </w:tblStylePr>
    <w:tblStylePr w:type="lastCol">
      <w:pPr/>
      <w:rPr>
        <w:sz w:val="22"/>
      </w:rPr>
      <w:tblPr/>
      <w:tcPr>
        <w:tcBorders>
          <w:left w:val="single" w:color="000000" w:themeColor="accent4" w:sz="12" w:space="0"/>
        </w:tcBorders>
      </w:tcPr>
    </w:tblStylePr>
    <w:tblStylePr w:type="lastRow">
      <w:pPr/>
      <w:rPr>
        <w:sz w:val="22"/>
      </w:rPr>
      <w:tblPr/>
      <w:tcPr>
        <w:tcBorders>
          <w:top w:val="single" w:color="000000" w:themeColor="accent4"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6">
    <w:name w:val="Bordered - Accent 5"/>
    <w:basedOn w:val="771"/>
    <w:uiPriority w:val="99"/>
    <w:pPr>
      <w:spacing w:after="0" w:line="240" w:lineRule="auto"/>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blStylePr w:type="band1Horz">
      <w:pPr/>
      <w:rPr>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5" w:sz="12" w:space="0"/>
        </w:tcBorders>
      </w:tcPr>
    </w:tblStylePr>
    <w:tblStylePr w:type="lastCol">
      <w:pPr/>
      <w:rPr>
        <w:sz w:val="22"/>
      </w:rPr>
      <w:tblPr/>
      <w:tcPr>
        <w:tcBorders>
          <w:left w:val="single" w:color="000000" w:themeColor="accent5" w:sz="12" w:space="0"/>
        </w:tcBorders>
      </w:tcPr>
    </w:tblStylePr>
    <w:tblStylePr w:type="lastRow">
      <w:pPr/>
      <w:rPr>
        <w:sz w:val="22"/>
      </w:rPr>
      <w:tblPr/>
      <w:tcPr>
        <w:tcBorders>
          <w:top w:val="single" w:color="000000" w:themeColor="accent5"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137">
    <w:name w:val="Bordered - Accent 6"/>
    <w:basedOn w:val="771"/>
    <w:uiPriority w:val="99"/>
    <w:pPr>
      <w:spacing w:after="0" w:line="240" w:lineRule="auto"/>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blStylePr w:type="band1Horz">
      <w:pPr/>
      <w:rPr>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6" w:sz="12" w:space="0"/>
        </w:tcBorders>
      </w:tcPr>
    </w:tblStylePr>
    <w:tblStylePr w:type="lastCol">
      <w:pPr/>
      <w:rPr>
        <w:sz w:val="22"/>
      </w:rPr>
      <w:tblPr/>
      <w:tcPr>
        <w:tcBorders>
          <w:left w:val="single" w:color="000000" w:themeColor="accent6" w:sz="12" w:space="0"/>
        </w:tcBorders>
      </w:tcPr>
    </w:tblStylePr>
    <w:tblStylePr w:type="lastRow">
      <w:pPr/>
      <w:rPr>
        <w:sz w:val="22"/>
      </w:rPr>
      <w:tblPr/>
      <w:tcPr>
        <w:tcBorders>
          <w:top w:val="single" w:color="000000" w:themeColor="accent6"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default="1" w:styleId="771">
    <w:name w:val="Normal Table"/>
    <w:uiPriority w:val="99"/>
    <w:semiHidden/>
    <w:unhideWhenUsed/>
    <w:pPr/>
    <w:tblPr>
      <w:tblCellMar>
        <w:left w:w="108" w:type="dxa"/>
        <w:top w:w="0" w:type="dxa"/>
        <w:right w:w="108" w:type="dxa"/>
        <w:bottom w:w="0" w:type="dxa"/>
      </w:tblCellMar>
    </w:tblPr>
    <w:tcPr/>
    <w:tblStylePr w:type="band1Horz">
      <w:pPr/>
      <w:tblPr/>
      <w:tcPr/>
    </w:tblStylePr>
    <w:tblStylePr w:type="band1Vert">
      <w:pPr/>
      <w:tblPr/>
      <w:tcPr/>
    </w:tblStylePr>
    <w:tblStylePr w:type="band2Horz">
      <w:pPr/>
      <w:tblPr/>
      <w:tcPr/>
    </w:tblStylePr>
    <w:tblStylePr w:type="band2Vert">
      <w:pPr/>
      <w:tblPr/>
      <w:tcPr/>
    </w:tblStylePr>
    <w:tblStylePr w:type="firstCol">
      <w:pPr/>
      <w:tblPr/>
      <w:tcPr/>
    </w:tblStylePr>
    <w:tblStylePr w:type="firstRow">
      <w:pPr/>
      <w:tblPr/>
      <w:tcPr/>
    </w:tblStylePr>
    <w:tblStylePr w:type="lastCol">
      <w:pPr/>
      <w:tblPr/>
      <w:tcPr/>
    </w:tblStylePr>
    <w:tblStylePr w:type="lastRow">
      <w:p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92">
    <w:name w:val="Table Grid"/>
    <w:basedOn w:val="771"/>
    <w:uiPriority w:val="39"/>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blStylePr w:type="band1Horz">
      <w:pPr/>
      <w:tblPr/>
      <w:tcPr/>
    </w:tblStylePr>
    <w:tblStylePr w:type="band1Vert">
      <w:pPr/>
      <w:tblPr/>
      <w:tcPr/>
    </w:tblStylePr>
    <w:tblStylePr w:type="band2Horz">
      <w:pPr/>
      <w:tblPr/>
      <w:tcPr/>
    </w:tblStylePr>
    <w:tblStylePr w:type="band2Vert">
      <w:pPr/>
      <w:tblPr/>
      <w:tcPr/>
    </w:tblStylePr>
    <w:tblStylePr w:type="firstCol">
      <w:pPr/>
      <w:tblPr/>
      <w:tcPr/>
    </w:tblStylePr>
    <w:tblStylePr w:type="firstRow">
      <w:pPr/>
      <w:tblPr/>
      <w:tcPr/>
    </w:tblStylePr>
    <w:tblStylePr w:type="lastCol">
      <w:pPr/>
      <w:tblPr/>
      <w:tcPr/>
    </w:tblStylePr>
    <w:tblStylePr w:type="lastRow">
      <w:p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footer" Target="footer3.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Relationship Id="rId20" Type="http://schemas.openxmlformats.org/officeDocument/2006/relationships/customXml" Target="../customXml/item1.xml"/><Relationship Id="rId21" Type="http://schemas.openxmlformats.org/officeDocument/2006/relationships/customXml" Target="../customXml/item2.xml"/><Relationship Id="rId22" Type="http://schemas.openxmlformats.org/officeDocument/2006/relationships/customXml" Target="../customXml/item3.xml"/><Relationship Id="rId23" Type="http://schemas.openxmlformats.org/officeDocument/2006/relationships/customXml" Target="../customXml/item4.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itchFamily="0" charset="1"/>
        <a:ea typeface="Arial" pitchFamily="0" charset="1"/>
        <a:cs typeface="Arial" pitchFamily="0" charset="1"/>
      </a:majorFont>
      <a:minorFont>
        <a:latin typeface="Arial" pitchFamily="0" charset="1"/>
        <a:ea typeface="Arial" pitchFamily="0" charset="1"/>
        <a:cs typeface="Arial" pitchFamily="0" charset="1"/>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5F_x0020_de_x005F_x0020_creaci_x005F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5F_x0020_de_x005F_x0020_creaci_x005F_x00f3_n" ma:index="21" nillable="true" ma:displayName="Fecha de creación" ma:format="DateTime" ma:internalName="Fecha_x005F_x0020_de_x005F_x0020_creaci_x005F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dc1eb1c-f9b5-429a-a0ce-702847a0aa2d" xsi:nil="true"/>
    <lcf76f155ced4ddcb4097134ff3c332f xmlns="d0daa353-f819-43d1-badf-ce69fea8800d">
      <Terms xmlns="http://schemas.microsoft.com/office/infopath/2007/PartnerControls"/>
    </lcf76f155ced4ddcb4097134ff3c332f>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80E0CB-4761-4DC3-9F65-CB2A592BCA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 ds:uri="http://www.w3.org/2001/XMLSchema-instance"/>
  </ds:schemaRefs>
</ds:datastoreItem>
</file>

<file path=customXml/itemProps2.xml><?xml version="1.0" encoding="utf-8"?>
<ds:datastoreItem xmlns:ds="http://schemas.openxmlformats.org/officeDocument/2006/customXml" ds:itemID="2BB207E8-9444-451C-8122-77FD6525B2C5">
  <ds:schemaRefs>
    <ds:schemaRef ds:uri="http://schemas.microsoft.com/sharepoint/v3/contenttype/forms"/>
  </ds:schemaRefs>
</ds:datastoreItem>
</file>

<file path=customXml/itemProps3.xml><?xml version="1.0" encoding="utf-8"?>
<ds:datastoreItem xmlns:ds="http://schemas.openxmlformats.org/officeDocument/2006/customXml" ds:itemID="72F9D89D-892B-4869-BBBB-63E072684107">
  <ds:schemaRefs>
    <ds:schemaRef ds:uri="http://schemas.microsoft.com/office/2006/metadata/properties"/>
    <ds:schemaRef ds:uri="http://schemas.microsoft.com/office/infopath/2007/PartnerControls"/>
    <ds:schemaRef ds:uri="edc1eb1c-f9b5-429a-a0ce-702847a0aa2d"/>
    <ds:schemaRef ds:uri="d0daa353-f819-43d1-badf-ce69fea8800d"/>
    <ds:schemaRef ds:uri="http://www.w3.org/2001/XMLSchema-instance"/>
  </ds:schemaRefs>
</ds:datastoreItem>
</file>

<file path=customXml/itemProps4.xml><?xml version="1.0" encoding="utf-8"?>
<ds:datastoreItem xmlns:ds="http://schemas.openxmlformats.org/officeDocument/2006/customXml" ds:itemID="01FDF67F-A69A-4A2D-8B91-1C967765E7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Application>LibreOffice/24.2.7.2$Linux_X86_64 LibreOffice_project/420$Build-2</Application>
  <AppVersion>15.0000</AppVersion>
  <Pages>24</Pages>
  <Words>5582</Words>
  <Characters>30105</Characters>
  <CharactersWithSpaces>35168</CharactersWithSpaces>
  <Paragraphs>478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2024-04-25T20:53:00Z</dcterms:created>
  <dc:creator>Fernando Fuentes Allende</dc:creator>
  <dc:description/>
  <dc:language>en-US</dc:language>
  <cp:lastModifiedBy/>
  <dcterms:modified xsi:type="dcterms:W3CDTF">2026-10-10T18:00:06Z</dcterms:modified>
  <cp:revision>6</cp:revision>
  <dc:subject/>
  <dc:title>Informe técnico EFT - Modernización del sistema legacy del Banco XYZ</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lianceAssetId">
    <vt:lpwstr/>
  </property>
  <property fmtid="{D5CDD505-2E9C-101B-9397-08002B2CF9AE}" pid="3" name="ContentTypeId">
    <vt:lpwstr>0x01010070BFDEA41A5D8B46AA5DA2E2389CBE4E</vt:lpwstr>
  </property>
  <property fmtid="{D5CDD505-2E9C-101B-9397-08002B2CF9AE}" pid="4" name="MediaServiceImageTags">
    <vt:lpwstr/>
  </property>
  <property fmtid="{D5CDD505-2E9C-101B-9397-08002B2CF9AE}" pid="5" name="Order">
    <vt:r8>1633900</vt:r8>
  </property>
  <property fmtid="{D5CDD505-2E9C-101B-9397-08002B2CF9AE}" pid="6" name="TemplateUrl">
    <vt:lpwstr/>
  </property>
  <property fmtid="{D5CDD505-2E9C-101B-9397-08002B2CF9AE}" pid="7" name="TriggerFlowInfo">
    <vt:lpwstr/>
  </property>
  <property fmtid="{D5CDD505-2E9C-101B-9397-08002B2CF9AE}" pid="8" name="_ExtendedDescription">
    <vt:lpwstr/>
  </property>
  <property fmtid="{D5CDD505-2E9C-101B-9397-08002B2CF9AE}" pid="9" name="_SharedFileIndex">
    <vt:lpwstr/>
  </property>
  <property fmtid="{D5CDD505-2E9C-101B-9397-08002B2CF9AE}" pid="10" name="_SourceUrl">
    <vt:lpwstr/>
  </property>
  <property fmtid="{D5CDD505-2E9C-101B-9397-08002B2CF9AE}" pid="11" name="xd_ProgID">
    <vt:lpwstr/>
  </property>
  <property fmtid="{D5CDD505-2E9C-101B-9397-08002B2CF9AE}" pid="12" name="xd_Signature">
    <vt:bool>0</vt:bool>
  </property>
</Properties>
</file>