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081D4">
      <w:pPr>
        <w:pStyle w:val="3"/>
        <w:numPr>
          <w:ilvl w:val="0"/>
          <w:numId w:val="3"/>
        </w:numPr>
        <w:bidi w:val="0"/>
        <w:ind w:left="0" w:leftChars="0" w:firstLine="0" w:firstLineChars="0"/>
        <w:rPr>
          <w:rFonts w:hint="eastAsia"/>
        </w:rPr>
      </w:pPr>
      <w:bookmarkStart w:id="0" w:name="_Toc12516"/>
      <w:bookmarkStart w:id="1" w:name="_Toc10904"/>
      <w:r>
        <w:rPr>
          <w:rFonts w:hint="eastAsia"/>
        </w:rPr>
        <w:t>磁</w:t>
      </w:r>
      <w:r>
        <w:rPr>
          <w:rFonts w:hint="eastAsia"/>
          <w:lang w:val="en-US" w:eastAsia="zh-CN"/>
        </w:rPr>
        <w:t>效应</w:t>
      </w:r>
      <w:r>
        <w:rPr>
          <w:rFonts w:hint="eastAsia"/>
        </w:rPr>
        <w:t>试验</w:t>
      </w:r>
      <w:bookmarkEnd w:id="0"/>
      <w:bookmarkEnd w:id="1"/>
    </w:p>
    <w:p w14:paraId="598DD7C9">
      <w:pPr>
        <w:pStyle w:val="4"/>
        <w:numPr>
          <w:ilvl w:val="1"/>
          <w:numId w:val="3"/>
        </w:numPr>
        <w:bidi w:val="0"/>
        <w:ind w:left="0" w:leftChars="0" w:firstLine="0" w:firstLineChars="0"/>
        <w:rPr>
          <w:rFonts w:hint="eastAsia"/>
          <w:lang w:val="en-US" w:eastAsia="zh-CN"/>
        </w:rPr>
      </w:pPr>
      <w:bookmarkStart w:id="2" w:name="_Toc23000"/>
      <w:bookmarkStart w:id="3" w:name="_Toc13187"/>
      <w:r>
        <w:rPr>
          <w:rFonts w:hint="eastAsia"/>
          <w:lang w:val="en-US" w:eastAsia="zh-CN"/>
        </w:rPr>
        <w:t>试验目的</w:t>
      </w:r>
      <w:bookmarkEnd w:id="2"/>
      <w:bookmarkEnd w:id="3"/>
    </w:p>
    <w:p w14:paraId="76A17A5C">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确定允许安装的设备与罗盘或罗盘传感器的最近距离是否符合相关要求。</w:t>
      </w:r>
    </w:p>
    <w:p w14:paraId="79BAA356">
      <w:pPr>
        <w:pStyle w:val="4"/>
        <w:numPr>
          <w:ilvl w:val="1"/>
          <w:numId w:val="3"/>
        </w:numPr>
        <w:bidi w:val="0"/>
        <w:ind w:left="0" w:leftChars="0" w:firstLine="0" w:firstLineChars="0"/>
        <w:rPr>
          <w:rFonts w:hint="eastAsia"/>
          <w:lang w:val="en-US" w:eastAsia="zh-CN"/>
        </w:rPr>
      </w:pPr>
      <w:bookmarkStart w:id="4" w:name="_Toc13777"/>
      <w:bookmarkStart w:id="5" w:name="_Toc29071"/>
      <w:r>
        <w:rPr>
          <w:rFonts w:hint="eastAsia"/>
          <w:lang w:val="en-US" w:eastAsia="zh-CN"/>
        </w:rPr>
        <w:t>试验要求</w:t>
      </w:r>
      <w:bookmarkEnd w:id="4"/>
      <w:bookmarkEnd w:id="5"/>
    </w:p>
    <w:p w14:paraId="106B531F">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黑体" w:cs="Times New Roman"/>
          <w:b w:val="0"/>
          <w:bCs/>
          <w:sz w:val="24"/>
          <w:szCs w:val="22"/>
          <w:lang w:val="en-US" w:eastAsia="zh-CN"/>
        </w:rPr>
      </w:pPr>
      <w:r>
        <w:rPr>
          <w:rFonts w:hint="eastAsia" w:cs="Times New Roman"/>
          <w:lang w:eastAsia="zh-CN"/>
        </w:rPr>
        <w:t>XXX</w:t>
      </w:r>
      <w:r>
        <w:rPr>
          <w:rFonts w:hint="eastAsia" w:ascii="Times New Roman" w:hAnsi="Times New Roman" w:eastAsia="宋体" w:cs="Times New Roman"/>
        </w:rPr>
        <w:t>安装于飞机设备舱前电子舱，应通过DO-160G第15章，Z类设备规定要求。此类试验考核</w:t>
      </w:r>
      <w:r>
        <w:rPr>
          <w:rFonts w:hint="eastAsia" w:cs="Times New Roman"/>
          <w:lang w:eastAsia="zh-CN"/>
        </w:rPr>
        <w:t>XXX</w:t>
      </w:r>
      <w:r>
        <w:rPr>
          <w:rFonts w:hint="eastAsia" w:ascii="Times New Roman" w:hAnsi="Times New Roman" w:eastAsia="宋体" w:cs="Times New Roman"/>
        </w:rPr>
        <w:t>的等效偏转角</w:t>
      </w:r>
      <w:bookmarkStart w:id="29" w:name="_GoBack"/>
      <w:bookmarkEnd w:id="29"/>
      <w:r>
        <w:rPr>
          <w:rFonts w:hint="eastAsia" w:ascii="Times New Roman" w:hAnsi="Times New Roman" w:eastAsia="宋体" w:cs="Times New Roman"/>
        </w:rPr>
        <w:t>Dc能否满足表</w:t>
      </w:r>
      <w:r>
        <w:rPr>
          <w:rFonts w:hint="eastAsia" w:ascii="Times New Roman" w:hAnsi="Times New Roman" w:eastAsia="宋体" w:cs="Times New Roman"/>
          <w:lang w:val="en-US" w:eastAsia="zh-CN"/>
        </w:rPr>
        <w:t>35</w:t>
      </w:r>
      <w:r>
        <w:rPr>
          <w:rFonts w:hint="eastAsia" w:ascii="Times New Roman" w:hAnsi="Times New Roman" w:eastAsia="宋体" w:cs="Times New Roman"/>
        </w:rPr>
        <w:t>距离要求。</w:t>
      </w:r>
    </w:p>
    <w:p w14:paraId="3D2EEA01">
      <w:pPr>
        <w:pStyle w:val="5"/>
        <w:keepNext w:val="0"/>
        <w:keepLines w:val="0"/>
        <w:pageBreakBefore w:val="0"/>
        <w:widowControl/>
        <w:kinsoku/>
        <w:wordWrap/>
        <w:overflowPunct/>
        <w:topLinePunct w:val="0"/>
        <w:autoSpaceDE/>
        <w:autoSpaceDN/>
        <w:bidi w:val="0"/>
        <w:adjustRightInd/>
        <w:snapToGrid/>
        <w:spacing w:before="157" w:beforeLines="50" w:beforeAutospacing="0" w:after="163" w:afterLines="50" w:line="240" w:lineRule="auto"/>
        <w:ind w:firstLine="0" w:firstLineChars="0"/>
        <w:jc w:val="center"/>
        <w:textAlignment w:val="auto"/>
        <w:rPr>
          <w:rFonts w:hint="default" w:ascii="Times New Roman" w:hAnsi="Times New Roman" w:eastAsia="黑体" w:cs="Times New Roman"/>
          <w:b w:val="0"/>
          <w:bCs/>
          <w:sz w:val="24"/>
          <w:szCs w:val="22"/>
          <w:lang w:val="en-US" w:eastAsia="zh-CN"/>
        </w:rPr>
      </w:pPr>
      <w:r>
        <w:rPr>
          <w:rFonts w:hint="eastAsia" w:ascii="Times New Roman" w:hAnsi="Times New Roman" w:eastAsia="黑体" w:cs="Times New Roman"/>
          <w:b w:val="0"/>
          <w:bCs/>
          <w:sz w:val="24"/>
          <w:szCs w:val="22"/>
          <w:lang w:val="en-US" w:eastAsia="zh-CN"/>
        </w:rPr>
        <w:t>表</w:t>
      </w:r>
      <w:r>
        <w:rPr>
          <w:rFonts w:hint="eastAsia" w:ascii="Times New Roman" w:hAnsi="Times New Roman" w:eastAsia="黑体" w:cs="Times New Roman"/>
          <w:b w:val="0"/>
          <w:bCs/>
          <w:sz w:val="24"/>
          <w:szCs w:val="22"/>
          <w:lang w:val="en-US" w:eastAsia="zh-CN"/>
        </w:rPr>
        <w:fldChar w:fldCharType="begin"/>
      </w:r>
      <w:r>
        <w:rPr>
          <w:rFonts w:hint="eastAsia" w:ascii="Times New Roman" w:hAnsi="Times New Roman" w:eastAsia="黑体" w:cs="Times New Roman"/>
          <w:b w:val="0"/>
          <w:bCs/>
          <w:sz w:val="24"/>
          <w:szCs w:val="22"/>
          <w:lang w:val="en-US" w:eastAsia="zh-CN"/>
        </w:rPr>
        <w:instrText xml:space="preserve"> SEQ 表 \* ARABIC </w:instrText>
      </w:r>
      <w:r>
        <w:rPr>
          <w:rFonts w:hint="eastAsia" w:ascii="Times New Roman" w:hAnsi="Times New Roman" w:eastAsia="黑体" w:cs="Times New Roman"/>
          <w:b w:val="0"/>
          <w:bCs/>
          <w:sz w:val="24"/>
          <w:szCs w:val="22"/>
          <w:lang w:val="en-US" w:eastAsia="zh-CN"/>
        </w:rPr>
        <w:fldChar w:fldCharType="separate"/>
      </w:r>
      <w:r>
        <w:rPr>
          <w:rFonts w:hint="eastAsia" w:ascii="Times New Roman" w:hAnsi="Times New Roman" w:eastAsia="黑体" w:cs="Times New Roman"/>
          <w:b w:val="0"/>
          <w:bCs/>
          <w:sz w:val="24"/>
          <w:szCs w:val="22"/>
          <w:lang w:val="en-US" w:eastAsia="zh-CN"/>
        </w:rPr>
        <w:t>1</w:t>
      </w:r>
      <w:r>
        <w:rPr>
          <w:rFonts w:hint="eastAsia" w:ascii="Times New Roman" w:hAnsi="Times New Roman" w:eastAsia="黑体" w:cs="Times New Roman"/>
          <w:b w:val="0"/>
          <w:bCs/>
          <w:sz w:val="24"/>
          <w:szCs w:val="22"/>
          <w:lang w:val="en-US" w:eastAsia="zh-CN"/>
        </w:rPr>
        <w:fldChar w:fldCharType="end"/>
      </w:r>
      <w:bookmarkStart w:id="6" w:name="_Toc5515"/>
      <w:r>
        <w:rPr>
          <w:rFonts w:hint="eastAsia" w:ascii="Times New Roman" w:hAnsi="Times New Roman" w:eastAsia="黑体" w:cs="Times New Roman"/>
          <w:b w:val="0"/>
          <w:bCs/>
          <w:sz w:val="24"/>
          <w:szCs w:val="22"/>
          <w:lang w:val="en-US" w:eastAsia="zh-CN"/>
        </w:rPr>
        <w:t xml:space="preserve"> 磁影响要求</w:t>
      </w:r>
      <w:bookmarkEnd w:id="6"/>
    </w:p>
    <w:tbl>
      <w:tblPr>
        <w:tblStyle w:val="6"/>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3"/>
        <w:gridCol w:w="4397"/>
      </w:tblGrid>
      <w:tr w14:paraId="618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419" w:type="pct"/>
            <w:shd w:val="clear" w:color="auto" w:fill="auto"/>
            <w:vAlign w:val="top"/>
          </w:tcPr>
          <w:p w14:paraId="6E7F7D16">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bookmarkStart w:id="7" w:name="_Ref8925261"/>
            <w:r>
              <w:rPr>
                <w:rFonts w:hint="eastAsia" w:ascii="Times New Roman" w:hAnsi="Times New Roman" w:eastAsia="宋体" w:cs="Times New Roman"/>
                <w:b/>
                <w:bCs/>
                <w:kern w:val="2"/>
                <w:sz w:val="21"/>
                <w:szCs w:val="21"/>
                <w:lang w:val="en-US" w:eastAsia="zh-CN"/>
              </w:rPr>
              <w:t>设备类别</w:t>
            </w:r>
          </w:p>
        </w:tc>
        <w:tc>
          <w:tcPr>
            <w:tcW w:w="2580" w:type="pct"/>
            <w:shd w:val="clear" w:color="auto" w:fill="auto"/>
            <w:vAlign w:val="top"/>
          </w:tcPr>
          <w:p w14:paraId="2A4E8E45">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偏转Dc对应的测量距离</w:t>
            </w:r>
          </w:p>
        </w:tc>
      </w:tr>
      <w:tr w14:paraId="39E79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419" w:type="pct"/>
            <w:shd w:val="clear" w:color="auto" w:fill="auto"/>
            <w:vAlign w:val="top"/>
          </w:tcPr>
          <w:p w14:paraId="0B7A07EB">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Z</w:t>
            </w:r>
          </w:p>
        </w:tc>
        <w:tc>
          <w:tcPr>
            <w:tcW w:w="2580" w:type="pct"/>
            <w:shd w:val="clear" w:color="auto" w:fill="auto"/>
            <w:vAlign w:val="top"/>
          </w:tcPr>
          <w:p w14:paraId="0669DC3A">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0＜D＜0.3m</w:t>
            </w:r>
          </w:p>
        </w:tc>
      </w:tr>
      <w:bookmarkEnd w:id="7"/>
    </w:tbl>
    <w:p w14:paraId="33FD8824">
      <w:pPr>
        <w:pStyle w:val="4"/>
        <w:numPr>
          <w:ilvl w:val="1"/>
          <w:numId w:val="3"/>
        </w:numPr>
        <w:bidi w:val="0"/>
        <w:ind w:left="0" w:leftChars="0" w:firstLine="0" w:firstLineChars="0"/>
        <w:rPr>
          <w:rFonts w:hint="eastAsia"/>
          <w:lang w:val="en-US" w:eastAsia="zh-CN"/>
        </w:rPr>
      </w:pPr>
      <w:bookmarkStart w:id="8" w:name="_Toc18983"/>
      <w:bookmarkStart w:id="9" w:name="_Toc20835"/>
      <w:r>
        <w:rPr>
          <w:rFonts w:hint="eastAsia"/>
          <w:lang w:val="en-US" w:eastAsia="zh-CN"/>
        </w:rPr>
        <w:t>受试/陪试设备</w:t>
      </w:r>
      <w:bookmarkEnd w:id="8"/>
      <w:bookmarkEnd w:id="9"/>
    </w:p>
    <w:p w14:paraId="495B62AD">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受试设备：</w:t>
      </w:r>
      <w:r>
        <w:rPr>
          <w:rFonts w:hint="eastAsia" w:cs="Times New Roman"/>
          <w:lang w:eastAsia="zh-CN"/>
        </w:rPr>
        <w:t>XXX</w:t>
      </w:r>
      <w:r>
        <w:rPr>
          <w:rFonts w:hint="eastAsia" w:ascii="Times New Roman" w:hAnsi="Times New Roman" w:eastAsia="宋体" w:cs="Times New Roman"/>
        </w:rPr>
        <w:t>，详细构型见6.1节受试设备构型状态；</w:t>
      </w:r>
    </w:p>
    <w:p w14:paraId="3DA4C137">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陪试设备：无；</w:t>
      </w:r>
    </w:p>
    <w:p w14:paraId="269D131F">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工作状态：详见6.4节。</w:t>
      </w:r>
    </w:p>
    <w:p w14:paraId="05C1FF78">
      <w:pPr>
        <w:pStyle w:val="4"/>
        <w:numPr>
          <w:ilvl w:val="1"/>
          <w:numId w:val="3"/>
        </w:numPr>
        <w:bidi w:val="0"/>
        <w:ind w:left="0" w:leftChars="0" w:firstLine="0" w:firstLineChars="0"/>
        <w:rPr>
          <w:rFonts w:hint="eastAsia"/>
          <w:lang w:val="en-US" w:eastAsia="zh-CN"/>
        </w:rPr>
      </w:pPr>
      <w:bookmarkStart w:id="10" w:name="_Toc24808"/>
      <w:bookmarkStart w:id="11" w:name="_Toc9237"/>
      <w:r>
        <w:rPr>
          <w:rFonts w:hint="eastAsia"/>
          <w:lang w:val="en-US" w:eastAsia="zh-CN"/>
        </w:rPr>
        <w:t>试验设备、测试设备及要求</w:t>
      </w:r>
      <w:bookmarkEnd w:id="10"/>
      <w:bookmarkEnd w:id="11"/>
    </w:p>
    <w:p w14:paraId="13228ACA">
      <w:pPr>
        <w:pStyle w:val="10"/>
        <w:ind w:firstLine="480"/>
        <w:rPr>
          <w:rFonts w:ascii="黑体" w:hAnsi="黑体" w:eastAsia="黑体" w:cs="黑体"/>
        </w:rPr>
      </w:pPr>
      <w:r>
        <w:rPr>
          <w:rFonts w:hint="eastAsia" w:ascii="Times New Roman" w:hAnsi="Times New Roman" w:eastAsia="宋体" w:cs="Times New Roman"/>
          <w:kern w:val="0"/>
          <w:sz w:val="24"/>
          <w:szCs w:val="24"/>
          <w:lang w:val="en-US" w:eastAsia="zh-CN" w:bidi="ar-SA"/>
        </w:rPr>
        <w:t>磁影响试验主要试验设备及仪器仪表如下表36所示。</w:t>
      </w:r>
    </w:p>
    <w:p w14:paraId="71F6F592">
      <w:pPr>
        <w:pStyle w:val="5"/>
        <w:keepNext w:val="0"/>
        <w:keepLines w:val="0"/>
        <w:pageBreakBefore w:val="0"/>
        <w:widowControl/>
        <w:kinsoku/>
        <w:wordWrap/>
        <w:overflowPunct/>
        <w:topLinePunct w:val="0"/>
        <w:autoSpaceDE/>
        <w:autoSpaceDN/>
        <w:bidi w:val="0"/>
        <w:adjustRightInd/>
        <w:snapToGrid/>
        <w:spacing w:before="157" w:beforeLines="50" w:beforeAutospacing="0" w:after="163" w:afterLines="50" w:line="240" w:lineRule="auto"/>
        <w:ind w:firstLine="0" w:firstLineChars="0"/>
        <w:jc w:val="center"/>
        <w:textAlignment w:val="auto"/>
        <w:rPr>
          <w:rFonts w:hint="default" w:ascii="Times New Roman" w:hAnsi="Times New Roman" w:eastAsia="黑体" w:cs="Times New Roman"/>
          <w:b w:val="0"/>
          <w:bCs/>
          <w:sz w:val="24"/>
          <w:szCs w:val="22"/>
          <w:lang w:val="en-US" w:eastAsia="zh-CN"/>
        </w:rPr>
      </w:pPr>
      <w:r>
        <w:rPr>
          <w:rFonts w:hint="eastAsia" w:ascii="Times New Roman" w:hAnsi="Times New Roman" w:eastAsia="黑体" w:cs="Times New Roman"/>
          <w:b w:val="0"/>
          <w:bCs/>
          <w:sz w:val="24"/>
          <w:szCs w:val="22"/>
          <w:lang w:val="en-US" w:eastAsia="zh-CN"/>
        </w:rPr>
        <w:t>表</w:t>
      </w:r>
      <w:r>
        <w:rPr>
          <w:rFonts w:hint="eastAsia" w:ascii="Times New Roman" w:hAnsi="Times New Roman" w:eastAsia="黑体" w:cs="Times New Roman"/>
          <w:b w:val="0"/>
          <w:bCs/>
          <w:sz w:val="24"/>
          <w:szCs w:val="22"/>
          <w:lang w:val="en-US" w:eastAsia="zh-CN"/>
        </w:rPr>
        <w:fldChar w:fldCharType="begin"/>
      </w:r>
      <w:r>
        <w:rPr>
          <w:rFonts w:hint="eastAsia" w:ascii="Times New Roman" w:hAnsi="Times New Roman" w:eastAsia="黑体" w:cs="Times New Roman"/>
          <w:b w:val="0"/>
          <w:bCs/>
          <w:sz w:val="24"/>
          <w:szCs w:val="22"/>
          <w:lang w:val="en-US" w:eastAsia="zh-CN"/>
        </w:rPr>
        <w:instrText xml:space="preserve"> SEQ 表 \* ARABIC </w:instrText>
      </w:r>
      <w:r>
        <w:rPr>
          <w:rFonts w:hint="eastAsia" w:ascii="Times New Roman" w:hAnsi="Times New Roman" w:eastAsia="黑体" w:cs="Times New Roman"/>
          <w:b w:val="0"/>
          <w:bCs/>
          <w:sz w:val="24"/>
          <w:szCs w:val="22"/>
          <w:lang w:val="en-US" w:eastAsia="zh-CN"/>
        </w:rPr>
        <w:fldChar w:fldCharType="separate"/>
      </w:r>
      <w:r>
        <w:rPr>
          <w:rFonts w:hint="eastAsia" w:ascii="Times New Roman" w:hAnsi="Times New Roman" w:eastAsia="黑体" w:cs="Times New Roman"/>
          <w:b w:val="0"/>
          <w:bCs/>
          <w:sz w:val="24"/>
          <w:szCs w:val="22"/>
          <w:lang w:val="en-US" w:eastAsia="zh-CN"/>
        </w:rPr>
        <w:t>2</w:t>
      </w:r>
      <w:r>
        <w:rPr>
          <w:rFonts w:hint="eastAsia" w:ascii="Times New Roman" w:hAnsi="Times New Roman" w:eastAsia="黑体" w:cs="Times New Roman"/>
          <w:b w:val="0"/>
          <w:bCs/>
          <w:sz w:val="24"/>
          <w:szCs w:val="22"/>
          <w:lang w:val="en-US" w:eastAsia="zh-CN"/>
        </w:rPr>
        <w:fldChar w:fldCharType="end"/>
      </w:r>
      <w:bookmarkStart w:id="12" w:name="_Toc27873"/>
      <w:r>
        <w:rPr>
          <w:rFonts w:hint="eastAsia" w:ascii="Times New Roman" w:hAnsi="Times New Roman" w:eastAsia="黑体" w:cs="Times New Roman"/>
          <w:b w:val="0"/>
          <w:bCs/>
          <w:sz w:val="24"/>
          <w:szCs w:val="22"/>
          <w:lang w:val="en-US" w:eastAsia="zh-CN"/>
        </w:rPr>
        <w:t xml:space="preserve"> 磁影响设备信息表</w:t>
      </w:r>
      <w:bookmarkEnd w:id="12"/>
    </w:p>
    <w:tbl>
      <w:tblPr>
        <w:tblStyle w:val="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4"/>
        <w:gridCol w:w="1270"/>
        <w:gridCol w:w="1827"/>
        <w:gridCol w:w="1625"/>
        <w:gridCol w:w="2095"/>
        <w:gridCol w:w="1064"/>
      </w:tblGrid>
      <w:tr w14:paraId="197B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blHeader/>
        </w:trPr>
        <w:tc>
          <w:tcPr>
            <w:tcW w:w="372" w:type="pct"/>
            <w:vAlign w:val="top"/>
          </w:tcPr>
          <w:p w14:paraId="7EB319BA">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序号</w:t>
            </w:r>
          </w:p>
        </w:tc>
        <w:tc>
          <w:tcPr>
            <w:tcW w:w="746" w:type="pct"/>
            <w:vAlign w:val="top"/>
          </w:tcPr>
          <w:p w14:paraId="29B4303F">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设备名称</w:t>
            </w:r>
          </w:p>
        </w:tc>
        <w:tc>
          <w:tcPr>
            <w:tcW w:w="1073" w:type="pct"/>
            <w:vAlign w:val="top"/>
          </w:tcPr>
          <w:p w14:paraId="292E2ED7">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用途</w:t>
            </w:r>
          </w:p>
        </w:tc>
        <w:tc>
          <w:tcPr>
            <w:tcW w:w="954" w:type="pct"/>
            <w:vAlign w:val="top"/>
          </w:tcPr>
          <w:p w14:paraId="10D0C8FA">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设备型号</w:t>
            </w:r>
          </w:p>
        </w:tc>
        <w:tc>
          <w:tcPr>
            <w:tcW w:w="1230" w:type="pct"/>
            <w:vAlign w:val="top"/>
          </w:tcPr>
          <w:p w14:paraId="03CA82A9">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技术要求/精度</w:t>
            </w:r>
          </w:p>
        </w:tc>
        <w:tc>
          <w:tcPr>
            <w:tcW w:w="621" w:type="pct"/>
            <w:vAlign w:val="top"/>
          </w:tcPr>
          <w:p w14:paraId="70812233">
            <w:pPr>
              <w:keepNext w:val="0"/>
              <w:keepLines w:val="0"/>
              <w:pageBreakBefore w:val="0"/>
              <w:widowControl/>
              <w:kinsoku/>
              <w:wordWrap/>
              <w:overflowPunct/>
              <w:topLinePunct w:val="0"/>
              <w:autoSpaceDE/>
              <w:autoSpaceDN/>
              <w:bidi w:val="0"/>
              <w:adjustRightInd/>
              <w:snapToGrid/>
              <w:spacing w:after="120" w:line="400" w:lineRule="exact"/>
              <w:ind w:left="0" w:firstLine="0" w:firstLineChars="0"/>
              <w:jc w:val="center"/>
              <w:textAlignment w:val="auto"/>
              <w:rPr>
                <w:rFonts w:hint="eastAsia"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校验方式</w:t>
            </w:r>
          </w:p>
        </w:tc>
      </w:tr>
      <w:tr w14:paraId="10DE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372" w:type="pct"/>
            <w:vAlign w:val="top"/>
          </w:tcPr>
          <w:p w14:paraId="3A334553">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1</w:t>
            </w:r>
          </w:p>
        </w:tc>
        <w:tc>
          <w:tcPr>
            <w:tcW w:w="746" w:type="pct"/>
            <w:vAlign w:val="top"/>
          </w:tcPr>
          <w:p w14:paraId="796E00E9">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磁强计</w:t>
            </w:r>
          </w:p>
        </w:tc>
        <w:tc>
          <w:tcPr>
            <w:tcW w:w="1073" w:type="pct"/>
            <w:vAlign w:val="top"/>
          </w:tcPr>
          <w:p w14:paraId="7404C0E2">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用于磁影响试验</w:t>
            </w:r>
          </w:p>
        </w:tc>
        <w:tc>
          <w:tcPr>
            <w:tcW w:w="954" w:type="pct"/>
            <w:vAlign w:val="top"/>
          </w:tcPr>
          <w:p w14:paraId="0EFDE1DF">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FVM-400</w:t>
            </w:r>
          </w:p>
        </w:tc>
        <w:tc>
          <w:tcPr>
            <w:tcW w:w="1230" w:type="pct"/>
            <w:vAlign w:val="top"/>
          </w:tcPr>
          <w:p w14:paraId="39A0259C">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精度：±0.5%F.S；</w:t>
            </w:r>
          </w:p>
          <w:p w14:paraId="7485F497">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±2000nT 范围内误差小于50nT</w:t>
            </w:r>
          </w:p>
        </w:tc>
        <w:tc>
          <w:tcPr>
            <w:tcW w:w="621" w:type="pct"/>
            <w:vAlign w:val="top"/>
          </w:tcPr>
          <w:p w14:paraId="55607402">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定检</w:t>
            </w:r>
          </w:p>
        </w:tc>
      </w:tr>
      <w:tr w14:paraId="4777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372" w:type="pct"/>
            <w:vAlign w:val="top"/>
          </w:tcPr>
          <w:p w14:paraId="455323E8">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w:t>
            </w:r>
          </w:p>
        </w:tc>
        <w:tc>
          <w:tcPr>
            <w:tcW w:w="746" w:type="pct"/>
            <w:vAlign w:val="top"/>
          </w:tcPr>
          <w:p w14:paraId="29BD0303">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纤维卷尺</w:t>
            </w:r>
          </w:p>
        </w:tc>
        <w:tc>
          <w:tcPr>
            <w:tcW w:w="1073" w:type="pct"/>
            <w:vAlign w:val="top"/>
          </w:tcPr>
          <w:p w14:paraId="4B67D4EE">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用于测量产品与磁强计之间的距离</w:t>
            </w:r>
          </w:p>
        </w:tc>
        <w:tc>
          <w:tcPr>
            <w:tcW w:w="954" w:type="pct"/>
            <w:vAlign w:val="top"/>
          </w:tcPr>
          <w:p w14:paraId="70F6489C">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20m</w:t>
            </w:r>
          </w:p>
        </w:tc>
        <w:tc>
          <w:tcPr>
            <w:tcW w:w="1230" w:type="pct"/>
            <w:vAlign w:val="top"/>
          </w:tcPr>
          <w:p w14:paraId="2AF7296E">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精度：±2%</w:t>
            </w:r>
          </w:p>
        </w:tc>
        <w:tc>
          <w:tcPr>
            <w:tcW w:w="621" w:type="pct"/>
            <w:vAlign w:val="top"/>
          </w:tcPr>
          <w:p w14:paraId="4EFA553B">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定检</w:t>
            </w:r>
          </w:p>
        </w:tc>
      </w:tr>
      <w:tr w14:paraId="7BED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372" w:type="pct"/>
            <w:vAlign w:val="top"/>
          </w:tcPr>
          <w:p w14:paraId="35DD6C65">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w:t>
            </w:r>
          </w:p>
        </w:tc>
        <w:tc>
          <w:tcPr>
            <w:tcW w:w="746" w:type="pct"/>
            <w:vAlign w:val="top"/>
          </w:tcPr>
          <w:p w14:paraId="4994F329">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大功率线性直流电源</w:t>
            </w:r>
          </w:p>
        </w:tc>
        <w:tc>
          <w:tcPr>
            <w:tcW w:w="1073" w:type="pct"/>
            <w:vAlign w:val="top"/>
          </w:tcPr>
          <w:p w14:paraId="63C21D86">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用于试验供电</w:t>
            </w:r>
          </w:p>
        </w:tc>
        <w:tc>
          <w:tcPr>
            <w:tcW w:w="954" w:type="pct"/>
            <w:vAlign w:val="top"/>
          </w:tcPr>
          <w:p w14:paraId="5BE89974">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HA-DC100/100</w:t>
            </w:r>
          </w:p>
        </w:tc>
        <w:tc>
          <w:tcPr>
            <w:tcW w:w="1230" w:type="pct"/>
            <w:vAlign w:val="top"/>
          </w:tcPr>
          <w:p w14:paraId="08ACEFA0">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直流电压:10V~100V；</w:t>
            </w:r>
          </w:p>
        </w:tc>
        <w:tc>
          <w:tcPr>
            <w:tcW w:w="621" w:type="pct"/>
            <w:vAlign w:val="top"/>
          </w:tcPr>
          <w:p w14:paraId="5189CC16">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定检</w:t>
            </w:r>
          </w:p>
        </w:tc>
      </w:tr>
      <w:tr w14:paraId="074B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372" w:type="pct"/>
            <w:vAlign w:val="top"/>
          </w:tcPr>
          <w:p w14:paraId="7584A167">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4</w:t>
            </w:r>
          </w:p>
        </w:tc>
        <w:tc>
          <w:tcPr>
            <w:tcW w:w="746" w:type="pct"/>
            <w:vAlign w:val="top"/>
          </w:tcPr>
          <w:p w14:paraId="1E68CAAA">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温湿度计</w:t>
            </w:r>
          </w:p>
        </w:tc>
        <w:tc>
          <w:tcPr>
            <w:tcW w:w="1073" w:type="pct"/>
            <w:vAlign w:val="top"/>
          </w:tcPr>
          <w:p w14:paraId="7A7CCF69">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用于测量试验室大气温湿度</w:t>
            </w:r>
          </w:p>
        </w:tc>
        <w:tc>
          <w:tcPr>
            <w:tcW w:w="954" w:type="pct"/>
            <w:vAlign w:val="top"/>
          </w:tcPr>
          <w:p w14:paraId="5DD8ADE9">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272-A</w:t>
            </w:r>
          </w:p>
        </w:tc>
        <w:tc>
          <w:tcPr>
            <w:tcW w:w="1230" w:type="pct"/>
            <w:vAlign w:val="top"/>
          </w:tcPr>
          <w:p w14:paraId="4904CBB0">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温度偏差：±2℃</w:t>
            </w:r>
          </w:p>
          <w:p w14:paraId="60DA886C">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湿度偏差：±5%RH~±7%RH</w:t>
            </w:r>
          </w:p>
        </w:tc>
        <w:tc>
          <w:tcPr>
            <w:tcW w:w="621" w:type="pct"/>
            <w:vAlign w:val="top"/>
          </w:tcPr>
          <w:p w14:paraId="65559185">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定检</w:t>
            </w:r>
          </w:p>
        </w:tc>
      </w:tr>
      <w:tr w14:paraId="60E5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372" w:type="pct"/>
            <w:vAlign w:val="top"/>
          </w:tcPr>
          <w:p w14:paraId="6583560A">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5</w:t>
            </w:r>
          </w:p>
        </w:tc>
        <w:tc>
          <w:tcPr>
            <w:tcW w:w="746" w:type="pct"/>
            <w:vAlign w:val="top"/>
          </w:tcPr>
          <w:p w14:paraId="2DAA7ECF">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大气压力表</w:t>
            </w:r>
          </w:p>
        </w:tc>
        <w:tc>
          <w:tcPr>
            <w:tcW w:w="1073" w:type="pct"/>
            <w:vAlign w:val="top"/>
          </w:tcPr>
          <w:p w14:paraId="20E41DBC">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用于测量试验室大气压力</w:t>
            </w:r>
          </w:p>
        </w:tc>
        <w:tc>
          <w:tcPr>
            <w:tcW w:w="954" w:type="pct"/>
            <w:vAlign w:val="top"/>
          </w:tcPr>
          <w:p w14:paraId="739BD0C1">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DYM3</w:t>
            </w:r>
          </w:p>
        </w:tc>
        <w:tc>
          <w:tcPr>
            <w:tcW w:w="1230" w:type="pct"/>
            <w:vAlign w:val="top"/>
          </w:tcPr>
          <w:p w14:paraId="4E87409B">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允许误差：±2.5hPa</w:t>
            </w:r>
          </w:p>
        </w:tc>
        <w:tc>
          <w:tcPr>
            <w:tcW w:w="621" w:type="pct"/>
            <w:vAlign w:val="top"/>
          </w:tcPr>
          <w:p w14:paraId="5135340D">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定检</w:t>
            </w:r>
          </w:p>
        </w:tc>
      </w:tr>
      <w:tr w14:paraId="38B4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5000" w:type="pct"/>
            <w:gridSpan w:val="6"/>
            <w:vAlign w:val="top"/>
          </w:tcPr>
          <w:p w14:paraId="27F476E2">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注：1.若选择的试验设备精度/量程比原试验设备等同或更优，则允许更换设备进行试验。</w:t>
            </w:r>
          </w:p>
          <w:p w14:paraId="7E007E7F">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2．实际使用的设备/仪器，由试验单位记录，并在试验报告中明确，如存在差异，应在试验报告中进行分析。</w:t>
            </w:r>
          </w:p>
          <w:p w14:paraId="37298542">
            <w:pPr>
              <w:keepNext w:val="0"/>
              <w:keepLines w:val="0"/>
              <w:pageBreakBefore w:val="0"/>
              <w:widowControl w:val="0"/>
              <w:kinsoku/>
              <w:wordWrap/>
              <w:overflowPunct/>
              <w:topLinePunct w:val="0"/>
              <w:autoSpaceDE/>
              <w:autoSpaceDN/>
              <w:bidi w:val="0"/>
              <w:adjustRightInd/>
              <w:snapToGrid/>
              <w:spacing w:after="120" w:line="400" w:lineRule="exact"/>
              <w:ind w:left="0" w:firstLine="0" w:firstLineChars="0"/>
              <w:jc w:val="left"/>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3.所有未标注数量的设备，默认数量为1。</w:t>
            </w:r>
          </w:p>
        </w:tc>
      </w:tr>
    </w:tbl>
    <w:p w14:paraId="49735548">
      <w:pPr>
        <w:pStyle w:val="4"/>
        <w:numPr>
          <w:ilvl w:val="1"/>
          <w:numId w:val="3"/>
        </w:numPr>
        <w:bidi w:val="0"/>
        <w:ind w:left="0" w:leftChars="0" w:firstLine="0" w:firstLineChars="0"/>
        <w:rPr>
          <w:rFonts w:hint="eastAsia"/>
          <w:lang w:val="en-US" w:eastAsia="zh-CN"/>
        </w:rPr>
      </w:pPr>
      <w:bookmarkStart w:id="13" w:name="_Toc28295"/>
      <w:bookmarkStart w:id="14" w:name="_Toc25195"/>
      <w:bookmarkStart w:id="15" w:name="_Toc19167"/>
      <w:r>
        <w:rPr>
          <w:rFonts w:hint="eastAsia"/>
          <w:lang w:val="en-US" w:eastAsia="zh-CN"/>
        </w:rPr>
        <w:t>试验布置和连接</w:t>
      </w:r>
      <w:bookmarkEnd w:id="13"/>
      <w:bookmarkEnd w:id="14"/>
      <w:bookmarkEnd w:id="15"/>
    </w:p>
    <w:p w14:paraId="0A2231B0">
      <w:pPr>
        <w:ind w:firstLine="480"/>
        <w:rPr>
          <w:color w:val="000000" w:themeColor="text1"/>
          <w14:textFill>
            <w14:solidFill>
              <w14:schemeClr w14:val="tx1"/>
            </w14:solidFill>
          </w14:textFill>
        </w:rPr>
      </w:pPr>
      <w:r>
        <w:rPr>
          <w:rFonts w:hint="eastAsia" w:ascii="Times New Roman" w:hAnsi="Times New Roman" w:eastAsia="宋体" w:cs="Times New Roman"/>
          <w:sz w:val="24"/>
          <w:szCs w:val="24"/>
          <w:lang w:val="en-US" w:eastAsia="zh-CN" w:bidi="ar-SA"/>
        </w:rPr>
        <w:t>将</w:t>
      </w:r>
      <w:r>
        <w:rPr>
          <w:rFonts w:hint="eastAsia" w:cs="Times New Roman"/>
          <w:sz w:val="24"/>
          <w:szCs w:val="24"/>
          <w:lang w:val="en-US" w:eastAsia="zh-CN" w:bidi="ar-SA"/>
        </w:rPr>
        <w:t>XXX</w:t>
      </w:r>
      <w:r>
        <w:rPr>
          <w:rFonts w:hint="eastAsia" w:ascii="Times New Roman" w:hAnsi="Times New Roman" w:eastAsia="宋体" w:cs="Times New Roman"/>
          <w:sz w:val="24"/>
          <w:szCs w:val="24"/>
          <w:lang w:val="en-US" w:eastAsia="zh-CN" w:bidi="ar-SA"/>
        </w:rPr>
        <w:t>安装在非磁性试验台上，按</w:t>
      </w:r>
      <w:r>
        <w:rPr>
          <w:rFonts w:hint="eastAsia" w:ascii="Times New Roman" w:hAnsi="Times New Roman" w:eastAsia="宋体" w:cs="Times New Roman"/>
          <w:sz w:val="24"/>
          <w:szCs w:val="24"/>
          <w:lang w:val="en-US" w:eastAsia="zh-CN" w:bidi="ar-SA"/>
        </w:rPr>
        <w:fldChar w:fldCharType="begin"/>
      </w:r>
      <w:r>
        <w:rPr>
          <w:rFonts w:hint="eastAsia" w:ascii="Times New Roman" w:hAnsi="Times New Roman" w:eastAsia="宋体" w:cs="Times New Roman"/>
          <w:sz w:val="24"/>
          <w:szCs w:val="24"/>
          <w:lang w:val="en-US" w:eastAsia="zh-CN" w:bidi="ar-SA"/>
        </w:rPr>
        <w:instrText xml:space="preserve"> REF _Ref31838 \h </w:instrText>
      </w:r>
      <w:r>
        <w:rPr>
          <w:rFonts w:hint="eastAsia" w:ascii="Times New Roman" w:hAnsi="Times New Roman" w:eastAsia="宋体" w:cs="Times New Roman"/>
          <w:sz w:val="24"/>
          <w:szCs w:val="24"/>
          <w:lang w:val="en-US" w:eastAsia="zh-CN" w:bidi="ar-SA"/>
        </w:rPr>
        <w:fldChar w:fldCharType="separate"/>
      </w:r>
      <w:r>
        <w:rPr>
          <w:rFonts w:hint="eastAsia" w:ascii="Times New Roman" w:hAnsi="Times New Roman" w:eastAsia="黑体" w:cs="Times New Roman"/>
          <w:b w:val="0"/>
          <w:bCs/>
          <w:sz w:val="24"/>
          <w:szCs w:val="22"/>
          <w:lang w:val="en-US" w:eastAsia="zh-CN"/>
        </w:rPr>
        <w:t>图1</w:t>
      </w:r>
      <w:r>
        <w:rPr>
          <w:rFonts w:hint="eastAsia" w:ascii="Times New Roman" w:hAnsi="Times New Roman" w:eastAsia="宋体" w:cs="Times New Roman"/>
          <w:sz w:val="24"/>
          <w:szCs w:val="24"/>
          <w:lang w:val="en-US" w:eastAsia="zh-CN" w:bidi="ar-SA"/>
        </w:rPr>
        <w:fldChar w:fldCharType="end"/>
      </w:r>
      <w:r>
        <w:rPr>
          <w:rFonts w:hint="eastAsia" w:ascii="Times New Roman" w:hAnsi="Times New Roman" w:eastAsia="宋体" w:cs="Times New Roman"/>
          <w:sz w:val="24"/>
          <w:szCs w:val="24"/>
          <w:lang w:val="en-US" w:eastAsia="zh-CN" w:bidi="ar-SA"/>
        </w:rPr>
        <w:t>将受试设备与测试设备进行连接布置。</w:t>
      </w:r>
    </w:p>
    <w:p w14:paraId="7F30C901">
      <w:pPr>
        <w:pStyle w:val="5"/>
        <w:spacing w:after="163"/>
        <w:ind w:left="0" w:leftChars="0" w:firstLine="0" w:firstLineChars="0"/>
        <w:jc w:val="center"/>
        <w:rPr>
          <w:color w:val="000000" w:themeColor="text1"/>
          <w14:textFill>
            <w14:solidFill>
              <w14:schemeClr w14:val="tx1"/>
            </w14:solidFill>
          </w14:textFill>
        </w:rPr>
      </w:pPr>
      <w:bookmarkStart w:id="16" w:name="_Ref30586"/>
      <w:r>
        <w:object>
          <v:shape id="_x0000_i1025" o:spt="75" type="#_x0000_t75" style="height:219.05pt;width:675.65pt;" o:ole="t" filled="f" o:preferrelative="t" stroked="f" coordsize="21600,21600">
            <v:path/>
            <v:fill on="f" focussize="0,0"/>
            <v:stroke on="f"/>
            <v:imagedata r:id="rId7" o:title=""/>
            <o:lock v:ext="edit" aspectratio="t"/>
            <w10:wrap type="none"/>
            <w10:anchorlock/>
          </v:shape>
          <o:OLEObject Type="Embed" ProgID="Visio.Drawing.11" ShapeID="_x0000_i1025" DrawAspect="Content" ObjectID="_1468075725" r:id="rId6">
            <o:LockedField>false</o:LockedField>
          </o:OLEObject>
        </w:object>
      </w:r>
    </w:p>
    <w:bookmarkEnd w:id="16"/>
    <w:p w14:paraId="0CEEFA8F">
      <w:pPr>
        <w:pStyle w:val="5"/>
        <w:keepNext w:val="0"/>
        <w:keepLines w:val="0"/>
        <w:pageBreakBefore w:val="0"/>
        <w:widowControl/>
        <w:kinsoku/>
        <w:wordWrap/>
        <w:overflowPunct/>
        <w:topLinePunct w:val="0"/>
        <w:autoSpaceDE/>
        <w:autoSpaceDN/>
        <w:bidi w:val="0"/>
        <w:adjustRightInd/>
        <w:snapToGrid/>
        <w:spacing w:before="157" w:beforeLines="50" w:beforeAutospacing="0" w:after="163" w:afterLines="50" w:line="240" w:lineRule="auto"/>
        <w:ind w:firstLine="0" w:firstLineChars="0"/>
        <w:jc w:val="center"/>
        <w:textAlignment w:val="auto"/>
        <w:rPr>
          <w:rFonts w:hint="eastAsia" w:ascii="Times New Roman" w:hAnsi="Times New Roman" w:eastAsia="黑体" w:cs="Times New Roman"/>
          <w:b w:val="0"/>
          <w:bCs/>
          <w:sz w:val="24"/>
          <w:szCs w:val="22"/>
          <w:lang w:val="en-US" w:eastAsia="zh-CN"/>
        </w:rPr>
      </w:pPr>
      <w:bookmarkStart w:id="17" w:name="_Ref31838"/>
      <w:bookmarkStart w:id="18" w:name="_Toc30659"/>
      <w:r>
        <w:rPr>
          <w:rFonts w:hint="eastAsia" w:ascii="Times New Roman" w:hAnsi="Times New Roman" w:eastAsia="黑体" w:cs="Times New Roman"/>
          <w:b w:val="0"/>
          <w:bCs/>
          <w:sz w:val="24"/>
          <w:szCs w:val="22"/>
          <w:lang w:val="en-US" w:eastAsia="zh-CN"/>
        </w:rPr>
        <w:t>图</w:t>
      </w:r>
      <w:r>
        <w:rPr>
          <w:rFonts w:hint="eastAsia" w:ascii="Times New Roman" w:hAnsi="Times New Roman" w:eastAsia="黑体" w:cs="Times New Roman"/>
          <w:b w:val="0"/>
          <w:bCs/>
          <w:sz w:val="24"/>
          <w:szCs w:val="22"/>
          <w:lang w:val="en-US" w:eastAsia="zh-CN"/>
        </w:rPr>
        <w:fldChar w:fldCharType="begin"/>
      </w:r>
      <w:r>
        <w:rPr>
          <w:rFonts w:hint="eastAsia" w:ascii="Times New Roman" w:hAnsi="Times New Roman" w:eastAsia="黑体" w:cs="Times New Roman"/>
          <w:b w:val="0"/>
          <w:bCs/>
          <w:sz w:val="24"/>
          <w:szCs w:val="22"/>
          <w:lang w:val="en-US" w:eastAsia="zh-CN"/>
        </w:rPr>
        <w:instrText xml:space="preserve"> SEQ 图 \* ARABIC </w:instrText>
      </w:r>
      <w:r>
        <w:rPr>
          <w:rFonts w:hint="eastAsia" w:ascii="Times New Roman" w:hAnsi="Times New Roman" w:eastAsia="黑体" w:cs="Times New Roman"/>
          <w:b w:val="0"/>
          <w:bCs/>
          <w:sz w:val="24"/>
          <w:szCs w:val="22"/>
          <w:lang w:val="en-US" w:eastAsia="zh-CN"/>
        </w:rPr>
        <w:fldChar w:fldCharType="separate"/>
      </w:r>
      <w:r>
        <w:rPr>
          <w:rFonts w:hint="eastAsia" w:ascii="Times New Roman" w:hAnsi="Times New Roman" w:eastAsia="黑体" w:cs="Times New Roman"/>
          <w:b w:val="0"/>
          <w:bCs/>
          <w:sz w:val="24"/>
          <w:szCs w:val="22"/>
          <w:lang w:val="en-US" w:eastAsia="zh-CN"/>
        </w:rPr>
        <w:t>1</w:t>
      </w:r>
      <w:r>
        <w:rPr>
          <w:rFonts w:hint="eastAsia" w:ascii="Times New Roman" w:hAnsi="Times New Roman" w:eastAsia="黑体" w:cs="Times New Roman"/>
          <w:b w:val="0"/>
          <w:bCs/>
          <w:sz w:val="24"/>
          <w:szCs w:val="22"/>
          <w:lang w:val="en-US" w:eastAsia="zh-CN"/>
        </w:rPr>
        <w:fldChar w:fldCharType="end"/>
      </w:r>
      <w:bookmarkEnd w:id="17"/>
      <w:bookmarkStart w:id="19" w:name="_Toc624"/>
      <w:r>
        <w:rPr>
          <w:rFonts w:hint="eastAsia" w:ascii="Times New Roman" w:hAnsi="Times New Roman" w:eastAsia="黑体" w:cs="Times New Roman"/>
          <w:b w:val="0"/>
          <w:bCs/>
          <w:sz w:val="24"/>
          <w:szCs w:val="22"/>
          <w:lang w:val="en-US" w:eastAsia="zh-CN"/>
        </w:rPr>
        <w:t xml:space="preserve"> 磁影响试验布置图</w:t>
      </w:r>
      <w:bookmarkEnd w:id="19"/>
    </w:p>
    <w:bookmarkEnd w:id="18"/>
    <w:p w14:paraId="7F675E77">
      <w:pPr>
        <w:pStyle w:val="4"/>
        <w:numPr>
          <w:ilvl w:val="1"/>
          <w:numId w:val="3"/>
        </w:numPr>
        <w:bidi w:val="0"/>
        <w:ind w:left="0" w:leftChars="0" w:firstLine="0" w:firstLineChars="0"/>
        <w:rPr>
          <w:rFonts w:hint="eastAsia"/>
          <w:lang w:val="en-US" w:eastAsia="zh-CN"/>
        </w:rPr>
      </w:pPr>
      <w:bookmarkStart w:id="20" w:name="_Toc20533"/>
      <w:bookmarkStart w:id="21" w:name="_Toc25820"/>
      <w:bookmarkStart w:id="22" w:name="_Toc30095"/>
      <w:r>
        <w:rPr>
          <w:rFonts w:hint="eastAsia"/>
          <w:lang w:val="en-US" w:eastAsia="zh-CN"/>
        </w:rPr>
        <w:t>受试设备、试验装置（试验前）的制造符合性要求</w:t>
      </w:r>
      <w:bookmarkEnd w:id="20"/>
      <w:bookmarkEnd w:id="21"/>
      <w:bookmarkEnd w:id="22"/>
    </w:p>
    <w:p w14:paraId="7EA5750C">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受试设备状态应满足“6试验设备描述”构型和产品状态要求，确定受试设备按照12.1要求完成了产品验收测试。</w:t>
      </w:r>
    </w:p>
    <w:p w14:paraId="729FA7E6">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确保受试设备、陪试件、试验装置，在试验前按照</w:t>
      </w:r>
      <w:r>
        <w:rPr>
          <w:rFonts w:hint="eastAsia" w:ascii="Times New Roman" w:hAnsi="Times New Roman" w:eastAsia="宋体" w:cs="Times New Roman"/>
          <w:lang w:val="en-US" w:eastAsia="zh-CN"/>
        </w:rPr>
        <w:t>20</w:t>
      </w:r>
      <w:r>
        <w:rPr>
          <w:rFonts w:hint="eastAsia" w:ascii="Times New Roman" w:hAnsi="Times New Roman" w:eastAsia="宋体" w:cs="Times New Roman"/>
        </w:rPr>
        <w:t>.3-</w:t>
      </w:r>
      <w:r>
        <w:rPr>
          <w:rFonts w:hint="eastAsia" w:ascii="Times New Roman" w:hAnsi="Times New Roman" w:eastAsia="宋体" w:cs="Times New Roman"/>
          <w:lang w:val="en-US" w:eastAsia="zh-CN"/>
        </w:rPr>
        <w:t>20</w:t>
      </w:r>
      <w:r>
        <w:rPr>
          <w:rFonts w:hint="eastAsia" w:ascii="Times New Roman" w:hAnsi="Times New Roman" w:eastAsia="宋体" w:cs="Times New Roman"/>
        </w:rPr>
        <w:t>.5的要求，进行了相应的安装和连接。</w:t>
      </w:r>
    </w:p>
    <w:p w14:paraId="7BE0A491">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确保试验人员资质符合“10试验人员”的要求。</w:t>
      </w:r>
    </w:p>
    <w:p w14:paraId="5CABDE0E">
      <w:pPr>
        <w:pStyle w:val="4"/>
        <w:numPr>
          <w:ilvl w:val="1"/>
          <w:numId w:val="3"/>
        </w:numPr>
        <w:bidi w:val="0"/>
        <w:ind w:left="0" w:leftChars="0" w:firstLine="0" w:firstLineChars="0"/>
        <w:rPr>
          <w:rFonts w:hint="eastAsia"/>
          <w:lang w:val="en-US" w:eastAsia="zh-CN"/>
        </w:rPr>
      </w:pPr>
      <w:bookmarkStart w:id="23" w:name="_Toc9444"/>
      <w:bookmarkStart w:id="24" w:name="_Toc25465"/>
      <w:bookmarkStart w:id="25" w:name="_Toc31382"/>
      <w:r>
        <w:rPr>
          <w:rFonts w:hint="eastAsia"/>
          <w:lang w:val="en-US" w:eastAsia="zh-CN"/>
        </w:rPr>
        <w:t>试验程序</w:t>
      </w:r>
      <w:bookmarkEnd w:id="23"/>
      <w:bookmarkEnd w:id="24"/>
      <w:bookmarkEnd w:id="25"/>
    </w:p>
    <w:p w14:paraId="3792B6B0">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bookmarkStart w:id="26" w:name="_Toc20041"/>
      <w:r>
        <w:rPr>
          <w:rFonts w:hint="eastAsia" w:ascii="Times New Roman" w:hAnsi="Times New Roman" w:eastAsia="宋体" w:cs="Times New Roman"/>
        </w:rPr>
        <w:t>按照DO-160G第15.3节的要求进行磁影响试验。</w:t>
      </w:r>
    </w:p>
    <w:p w14:paraId="041BE281">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磁罗盘离受试设备的测量距离D</w:t>
      </w:r>
      <w:r>
        <w:rPr>
          <w:rFonts w:hint="eastAsia" w:ascii="Times New Roman" w:hAnsi="Times New Roman" w:eastAsia="宋体" w:cs="Times New Roman"/>
          <w:lang w:val="en-US" w:eastAsia="zh-CN"/>
        </w:rPr>
        <w:t>表示观察到罗盘偏转1°时罗盘与设备的距离</w:t>
      </w:r>
      <w:r>
        <w:rPr>
          <w:rFonts w:hint="eastAsia" w:ascii="Times New Roman" w:hAnsi="Times New Roman" w:eastAsia="宋体" w:cs="Times New Roman"/>
        </w:rPr>
        <w:t>；磁体的水平磁场强度：14.4A/m±10%。</w:t>
      </w:r>
    </w:p>
    <w:p w14:paraId="4021C0C6">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试验人员应在试验环境搭建完成后予以确认试验参数配置，并拍照取证开始试验，试验详细操作步骤如下：</w:t>
      </w:r>
    </w:p>
    <w:p w14:paraId="76D62689">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将受试设备在实验室环境下连接放置，设备不上电，拍照记录受试设备的摆放状态及试验箱外设备仪器的连接状态；</w:t>
      </w:r>
    </w:p>
    <w:p w14:paraId="4877425F">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初始检测：在标准大气条件下按照12章节表12 QPAT1对受试设备进行检测，拍照并记录数据；</w:t>
      </w:r>
    </w:p>
    <w:p w14:paraId="01E5A580">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试验：将受试设备</w:t>
      </w:r>
      <w:r>
        <w:rPr>
          <w:rFonts w:hint="eastAsia" w:cs="Times New Roman"/>
          <w:lang w:val="en-US" w:eastAsia="zh-CN"/>
        </w:rPr>
        <w:t>所有</w:t>
      </w:r>
      <w:r>
        <w:rPr>
          <w:rFonts w:hint="eastAsia" w:ascii="Times New Roman" w:hAnsi="Times New Roman" w:eastAsia="宋体" w:cs="Times New Roman"/>
        </w:rPr>
        <w:t>电缆</w:t>
      </w:r>
      <w:r>
        <w:rPr>
          <w:rFonts w:hint="eastAsia" w:cs="Times New Roman"/>
          <w:lang w:val="en-US" w:eastAsia="zh-CN"/>
        </w:rPr>
        <w:t>和可延伸的电源电缆捆成一束，并使该电缆束沿着</w:t>
      </w:r>
      <w:r>
        <w:rPr>
          <w:rFonts w:hint="eastAsia" w:ascii="Times New Roman" w:hAnsi="Times New Roman" w:eastAsia="宋体" w:cs="Times New Roman"/>
        </w:rPr>
        <w:t>磁罗盘中心的东-西轴线上</w:t>
      </w:r>
      <w:r>
        <w:rPr>
          <w:rFonts w:hint="eastAsia" w:cs="Times New Roman"/>
          <w:lang w:val="en-US" w:eastAsia="zh-CN"/>
        </w:rPr>
        <w:t>放置</w:t>
      </w:r>
      <w:r>
        <w:rPr>
          <w:rFonts w:hint="eastAsia" w:ascii="Times New Roman" w:hAnsi="Times New Roman" w:eastAsia="宋体" w:cs="Times New Roman"/>
        </w:rPr>
        <w:t>；</w:t>
      </w:r>
    </w:p>
    <w:p w14:paraId="0F4DE3BF">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受试设备加电，选择能产生最大磁偏转角的受试设备稳态工作模式；</w:t>
      </w:r>
    </w:p>
    <w:p w14:paraId="663BA72F">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保持受试设备电缆放置方向不变，找出产生最大磁偏转的受试设备朝向；</w:t>
      </w:r>
    </w:p>
    <w:p w14:paraId="007BE88E">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减少受试设备和磁罗盘之间的距离以得到偏转角Dc；</w:t>
      </w:r>
    </w:p>
    <w:p w14:paraId="61B07EEE">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测量并记录磁罗盘偏转Dc时，其轴心与受试设备部件之间的最小距离；</w:t>
      </w:r>
    </w:p>
    <w:p w14:paraId="74D1DFE4">
      <w:pPr>
        <w:pStyle w:val="10"/>
        <w:keepNext w:val="0"/>
        <w:keepLines w:val="0"/>
        <w:pageBreakBefore w:val="0"/>
        <w:widowControl w:val="0"/>
        <w:numPr>
          <w:ilvl w:val="0"/>
          <w:numId w:val="4"/>
        </w:numPr>
        <w:kinsoku/>
        <w:wordWrap/>
        <w:overflowPunct/>
        <w:topLinePunct w:val="0"/>
        <w:autoSpaceDE/>
        <w:autoSpaceDN/>
        <w:bidi w:val="0"/>
        <w:adjustRightInd/>
        <w:snapToGrid/>
        <w:spacing w:line="400" w:lineRule="exact"/>
        <w:ind w:left="901" w:hanging="420" w:firstLineChars="0"/>
        <w:textAlignment w:val="auto"/>
        <w:rPr>
          <w:rFonts w:hint="eastAsia" w:ascii="Times New Roman" w:hAnsi="Times New Roman" w:eastAsia="宋体" w:cs="Times New Roman"/>
        </w:rPr>
      </w:pPr>
      <w:r>
        <w:rPr>
          <w:rFonts w:hint="eastAsia" w:ascii="Times New Roman" w:hAnsi="Times New Roman" w:eastAsia="宋体" w:cs="Times New Roman"/>
        </w:rPr>
        <w:t>利用步骤</w:t>
      </w:r>
      <w:r>
        <w:rPr>
          <w:rFonts w:hint="eastAsia" w:ascii="Times New Roman" w:hAnsi="Times New Roman" w:eastAsia="宋体" w:cs="Times New Roman"/>
          <w:lang w:val="en-US" w:eastAsia="zh-CN"/>
        </w:rPr>
        <w:t>g</w:t>
      </w:r>
      <w:r>
        <w:rPr>
          <w:rFonts w:hint="eastAsia" w:ascii="Times New Roman" w:hAnsi="Times New Roman" w:eastAsia="宋体" w:cs="Times New Roman"/>
        </w:rPr>
        <w:t>中偏转Dc时对应的测量距离，在0米与0.3米之间的为Z类设备，记录D</w:t>
      </w:r>
      <w:r>
        <w:rPr>
          <w:rFonts w:hint="eastAsia" w:ascii="Times New Roman" w:hAnsi="Times New Roman" w:eastAsia="宋体" w:cs="Times New Roman"/>
          <w:lang w:val="en-US" w:eastAsia="zh-CN"/>
        </w:rPr>
        <w:t xml:space="preserve">c对应测量距离 </w:t>
      </w:r>
      <w:r>
        <w:rPr>
          <w:rFonts w:hint="eastAsia" w:ascii="Times New Roman" w:hAnsi="Times New Roman" w:eastAsia="宋体" w:cs="Times New Roman"/>
        </w:rPr>
        <w:t>数值至测试记录，拍照并记录数据。</w:t>
      </w:r>
    </w:p>
    <w:p w14:paraId="4186680F">
      <w:pPr>
        <w:pStyle w:val="4"/>
        <w:numPr>
          <w:ilvl w:val="1"/>
          <w:numId w:val="3"/>
        </w:numPr>
        <w:bidi w:val="0"/>
        <w:ind w:left="0" w:leftChars="0" w:firstLine="0" w:firstLineChars="0"/>
        <w:rPr>
          <w:rFonts w:hint="eastAsia"/>
          <w:lang w:val="en-US" w:eastAsia="zh-CN"/>
        </w:rPr>
      </w:pPr>
      <w:bookmarkStart w:id="27" w:name="_Toc17246"/>
      <w:bookmarkStart w:id="28" w:name="_Toc6313"/>
      <w:r>
        <w:rPr>
          <w:rFonts w:hint="eastAsia"/>
          <w:lang w:val="en-US" w:eastAsia="zh-CN"/>
        </w:rPr>
        <w:t>试验判据</w:t>
      </w:r>
      <w:bookmarkEnd w:id="26"/>
      <w:bookmarkEnd w:id="27"/>
      <w:bookmarkEnd w:id="28"/>
    </w:p>
    <w:p w14:paraId="078C506B">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试验前，按12.2章节表12要求进行QPAT1检查，确认通过并记录检测数据（检测记录表见附录A）。</w:t>
      </w:r>
    </w:p>
    <w:p w14:paraId="06844831">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试验中，按12.2章节表12要求进行QPAT2检查，确认通过并记录检测数据。</w:t>
      </w:r>
    </w:p>
    <w:p w14:paraId="4FF7FFC7">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试验后，按12.2章节表12要求进行QPAT3检查，确认通过并记录检测数据</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判定测量距离D，在</w:t>
      </w:r>
      <w:r>
        <w:rPr>
          <w:rFonts w:hint="eastAsia" w:ascii="Times New Roman" w:hAnsi="Times New Roman" w:eastAsia="宋体" w:cs="Times New Roman"/>
        </w:rPr>
        <w:t>0米与0.3米之间。</w:t>
      </w:r>
    </w:p>
    <w:p w14:paraId="7AFEE570">
      <w:pPr>
        <w:pStyle w:val="11"/>
        <w:keepNext w:val="0"/>
        <w:keepLines w:val="0"/>
        <w:pageBreakBefore w:val="0"/>
        <w:widowControl/>
        <w:numPr>
          <w:ilvl w:val="0"/>
          <w:numId w:val="0"/>
        </w:numPr>
        <w:kinsoku/>
        <w:wordWrap/>
        <w:overflowPunct w:val="0"/>
        <w:topLinePunct w:val="0"/>
        <w:autoSpaceDE/>
        <w:autoSpaceDN/>
        <w:bidi w:val="0"/>
        <w:adjustRightInd w:val="0"/>
        <w:snapToGrid w:val="0"/>
        <w:spacing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满足以上要求，则判定结论为Pass，否则为Fail。</w:t>
      </w:r>
    </w:p>
    <w:p w14:paraId="65C4B40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8A3B27"/>
    <w:multiLevelType w:val="multilevel"/>
    <w:tmpl w:val="D38A3B27"/>
    <w:lvl w:ilvl="0" w:tentative="0">
      <w:start w:val="1"/>
      <w:numFmt w:val="decimal"/>
      <w:lvlText w:val="%1."/>
      <w:lvlJc w:val="left"/>
      <w:pPr>
        <w:ind w:left="432" w:hanging="432"/>
      </w:pPr>
      <w:rPr>
        <w:rFonts w:hint="default"/>
      </w:rPr>
    </w:lvl>
    <w:lvl w:ilvl="1" w:tentative="0">
      <w:start w:val="1"/>
      <w:numFmt w:val="decimal"/>
      <w:pStyle w:val="4"/>
      <w:lvlText w:val="%1.%2."/>
      <w:lvlJc w:val="left"/>
      <w:pPr>
        <w:ind w:left="575" w:hanging="575"/>
      </w:pPr>
      <w:rPr>
        <w:rFonts w:hint="default" w:ascii="宋体" w:hAnsi="宋体" w:eastAsia="宋体" w:cs="宋体"/>
      </w:rPr>
    </w:lvl>
    <w:lvl w:ilvl="2" w:tentative="0">
      <w:start w:val="1"/>
      <w:numFmt w:val="decimal"/>
      <w:lvlText w:val="%1.%2.%3."/>
      <w:lvlJc w:val="left"/>
      <w:pPr>
        <w:ind w:left="720" w:hanging="720"/>
      </w:pPr>
      <w:rPr>
        <w:rFonts w:hint="default" w:ascii="宋体" w:hAnsi="宋体" w:eastAsia="宋体" w:cs="宋体"/>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769836"/>
    <w:multiLevelType w:val="multilevel"/>
    <w:tmpl w:val="FC769836"/>
    <w:lvl w:ilvl="0" w:tentative="0">
      <w:start w:val="20"/>
      <w:numFmt w:val="decimal"/>
      <w:lvlText w:val="%1"/>
      <w:lvlJc w:val="left"/>
      <w:pPr>
        <w:tabs>
          <w:tab w:val="left" w:pos="340"/>
        </w:tabs>
        <w:ind w:left="0" w:firstLine="0"/>
      </w:pPr>
      <w:rPr>
        <w:rFonts w:hint="default" w:ascii="Arial" w:hAnsi="Arial" w:eastAsia="黑体"/>
        <w:b w:val="0"/>
        <w:i w:val="0"/>
        <w:sz w:val="24"/>
        <w:szCs w:val="24"/>
      </w:rPr>
    </w:lvl>
    <w:lvl w:ilvl="1" w:tentative="0">
      <w:start w:val="1"/>
      <w:numFmt w:val="decimal"/>
      <w:lvlText w:val="%1.%2"/>
      <w:lvlJc w:val="left"/>
      <w:pPr>
        <w:tabs>
          <w:tab w:val="left" w:pos="567"/>
        </w:tabs>
        <w:ind w:left="0" w:firstLine="0"/>
      </w:pPr>
      <w:rPr>
        <w:rFonts w:hint="default" w:ascii="Arial" w:hAnsi="Arial" w:eastAsia="黑体"/>
        <w:b w:val="0"/>
        <w:i w:val="0"/>
        <w:sz w:val="24"/>
        <w:szCs w:val="24"/>
      </w:rPr>
    </w:lvl>
    <w:lvl w:ilvl="2" w:tentative="0">
      <w:start w:val="1"/>
      <w:numFmt w:val="decimal"/>
      <w:lvlText w:val="%1.%2.%3"/>
      <w:lvlJc w:val="left"/>
      <w:pPr>
        <w:tabs>
          <w:tab w:val="left" w:pos="765"/>
        </w:tabs>
        <w:ind w:left="480" w:firstLine="0"/>
      </w:pPr>
      <w:rPr>
        <w:rFonts w:hint="default" w:ascii="Arial" w:hAnsi="Arial" w:eastAsia="黑体"/>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
    <w:nsid w:val="0BF274A3"/>
    <w:multiLevelType w:val="multilevel"/>
    <w:tmpl w:val="0BF274A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5ED30B15"/>
    <w:multiLevelType w:val="multilevel"/>
    <w:tmpl w:val="5ED30B15"/>
    <w:lvl w:ilvl="0" w:tentative="0">
      <w:start w:val="1"/>
      <w:numFmt w:val="lowerLetter"/>
      <w:pStyle w:val="11"/>
      <w:lvlText w:val="%1)"/>
      <w:lvlJc w:val="left"/>
      <w:pPr>
        <w:ind w:left="987" w:hanging="420"/>
      </w:pPr>
      <w:rPr>
        <w:rFonts w:hint="eastAsia" w:cs="Times New Roman"/>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4D2672"/>
    <w:rsid w:val="0E4D2672"/>
    <w:rsid w:val="12786714"/>
    <w:rsid w:val="6F373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overflowPunct w:val="0"/>
      <w:adjustRightInd w:val="0"/>
      <w:snapToGrid w:val="0"/>
      <w:spacing w:line="360" w:lineRule="auto"/>
      <w:ind w:firstLine="480" w:firstLineChars="200"/>
    </w:pPr>
    <w:rPr>
      <w:rFonts w:ascii="Times New Roman" w:hAnsi="Times New Roman" w:eastAsia="宋体" w:cs="Times New Roman"/>
      <w:sz w:val="24"/>
      <w:szCs w:val="24"/>
      <w:lang w:val="en-US" w:eastAsia="zh-CN" w:bidi="ar-SA"/>
    </w:rPr>
  </w:style>
  <w:style w:type="paragraph" w:styleId="3">
    <w:name w:val="heading 1"/>
    <w:basedOn w:val="1"/>
    <w:next w:val="1"/>
    <w:qFormat/>
    <w:uiPriority w:val="0"/>
    <w:pPr>
      <w:keepNext/>
      <w:keepLines/>
      <w:spacing w:beforeLines="0" w:beforeAutospacing="0" w:afterLines="0" w:afterAutospacing="0" w:line="360" w:lineRule="auto"/>
      <w:ind w:firstLine="0" w:firstLineChars="0"/>
      <w:outlineLvl w:val="0"/>
    </w:pPr>
    <w:rPr>
      <w:rFonts w:ascii="Times New Roman" w:hAnsi="Times New Roman" w:eastAsia="宋体"/>
      <w:b/>
      <w:kern w:val="44"/>
      <w:sz w:val="32"/>
    </w:rPr>
  </w:style>
  <w:style w:type="paragraph" w:styleId="4">
    <w:name w:val="heading 2"/>
    <w:basedOn w:val="1"/>
    <w:next w:val="1"/>
    <w:qFormat/>
    <w:uiPriority w:val="0"/>
    <w:pPr>
      <w:numPr>
        <w:ilvl w:val="1"/>
        <w:numId w:val="1"/>
      </w:numPr>
      <w:spacing w:before="50" w:beforeLines="50" w:after="50" w:afterLines="50" w:line="440" w:lineRule="exact"/>
      <w:ind w:left="575" w:hanging="575" w:firstLineChars="0"/>
      <w:jc w:val="both"/>
      <w:outlineLvl w:val="1"/>
    </w:pPr>
    <w:rPr>
      <w:rFonts w:ascii="黑体" w:hAnsi="黑体" w:eastAsia="黑体" w:cs="Arial"/>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2">
    <w:name w:val="段"/>
    <w:next w:val="1"/>
    <w:qFormat/>
    <w:uiPriority w:val="0"/>
    <w:pPr>
      <w:autoSpaceDE w:val="0"/>
      <w:autoSpaceDN w:val="0"/>
      <w:adjustRightInd w:val="0"/>
      <w:snapToGrid w:val="0"/>
      <w:spacing w:line="400" w:lineRule="atLeast"/>
      <w:ind w:firstLine="480" w:firstLineChars="200"/>
    </w:pPr>
    <w:rPr>
      <w:rFonts w:ascii="宋体" w:hAnsi="宋体" w:eastAsia="宋体" w:cs="Times New Roman"/>
      <w:sz w:val="24"/>
      <w:lang w:val="en-US" w:eastAsia="zh-CN" w:bidi="ar-SA"/>
    </w:rPr>
  </w:style>
  <w:style w:type="paragraph" w:styleId="5">
    <w:name w:val="caption"/>
    <w:basedOn w:val="1"/>
    <w:next w:val="1"/>
    <w:qFormat/>
    <w:uiPriority w:val="0"/>
    <w:pPr>
      <w:spacing w:before="100" w:beforeAutospacing="1" w:line="240" w:lineRule="auto"/>
      <w:ind w:firstLine="3620" w:firstLineChars="1717"/>
      <w:jc w:val="right"/>
    </w:pPr>
    <w:rPr>
      <w:rFonts w:ascii="黑体"/>
      <w:b/>
      <w:sz w:val="21"/>
    </w:rPr>
  </w:style>
  <w:style w:type="table" w:styleId="7">
    <w:name w:val="Table Grid"/>
    <w:basedOn w:val="6"/>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9">
    <w:name w:val="标题1 5#"/>
    <w:basedOn w:val="10"/>
    <w:next w:val="10"/>
    <w:qFormat/>
    <w:uiPriority w:val="0"/>
    <w:pPr>
      <w:tabs>
        <w:tab w:val="left" w:pos="340"/>
      </w:tabs>
      <w:spacing w:before="50" w:beforeLines="50" w:after="50" w:afterLines="50"/>
      <w:ind w:firstLine="0" w:firstLineChars="0"/>
      <w:outlineLvl w:val="0"/>
    </w:pPr>
    <w:rPr>
      <w:rFonts w:ascii="Arial" w:hAnsi="Arial" w:eastAsia="黑体"/>
    </w:rPr>
  </w:style>
  <w:style w:type="paragraph" w:customStyle="1" w:styleId="10">
    <w:name w:val="段5#"/>
    <w:basedOn w:val="1"/>
    <w:qFormat/>
    <w:uiPriority w:val="0"/>
    <w:pPr>
      <w:widowControl w:val="0"/>
      <w:overflowPunct/>
      <w:adjustRightInd/>
      <w:snapToGrid/>
      <w:ind w:firstLine="200"/>
      <w:jc w:val="both"/>
    </w:pPr>
    <w:rPr>
      <w:rFonts w:ascii="Times New Roman" w:hAnsi="Times New Roman"/>
      <w:kern w:val="2"/>
      <w:szCs w:val="21"/>
    </w:rPr>
  </w:style>
  <w:style w:type="paragraph" w:styleId="11">
    <w:name w:val="List Paragraph"/>
    <w:basedOn w:val="1"/>
    <w:qFormat/>
    <w:uiPriority w:val="34"/>
    <w:pPr>
      <w:numPr>
        <w:ilvl w:val="0"/>
        <w:numId w:val="2"/>
      </w:numPr>
      <w:ind w:firstLine="0" w:firstLineChars="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1251</Words>
  <Characters>1417</Characters>
  <Lines>0</Lines>
  <Paragraphs>0</Paragraphs>
  <TotalTime>1</TotalTime>
  <ScaleCrop>false</ScaleCrop>
  <LinksUpToDate>false</LinksUpToDate>
  <CharactersWithSpaces>1423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2026-06-30T05:54:00Z</dcterms:created>
  <dc:creator>★心如薄荷自然凉★</dc:creator>
  <cp:lastModifiedBy>★心如薄荷自然凉★</cp:lastModifiedBy>
  <dcterms:modified xsi:type="dcterms:W3CDTF">2026-06-30T06:08:01Z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F877EE1F6D1341C8BE9EBEE5A21BA615_11</vt:lpwstr>
  </property>
  <property fmtid="{D5CDD505-2E9C-101B-9397-08002B2CF9AE}" pid="4" name="KSOTemplateDocerSaveRecord">
    <vt:lpwstr>eyJoZGlkIjoiNWQ5YWE5N2VhMmNkYWZhZTE5MjE0MDNjODBjNjE0YWYiLCJ1c2VySWQiOiIyMDgwNzA5NzUifQ==</vt:lpwstr>
  </property>
  <property fmtid="{D5CDD505-2E9C-101B-9397-08002B2CF9AE}" pid="5" name="5B77E7CEEC58BC6AFAE8886BEB80DBEB">
    <vt:lpwstr>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</vt:lpwstr>
  </property>
</Properties>
</file>