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Calibri" w:hAnsi="Calibri"/>
          <w:b/>
          <w:sz w:val="36"/>
        </w:rPr>
        <w:t>SAIF KHALFAN ALMAZROUEI</w:t>
      </w:r>
    </w:p>
    <w:p>
      <w:pPr>
        <w:spacing w:before="0" w:after="160"/>
        <w:jc w:val="center"/>
        <w:pBdr>
          <w:bottom w:val="single" w:sz="6" w:space="1" w:color="000000"/>
        </w:pBdr>
      </w:pPr>
      <w:r>
        <w:rPr>
          <w:rFonts w:ascii="Calibri" w:hAnsi="Calibri"/>
          <w:sz w:val="20"/>
        </w:rPr>
        <w:t>Madison, WI | skalmazrouei@wisc.edu | +1 (312) 366-6300 | +971 50 199 9047</w:t>
      </w:r>
    </w:p>
    <w:p>
      <w:pPr>
        <w:spacing w:before="160" w:after="80"/>
        <w:pBdr>
          <w:bottom w:val="single" w:sz="6" w:space="1" w:color="000000"/>
        </w:pBdr>
      </w:pPr>
      <w:r>
        <w:rPr>
          <w:b/>
          <w:sz w:val="24"/>
        </w:rPr>
        <w:t>EDUCATION</w:t>
      </w:r>
    </w:p>
    <w:p>
      <w:pPr>
        <w:spacing w:before="80" w:after="40"/>
      </w:pPr>
      <w:r>
        <w:rPr>
          <w:b/>
          <w:sz w:val="22"/>
        </w:rPr>
        <w:t>University of Wisconsin-Madison</w:t>
      </w:r>
      <w:r>
        <w:rPr>
          <w:sz w:val="22"/>
        </w:rPr>
        <w:t xml:space="preserve"> | B.S. Data Science, Computer Science, Information Science</w:t>
      </w:r>
    </w:p>
    <w:p>
      <w:pPr>
        <w:spacing w:before="0" w:after="40"/>
      </w:pPr>
      <w:r>
        <w:rPr>
          <w:sz w:val="20"/>
        </w:rPr>
        <w:t>Expected May 2026 | GPA: 3.6/4.0 | Minor: Digital Studies</w:t>
      </w:r>
    </w:p>
    <w:p>
      <w:pPr>
        <w:spacing w:before="0" w:after="120"/>
      </w:pPr>
      <w:r>
        <w:rPr>
          <w:sz w:val="20"/>
        </w:rPr>
        <w:t>Relevant Coursework: Artificial Intelligence (A), Linear Algebra (A), Algorithms, Machine Learning, Human-Computer Interaction, Data Science Programming, Machine Organization</w:t>
      </w:r>
    </w:p>
    <w:p>
      <w:pPr>
        <w:spacing w:before="120" w:after="80"/>
        <w:pBdr>
          <w:bottom w:val="single" w:sz="6" w:space="1" w:color="000000"/>
        </w:pBdr>
      </w:pPr>
      <w:r>
        <w:rPr>
          <w:b/>
          <w:sz w:val="24"/>
        </w:rPr>
        <w:t>RESEARCH</w:t>
      </w:r>
    </w:p>
    <w:p>
      <w:pPr>
        <w:spacing w:before="80" w:after="40"/>
      </w:pPr>
      <w:r>
        <w:rPr>
          <w:b/>
          <w:sz w:val="22"/>
        </w:rPr>
        <w:t>Anka: A Domain-Specific Language for Reliable LLM Code Generation</w:t>
      </w:r>
      <w:r>
        <w:rPr>
          <w:sz w:val="22"/>
        </w:rPr>
        <w:t xml:space="preserve"> | arXiv 2024</w:t>
      </w:r>
    </w:p>
    <w:p>
      <w:pPr>
        <w:spacing w:before="40" w:after="40"/>
        <w:ind w:left="288"/>
      </w:pPr>
      <w:r>
        <w:rPr>
          <w:sz w:val="20"/>
        </w:rPr>
        <w:t>• Designed and implemented a novel domain-specific language that achieves a 40 percentage point accuracy improvement over Python on multi-step code generation tasks, addressing systematic LLM failures in complex pipeline construction</w:t>
      </w:r>
    </w:p>
    <w:p>
      <w:pPr>
        <w:spacing w:before="40" w:after="40"/>
        <w:ind w:left="288"/>
      </w:pPr>
      <w:r>
        <w:rPr>
          <w:sz w:val="20"/>
        </w:rPr>
        <w:t>• Built complete language toolchain from scratch: Lark-based parser with 99 grammar rules, semantic analyzer with type checking, and tree-walking interpreter, validated by 322 automated tests achieving comprehensive coverage</w:t>
      </w:r>
    </w:p>
    <w:p>
      <w:pPr>
        <w:spacing w:before="40" w:after="40"/>
        <w:ind w:left="288"/>
      </w:pPr>
      <w:r>
        <w:rPr>
          <w:sz w:val="20"/>
        </w:rPr>
        <w:t>• Demonstrated zero-shot DSL learning: Claude 3.5 Haiku achieves 95.8% task accuracy and 99.9% parse success on a novel language with zero prior training exposure, learning entirely from in-context examples</w:t>
      </w:r>
    </w:p>
    <w:p>
      <w:pPr>
        <w:spacing w:before="40" w:after="40"/>
        <w:ind w:left="288"/>
      </w:pPr>
      <w:r>
        <w:rPr>
          <w:sz w:val="20"/>
        </w:rPr>
        <w:t>• Validated findings across model families (GPT-4o-mini: +26.7pp on complex pipelines); open-sourced complete implementation, 100-task benchmark suite, and evaluation framework for reproducibility</w:t>
      </w:r>
    </w:p>
    <w:p>
      <w:pPr>
        <w:spacing w:before="160" w:after="80"/>
        <w:pBdr>
          <w:bottom w:val="single" w:sz="6" w:space="1" w:color="000000"/>
        </w:pBdr>
      </w:pPr>
      <w:r>
        <w:rPr>
          <w:b/>
          <w:sz w:val="24"/>
        </w:rPr>
        <w:t>PATENTS &amp; INTELLECTUAL PROPERTY</w:t>
      </w:r>
    </w:p>
    <w:p>
      <w:pPr>
        <w:spacing w:before="80" w:after="40"/>
      </w:pPr>
      <w:r>
        <w:rPr>
          <w:b/>
          <w:sz w:val="22"/>
        </w:rPr>
        <w:t>USPTO Provisional Patent Applications</w:t>
      </w:r>
      <w:r>
        <w:rPr>
          <w:sz w:val="22"/>
        </w:rPr>
        <w:t xml:space="preserve"> | November 2025</w:t>
      </w:r>
    </w:p>
    <w:p>
      <w:pPr>
        <w:spacing w:before="40" w:after="40"/>
        <w:ind w:left="288"/>
      </w:pPr>
      <w:r>
        <w:rPr>
          <w:sz w:val="20"/>
        </w:rPr>
        <w:t>• Multi-Agent LLM Trading Architecture: Autonomous trading strategy generation system using structured debate protocols between specialized AI agents, enabling self-improving investment decisions through adversarial refinement</w:t>
      </w:r>
    </w:p>
    <w:p>
      <w:pPr>
        <w:spacing w:before="40" w:after="40"/>
        <w:ind w:left="288"/>
      </w:pPr>
      <w:r>
        <w:rPr>
          <w:sz w:val="20"/>
        </w:rPr>
        <w:t>• Cost-Optimized Single-Model Trading System: Novel persona-switching approach achieving comparable performance to multi-agent systems at 70-80% lower computational cost, democratizing AI-powered trading capabilities</w:t>
      </w:r>
    </w:p>
    <w:p>
      <w:pPr>
        <w:spacing w:before="40" w:after="40"/>
        <w:ind w:left="288"/>
      </w:pPr>
      <w:r>
        <w:rPr>
          <w:sz w:val="20"/>
        </w:rPr>
        <w:t>• Adaptive Multi-Dimensional Data Influence Scoring: Dynamic optimization framework for AI-powered decision-making that continuously recalibrates feature importance across diverse application domains</w:t>
      </w:r>
    </w:p>
    <w:p>
      <w:pPr>
        <w:spacing w:before="160" w:after="80"/>
        <w:pBdr>
          <w:bottom w:val="single" w:sz="6" w:space="1" w:color="000000"/>
        </w:pBdr>
      </w:pPr>
      <w:r>
        <w:rPr>
          <w:b/>
          <w:sz w:val="24"/>
        </w:rPr>
        <w:t>EXPERIENCE</w:t>
      </w:r>
    </w:p>
    <w:p>
      <w:pPr>
        <w:spacing w:before="80" w:after="40"/>
      </w:pPr>
      <w:r>
        <w:rPr>
          <w:b/>
          <w:sz w:val="22"/>
        </w:rPr>
        <w:t>Abu Dhabi Investment Authority</w:t>
      </w:r>
      <w:r>
        <w:rPr>
          <w:sz w:val="22"/>
        </w:rPr>
        <w:t xml:space="preserve"> | Central Investment Services Intern | Summer 2024</w:t>
      </w:r>
    </w:p>
    <w:p>
      <w:pPr>
        <w:spacing w:before="40" w:after="40"/>
        <w:ind w:left="288"/>
      </w:pPr>
      <w:r>
        <w:rPr>
          <w:sz w:val="20"/>
        </w:rPr>
        <w:t>• Spearheaded development of PRISM (PDF Retrieval, Interaction &amp; Smart Management): AI-powered tool that revolutionized investment data processing, reducing extraction time from 25.5 hours to 2 minutes per document (96% reduction) while achieving 98%+ accuracy</w:t>
      </w:r>
    </w:p>
    <w:p>
      <w:pPr>
        <w:spacing w:before="40" w:after="40"/>
        <w:ind w:left="288"/>
      </w:pPr>
      <w:r>
        <w:rPr>
          <w:sz w:val="20"/>
        </w:rPr>
        <w:t>• Engineered comprehensive end-to-end pipeline integrating Python, Streamlit, PyMuPDF, and LLM APIs to automate complex data analysis from 200+ sources; successfully deployed across 6 departments with full documentation for ADIA-wide integration</w:t>
      </w:r>
    </w:p>
    <w:p>
      <w:pPr>
        <w:spacing w:before="120" w:after="40"/>
      </w:pPr>
      <w:r>
        <w:rPr>
          <w:b/>
          <w:sz w:val="22"/>
        </w:rPr>
        <w:t>Abu Dhabi Investment Authority</w:t>
      </w:r>
      <w:r>
        <w:rPr>
          <w:sz w:val="22"/>
        </w:rPr>
        <w:t xml:space="preserve"> | IT Research Intern | Summer 2023</w:t>
      </w:r>
    </w:p>
    <w:p>
      <w:pPr>
        <w:spacing w:before="40" w:after="40"/>
        <w:ind w:left="288"/>
      </w:pPr>
      <w:r>
        <w:rPr>
          <w:sz w:val="20"/>
        </w:rPr>
        <w:t>• Collaborated with Goldman Sachs team to enhance financial analysis capabilities by developing an interactive dashboard for visualizing and analyzing investment portfolios, significantly improving data accessibility for decision-makers</w:t>
      </w:r>
    </w:p>
    <w:p>
      <w:pPr>
        <w:spacing w:before="40" w:after="40"/>
        <w:ind w:left="288"/>
      </w:pPr>
      <w:r>
        <w:rPr>
          <w:sz w:val="20"/>
        </w:rPr>
        <w:t>• Contributed to optimization of investment strategies through detailed basket analysis, providing actionable insights that informed portfolio management decisions across multiple asset classes</w:t>
      </w:r>
    </w:p>
    <w:p>
      <w:pPr>
        <w:spacing w:before="160" w:after="80"/>
        <w:pBdr>
          <w:bottom w:val="single" w:sz="6" w:space="1" w:color="000000"/>
        </w:pBdr>
      </w:pPr>
      <w:r>
        <w:rPr>
          <w:b/>
          <w:sz w:val="24"/>
        </w:rPr>
        <w:t>LEADERSHIP &amp; PROGRAMS</w:t>
      </w:r>
    </w:p>
    <w:p>
      <w:pPr>
        <w:spacing w:before="80" w:after="40"/>
      </w:pPr>
      <w:r>
        <w:rPr>
          <w:b/>
          <w:sz w:val="22"/>
        </w:rPr>
        <w:t>Masdar Youth 4 Sustainability</w:t>
      </w:r>
      <w:r>
        <w:rPr>
          <w:sz w:val="22"/>
        </w:rPr>
        <w:t xml:space="preserve"> | Future Sustainability Leader &amp; Ambassador | 2019-2024</w:t>
      </w:r>
    </w:p>
    <w:p>
      <w:pPr>
        <w:spacing w:before="40" w:after="40"/>
        <w:ind w:left="288"/>
      </w:pPr>
      <w:r>
        <w:rPr>
          <w:sz w:val="20"/>
        </w:rPr>
        <w:t>• Selected for elite Sustainability Ambassadors (2019-2020) and Future Sustainability Leaders (2023-2024) cohorts, with only 50 participants chosen annually from global applicant pool</w:t>
      </w:r>
    </w:p>
    <w:p>
      <w:pPr>
        <w:spacing w:before="40" w:after="40"/>
        <w:ind w:left="288"/>
      </w:pPr>
      <w:r>
        <w:rPr>
          <w:sz w:val="20"/>
        </w:rPr>
        <w:t>• Led workshops at Abu Dhabi Sustainability Week; collaborated with international policymakers on SDG implementation and clean energy transition strategies within Masdar's 41,000+ member Y4S network</w:t>
      </w:r>
    </w:p>
    <w:p>
      <w:pPr>
        <w:spacing w:before="120" w:after="40"/>
      </w:pPr>
      <w:r>
        <w:rPr>
          <w:b/>
          <w:sz w:val="22"/>
        </w:rPr>
        <w:t>Abu Dhabi Investment Authority Early Preparation Program</w:t>
      </w:r>
      <w:r>
        <w:rPr>
          <w:sz w:val="22"/>
        </w:rPr>
        <w:t xml:space="preserve"> | 2017-2020</w:t>
      </w:r>
    </w:p>
    <w:p>
      <w:pPr>
        <w:spacing w:before="40" w:after="40"/>
        <w:ind w:left="288"/>
      </w:pPr>
      <w:r>
        <w:rPr>
          <w:sz w:val="20"/>
        </w:rPr>
        <w:t>• Participated in career development seminars and international summer programs at University of Pennsylvania and in China</w:t>
      </w:r>
    </w:p>
    <w:p>
      <w:pPr>
        <w:spacing w:before="160" w:after="80"/>
        <w:pBdr>
          <w:bottom w:val="single" w:sz="6" w:space="1" w:color="000000"/>
        </w:pBdr>
      </w:pPr>
      <w:r>
        <w:rPr>
          <w:b/>
          <w:sz w:val="24"/>
        </w:rPr>
        <w:t>TECHNICAL SKILLS</w:t>
      </w:r>
    </w:p>
    <w:p>
      <w:pPr>
        <w:spacing w:before="80" w:after="40"/>
      </w:pPr>
      <w:r>
        <w:rPr>
          <w:b/>
          <w:sz w:val="20"/>
        </w:rPr>
        <w:t xml:space="preserve">Languages &amp; ML: </w:t>
      </w:r>
      <w:r>
        <w:rPr>
          <w:sz w:val="20"/>
        </w:rPr>
        <w:t>Python, PyTorch, TensorFlow, scikit-learn, Hugging Face Transformers, LangChain, OpenAI API, Anthropic API</w:t>
      </w:r>
    </w:p>
    <w:p>
      <w:pPr>
        <w:spacing w:before="40" w:after="40"/>
      </w:pPr>
      <w:r>
        <w:rPr>
          <w:b/>
          <w:sz w:val="20"/>
        </w:rPr>
        <w:t xml:space="preserve">Infrastructure &amp; Tools: </w:t>
      </w:r>
      <w:r>
        <w:rPr>
          <w:sz w:val="20"/>
        </w:rPr>
        <w:t>NumPy, Pandas, Git, Docker, AWS, CUDA, Linux, Streamlit, Jupyter, SQL</w:t>
      </w:r>
    </w:p>
    <w:p>
      <w:pPr>
        <w:spacing w:before="40" w:after="0"/>
      </w:pPr>
      <w:r>
        <w:rPr>
          <w:b/>
          <w:sz w:val="20"/>
        </w:rPr>
        <w:t xml:space="preserve">Compiler &amp; Language Design: </w:t>
      </w:r>
      <w:r>
        <w:rPr>
          <w:sz w:val="20"/>
        </w:rPr>
        <w:t>Lark (EBNF parsing), Abstract Syntax Trees, Semantic Analysis, Type Systems, Tree-Walking Interpreters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