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lang w:val="mn-Cyrl-MN"/>
        </w:rPr>
      </w:pPr>
      <w:r>
        <w:rPr>
          <w:b/>
          <w:sz w:val="28"/>
          <w:szCs w:val="28"/>
          <w:lang w:val="mn-Cyrl-MN"/>
        </w:rPr>
        <w:t>3ТЭНХМИЙН НЭР</w:t>
      </w:r>
    </w:p>
    <w:p>
      <w:pPr>
        <w:pStyle w:val="Normal"/>
        <w:tabs>
          <w:tab w:val="clear" w:pos="720"/>
          <w:tab w:val="left" w:pos="3940" w:leader="none"/>
        </w:tabs>
        <w:spacing w:lineRule="auto" w:line="276"/>
        <w:jc w:val="center"/>
        <w:rPr>
          <w:b/>
          <w:sz w:val="28"/>
          <w:szCs w:val="28"/>
          <w:lang w:val="mn-Cyrl-MN"/>
        </w:rPr>
      </w:pPr>
      <w:r>
        <w:rPr>
          <w:b/>
          <w:sz w:val="28"/>
          <w:szCs w:val="28"/>
          <w:lang w:val="mn-Cyrl-MN"/>
        </w:rPr>
      </w:r>
    </w:p>
    <w:p>
      <w:pPr>
        <w:pStyle w:val="Normal"/>
        <w:tabs>
          <w:tab w:val="clear" w:pos="720"/>
          <w:tab w:val="left" w:pos="3940" w:leader="none"/>
        </w:tabs>
        <w:spacing w:lineRule="auto" w:line="276"/>
        <w:jc w:val="center"/>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t>О. Орчлон</w:t>
      </w:r>
    </w:p>
    <w:p>
      <w:pPr>
        <w:pStyle w:val="Normal"/>
        <w:tabs>
          <w:tab w:val="clear" w:pos="720"/>
          <w:tab w:val="left" w:pos="3940" w:leader="none"/>
        </w:tabs>
        <w:spacing w:lineRule="auto" w:line="276"/>
        <w:jc w:val="end"/>
        <w:rPr>
          <w:sz w:val="28"/>
          <w:szCs w:val="28"/>
          <w:lang w:val="en-US"/>
        </w:rPr>
      </w:pPr>
      <w:r>
        <w:rPr>
          <w:sz w:val="28"/>
          <w:szCs w:val="28"/>
          <w:lang w:val="en-US"/>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center"/>
        <w:rPr>
          <w:b/>
          <w:sz w:val="28"/>
          <w:szCs w:val="28"/>
          <w:lang w:val="en-US"/>
        </w:rPr>
      </w:pPr>
      <w:r>
        <w:rPr>
          <w:b/>
          <w:sz w:val="28"/>
          <w:szCs w:val="28"/>
          <w:lang w:val="en-US"/>
        </w:rPr>
      </w:r>
    </w:p>
    <w:p>
      <w:pPr>
        <w:pStyle w:val="Normal"/>
        <w:tabs>
          <w:tab w:val="clear" w:pos="720"/>
          <w:tab w:val="left" w:pos="3940" w:leader="none"/>
        </w:tabs>
        <w:spacing w:lineRule="auto" w:line="276"/>
        <w:jc w:val="center"/>
        <w:rPr>
          <w:b/>
          <w:sz w:val="28"/>
          <w:szCs w:val="28"/>
          <w:lang w:val="en-US"/>
        </w:rPr>
      </w:pPr>
      <w:r>
        <w:rPr>
          <w:b/>
          <w:sz w:val="28"/>
          <w:szCs w:val="28"/>
          <w:lang w:val="en-US"/>
        </w:rPr>
      </w:r>
    </w:p>
    <w:p>
      <w:pPr>
        <w:pStyle w:val="Normal"/>
        <w:tabs>
          <w:tab w:val="clear" w:pos="720"/>
          <w:tab w:val="left" w:pos="3940" w:leader="none"/>
        </w:tabs>
        <w:spacing w:lineRule="auto" w:line="276"/>
        <w:jc w:val="center"/>
        <w:rPr>
          <w:b/>
          <w:sz w:val="34"/>
          <w:szCs w:val="34"/>
          <w:lang w:val="mn-Cyrl-MN"/>
        </w:rPr>
      </w:pPr>
      <w:r>
        <w:rPr>
          <w:b/>
          <w:sz w:val="34"/>
          <w:szCs w:val="34"/>
          <w:lang w:val="mn-Cyrl-MN"/>
        </w:rPr>
        <w:t xml:space="preserve">МОНГОЛЫН </w:t>
      </w:r>
      <w:r>
        <w:rPr>
          <w:b/>
          <w:sz w:val="34"/>
          <w:szCs w:val="34"/>
          <w:lang w:val="mn-Cyrl-MN"/>
        </w:rPr>
        <w:t>XX-XXI</w:t>
      </w:r>
      <w:r>
        <w:rPr>
          <w:b/>
          <w:sz w:val="34"/>
          <w:szCs w:val="34"/>
          <w:lang w:val="mn-Cyrl-MN"/>
        </w:rPr>
        <w:t xml:space="preserve"> ЗУУН</w:t>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480"/>
        <w:jc w:val="start"/>
        <w:rPr>
          <w:lang w:val="en-US"/>
        </w:rPr>
      </w:pPr>
      <w:r>
        <w:rPr>
          <w:lang w:val="mn-Cyrl-MN"/>
        </w:rPr>
        <w:t xml:space="preserve">Хичээлийн нэр: </w:t>
      </w:r>
      <w:r>
        <w:rPr/>
        <w:t>Монголын түүх, соёл</w:t>
      </w:r>
    </w:p>
    <w:p>
      <w:pPr>
        <w:pStyle w:val="Normal"/>
        <w:tabs>
          <w:tab w:val="clear" w:pos="720"/>
          <w:tab w:val="left" w:pos="3940" w:leader="none"/>
        </w:tabs>
        <w:spacing w:lineRule="auto" w:line="480"/>
        <w:jc w:val="start"/>
        <w:rPr>
          <w:lang w:val="mn-Cyrl-MN"/>
        </w:rPr>
      </w:pPr>
      <w:r>
        <w:rPr>
          <w:lang w:val="mn-Cyrl-MN"/>
        </w:rPr>
        <w:t>Хичээлийн код:</w:t>
      </w:r>
      <w:r>
        <w:rPr/>
        <w:t xml:space="preserve"> HCM102</w:t>
      </w:r>
    </w:p>
    <w:p>
      <w:pPr>
        <w:pStyle w:val="Normal"/>
        <w:tabs>
          <w:tab w:val="clear" w:pos="720"/>
          <w:tab w:val="left" w:pos="3940" w:leader="none"/>
        </w:tabs>
        <w:spacing w:lineRule="auto" w:line="276"/>
        <w:jc w:val="center"/>
        <w:rPr>
          <w:b/>
          <w:sz w:val="32"/>
          <w:szCs w:val="32"/>
          <w:lang w:val="en-US"/>
        </w:rPr>
      </w:pPr>
      <w:r>
        <w:rPr>
          <w:b/>
          <w:sz w:val="32"/>
          <w:szCs w:val="32"/>
          <w:lang w:val="en-US"/>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rPr>
      </w:pPr>
      <w:r>
        <w:rPr>
          <w:sz w:val="32"/>
          <w:szCs w:val="32"/>
        </w:rPr>
      </w:r>
    </w:p>
    <w:p>
      <w:pPr>
        <w:pStyle w:val="Normal"/>
        <w:tabs>
          <w:tab w:val="clear" w:pos="720"/>
          <w:tab w:val="left" w:pos="3940" w:leader="none"/>
        </w:tabs>
        <w:spacing w:lineRule="auto" w:line="276"/>
        <w:jc w:val="center"/>
        <w:rPr>
          <w:sz w:val="32"/>
          <w:szCs w:val="32"/>
        </w:rPr>
      </w:pPr>
      <w:r>
        <w:rPr>
          <w:sz w:val="32"/>
          <w:szCs w:val="32"/>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b/>
          <w:lang w:val="mn-Cyrl-MN"/>
        </w:rPr>
      </w:pPr>
      <w:r>
        <w:rPr>
          <w:b/>
          <w:lang w:val="mn-Cyrl-MN"/>
        </w:rPr>
        <w:t>УЛААНБААТАР ХОТ</w:t>
      </w:r>
    </w:p>
    <w:p>
      <w:pPr>
        <w:pStyle w:val="Normal"/>
        <w:tabs>
          <w:tab w:val="clear" w:pos="720"/>
          <w:tab w:val="left" w:pos="3940" w:leader="none"/>
        </w:tabs>
        <w:spacing w:lineRule="auto" w:line="276"/>
        <w:jc w:val="center"/>
        <w:rPr>
          <w:b/>
          <w:lang w:val="mn-Cyrl-MN"/>
        </w:rPr>
      </w:pPr>
      <w:r>
        <w:rPr>
          <w:b/>
          <w:lang w:val="mn-Cyrl-MN"/>
        </w:rPr>
        <w:t>20</w:t>
      </w:r>
      <w:r>
        <w:rPr>
          <w:b/>
          <w:lang w:val="en-US"/>
        </w:rPr>
        <w:t xml:space="preserve">26 </w:t>
      </w:r>
      <w:r>
        <w:rPr>
          <w:b/>
          <w:lang w:val="mn-Cyrl-MN"/>
        </w:rPr>
        <w:t>ОН</w:t>
      </w:r>
    </w:p>
    <w:p>
      <w:pPr>
        <w:pStyle w:val="Normal"/>
        <w:jc w:val="center"/>
        <w:rPr>
          <w:b/>
          <w:sz w:val="28"/>
          <w:szCs w:val="28"/>
          <w:lang w:val="mn-Cyrl-MN"/>
        </w:rPr>
      </w:pPr>
      <w:r>
        <w:rPr>
          <w:b/>
          <w:sz w:val="28"/>
          <w:szCs w:val="28"/>
          <w:lang w:val="mn-Cyrl-MN"/>
        </w:rPr>
        <w:t>ТЭНХМИЙН НЭР</w:t>
      </w:r>
    </w:p>
    <w:p>
      <w:pPr>
        <w:pStyle w:val="Normal"/>
        <w:spacing w:lineRule="auto" w:line="480"/>
        <w:jc w:val="center"/>
        <w:rPr>
          <w:bCs/>
          <w:kern w:val="2"/>
          <w:sz w:val="32"/>
          <w:szCs w:val="32"/>
        </w:rPr>
      </w:pPr>
      <w:r>
        <w:rPr>
          <w:bCs/>
          <w:kern w:val="2"/>
          <w:sz w:val="32"/>
          <w:szCs w:val="32"/>
        </w:rPr>
      </w:r>
    </w:p>
    <w:p>
      <w:pPr>
        <w:pStyle w:val="Normal"/>
        <w:jc w:val="center"/>
        <w:rPr>
          <w:bCs/>
          <w:kern w:val="2"/>
          <w:sz w:val="32"/>
          <w:szCs w:val="32"/>
        </w:rPr>
      </w:pPr>
      <w:r>
        <w:rPr>
          <w:bCs/>
          <w:kern w:val="2"/>
          <w:sz w:val="32"/>
          <w:szCs w:val="32"/>
        </w:rPr>
      </w:r>
    </w:p>
    <w:p>
      <w:pPr>
        <w:pStyle w:val="Normal"/>
        <w:tabs>
          <w:tab w:val="clear" w:pos="720"/>
          <w:tab w:val="left" w:pos="3940" w:leader="none"/>
        </w:tabs>
        <w:spacing w:lineRule="auto" w:line="276"/>
        <w:rPr>
          <w:b/>
          <w:color w:val="000000"/>
          <w:sz w:val="28"/>
          <w:szCs w:val="28"/>
          <w:lang w:val="mn-Cyrl-MN"/>
        </w:rPr>
      </w:pPr>
      <w:r>
        <w:rPr>
          <w:b/>
          <w:color w:val="000000"/>
          <w:sz w:val="28"/>
          <w:szCs w:val="28"/>
          <w:lang w:val="mn-Cyrl-MN"/>
        </w:rPr>
      </w:r>
    </w:p>
    <w:p>
      <w:pPr>
        <w:pStyle w:val="Normal"/>
        <w:tabs>
          <w:tab w:val="clear" w:pos="720"/>
          <w:tab w:val="left" w:pos="3940" w:leader="none"/>
        </w:tabs>
        <w:spacing w:lineRule="auto" w:line="276"/>
        <w:jc w:val="end"/>
        <w:rPr>
          <w:b/>
          <w:sz w:val="28"/>
          <w:szCs w:val="28"/>
          <w:lang w:val="mn-Cyrl-MN"/>
        </w:rPr>
      </w:pPr>
      <w:r>
        <w:rPr>
          <w:b/>
          <w:sz w:val="28"/>
          <w:szCs w:val="28"/>
          <w:lang w:val="mn-Cyrl-MN"/>
        </w:rPr>
      </w:r>
    </w:p>
    <w:p>
      <w:pPr>
        <w:pStyle w:val="Normal"/>
        <w:tabs>
          <w:tab w:val="clear" w:pos="720"/>
          <w:tab w:val="left" w:pos="3940" w:leader="none"/>
        </w:tabs>
        <w:spacing w:lineRule="auto" w:line="276"/>
        <w:jc w:val="center"/>
        <w:rPr>
          <w:b/>
          <w:sz w:val="28"/>
          <w:szCs w:val="28"/>
          <w:lang w:val="en-US"/>
        </w:rPr>
      </w:pPr>
      <w:r>
        <w:rPr>
          <w:b/>
          <w:sz w:val="28"/>
          <w:szCs w:val="28"/>
          <w:lang w:val="en-US"/>
        </w:rPr>
      </w:r>
    </w:p>
    <w:p>
      <w:pPr>
        <w:pStyle w:val="Normal"/>
        <w:tabs>
          <w:tab w:val="clear" w:pos="720"/>
          <w:tab w:val="left" w:pos="3940" w:leader="none"/>
        </w:tabs>
        <w:spacing w:lineRule="auto" w:line="276"/>
        <w:jc w:val="center"/>
        <w:rPr>
          <w:b/>
          <w:sz w:val="28"/>
          <w:szCs w:val="28"/>
          <w:lang w:val="en-US"/>
        </w:rPr>
      </w:pPr>
      <w:r>
        <w:rPr>
          <w:b/>
          <w:sz w:val="28"/>
          <w:szCs w:val="28"/>
          <w:lang w:val="en-US"/>
        </w:rPr>
      </w:r>
    </w:p>
    <w:p>
      <w:pPr>
        <w:pStyle w:val="Normal"/>
        <w:tabs>
          <w:tab w:val="clear" w:pos="720"/>
          <w:tab w:val="left" w:pos="3940" w:leader="none"/>
        </w:tabs>
        <w:spacing w:lineRule="auto" w:line="276"/>
        <w:jc w:val="center"/>
        <w:rPr>
          <w:b/>
          <w:sz w:val="28"/>
          <w:szCs w:val="28"/>
          <w:lang w:val="en-US"/>
        </w:rPr>
      </w:pPr>
      <w:r>
        <w:rPr>
          <w:b/>
          <w:sz w:val="28"/>
          <w:szCs w:val="28"/>
          <w:lang w:val="en-US"/>
        </w:rPr>
      </w:r>
    </w:p>
    <w:p>
      <w:pPr>
        <w:pStyle w:val="Normal"/>
        <w:tabs>
          <w:tab w:val="clear" w:pos="720"/>
          <w:tab w:val="left" w:pos="3940" w:leader="none"/>
        </w:tabs>
        <w:spacing w:lineRule="auto" w:line="276"/>
        <w:jc w:val="center"/>
        <w:rPr>
          <w:sz w:val="28"/>
          <w:szCs w:val="28"/>
          <w:lang w:val="en-US"/>
        </w:rPr>
      </w:pPr>
      <w:r>
        <w:rPr>
          <w:b/>
          <w:sz w:val="34"/>
          <w:szCs w:val="34"/>
          <w:lang w:val="mn-Cyrl-MN"/>
        </w:rPr>
        <w:t>МОНГОЛЫН 20-21 ЗУУН</w:t>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en-US"/>
        </w:rPr>
      </w:pPr>
      <w:r>
        <w:rPr>
          <w:sz w:val="28"/>
          <w:szCs w:val="28"/>
          <w:lang w:val="en-US"/>
        </w:rPr>
      </w:r>
    </w:p>
    <w:p>
      <w:pPr>
        <w:pStyle w:val="Normal"/>
        <w:tabs>
          <w:tab w:val="clear" w:pos="720"/>
          <w:tab w:val="left" w:pos="3940" w:leader="none"/>
        </w:tabs>
        <w:spacing w:lineRule="auto" w:line="276"/>
        <w:jc w:val="center"/>
        <w:rPr>
          <w:sz w:val="28"/>
          <w:szCs w:val="28"/>
          <w:lang w:val="mn-Cyrl-MN"/>
        </w:rPr>
      </w:pPr>
      <w:r>
        <w:rPr>
          <w:sz w:val="28"/>
          <w:szCs w:val="28"/>
          <w:lang w:val="mn-Cyrl-MN"/>
        </w:rPr>
      </w:r>
    </w:p>
    <w:p>
      <w:pPr>
        <w:pStyle w:val="Normal"/>
        <w:tabs>
          <w:tab w:val="clear" w:pos="720"/>
          <w:tab w:val="left" w:pos="3940" w:leader="none"/>
        </w:tabs>
        <w:spacing w:lineRule="auto" w:line="276"/>
        <w:jc w:val="center"/>
        <w:rPr>
          <w:sz w:val="28"/>
          <w:szCs w:val="28"/>
          <w:lang w:val="mn-Cyrl-MN"/>
        </w:rPr>
      </w:pPr>
      <w:r>
        <w:rPr>
          <w:sz w:val="28"/>
          <w:szCs w:val="28"/>
          <w:lang w:val="mn-Cyrl-MN"/>
        </w:rPr>
      </w:r>
    </w:p>
    <w:p>
      <w:pPr>
        <w:pStyle w:val="Normal"/>
        <w:tabs>
          <w:tab w:val="clear" w:pos="720"/>
          <w:tab w:val="left" w:pos="3940" w:leader="none"/>
        </w:tabs>
        <w:spacing w:lineRule="auto" w:line="276"/>
        <w:jc w:val="center"/>
        <w:rPr>
          <w:sz w:val="32"/>
          <w:szCs w:val="32"/>
        </w:rPr>
      </w:pPr>
      <w:r>
        <w:rPr>
          <w:sz w:val="32"/>
          <w:szCs w:val="32"/>
        </w:rPr>
      </w:r>
    </w:p>
    <w:p>
      <w:pPr>
        <w:pStyle w:val="Normal"/>
        <w:tabs>
          <w:tab w:val="clear" w:pos="720"/>
          <w:tab w:val="left" w:pos="3940" w:leader="none"/>
        </w:tabs>
        <w:spacing w:lineRule="auto" w:line="276"/>
        <w:jc w:val="center"/>
        <w:rPr>
          <w:sz w:val="32"/>
          <w:szCs w:val="32"/>
        </w:rPr>
      </w:pPr>
      <w:r>
        <w:rPr>
          <w:sz w:val="32"/>
          <w:szCs w:val="32"/>
        </w:rPr>
      </w:r>
    </w:p>
    <w:p>
      <w:pPr>
        <w:pStyle w:val="Normal"/>
        <w:tabs>
          <w:tab w:val="clear" w:pos="720"/>
          <w:tab w:val="left" w:pos="3940" w:leader="none"/>
        </w:tabs>
        <w:spacing w:lineRule="auto" w:line="276"/>
        <w:jc w:val="center"/>
        <w:rPr>
          <w:sz w:val="32"/>
          <w:szCs w:val="32"/>
        </w:rPr>
      </w:pPr>
      <w:r>
        <w:rPr>
          <w:sz w:val="32"/>
          <w:szCs w:val="32"/>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spacing w:lineRule="auto" w:line="240"/>
        <w:ind w:firstLine="426"/>
        <w:jc w:val="start"/>
        <w:rPr>
          <w:color w:val="000000"/>
          <w:sz w:val="28"/>
          <w:szCs w:val="28"/>
          <w:lang w:val="en-US"/>
        </w:rPr>
      </w:pPr>
      <w:r>
        <w:rPr>
          <w:color w:val="000000"/>
          <w:sz w:val="28"/>
          <w:szCs w:val="28"/>
          <w:lang w:val="mn-Cyrl-MN"/>
        </w:rPr>
        <w:t>Удирд</w:t>
      </w:r>
      <w:r>
        <w:rPr>
          <w:color w:val="000000"/>
          <w:sz w:val="28"/>
          <w:szCs w:val="28"/>
        </w:rPr>
        <w:t>c</w:t>
      </w:r>
      <w:r>
        <w:rPr>
          <w:color w:val="000000"/>
          <w:sz w:val="28"/>
          <w:szCs w:val="28"/>
          <w:lang w:val="mn-Cyrl-MN"/>
        </w:rPr>
        <w:t>ан багш</w:t>
      </w:r>
      <w:r>
        <w:rPr>
          <w:color w:val="000000"/>
          <w:sz w:val="28"/>
          <w:szCs w:val="28"/>
          <w:lang w:val="en-US"/>
        </w:rPr>
        <w:t xml:space="preserve"> . . . . . . . .  . . . .</w:t>
      </w:r>
      <w:r>
        <w:rPr>
          <w:color w:val="000000"/>
          <w:sz w:val="28"/>
          <w:szCs w:val="28"/>
          <w:lang w:val="mn-Cyrl-MN"/>
        </w:rPr>
        <w:t xml:space="preserve"> </w:t>
      </w:r>
      <w:r>
        <w:rPr>
          <w:color w:val="000000"/>
          <w:sz w:val="28"/>
          <w:szCs w:val="28"/>
          <w:lang w:val="en-US"/>
        </w:rPr>
        <w:t>. .../</w:t>
      </w:r>
      <w:r>
        <w:rPr>
          <w:color w:val="000000"/>
          <w:sz w:val="28"/>
          <w:szCs w:val="28"/>
          <w:lang w:val="mn-Cyrl-MN"/>
        </w:rPr>
        <w:t xml:space="preserve">Эрдмийн зэрэг, цол, </w:t>
      </w:r>
      <w:r>
        <w:rPr>
          <w:color w:val="000000"/>
          <w:sz w:val="28"/>
          <w:szCs w:val="28"/>
          <w:lang w:val="mn-Cyrl-MN"/>
        </w:rPr>
        <w:t>Б. Туяацэцэг</w:t>
      </w:r>
      <w:r>
        <w:rPr>
          <w:color w:val="000000"/>
          <w:sz w:val="28"/>
          <w:szCs w:val="28"/>
          <w:lang w:val="en-US"/>
        </w:rPr>
        <w:t>/</w:t>
      </w:r>
    </w:p>
    <w:p>
      <w:pPr>
        <w:pStyle w:val="Normal"/>
        <w:spacing w:lineRule="auto" w:line="240"/>
        <w:ind w:firstLine="426" w:start="1146"/>
        <w:jc w:val="start"/>
        <w:rPr>
          <w:color w:val="000000"/>
          <w:sz w:val="28"/>
          <w:szCs w:val="28"/>
          <w:lang w:val="en-US"/>
        </w:rPr>
      </w:pPr>
      <w:r>
        <w:rPr>
          <w:color w:val="000000"/>
          <w:sz w:val="28"/>
          <w:szCs w:val="28"/>
          <w:lang w:val="en-US"/>
        </w:rPr>
      </w:r>
    </w:p>
    <w:p>
      <w:pPr>
        <w:pStyle w:val="Normal"/>
        <w:spacing w:lineRule="auto" w:line="240"/>
        <w:ind w:firstLine="426"/>
        <w:jc w:val="start"/>
        <w:rPr>
          <w:color w:val="000000"/>
          <w:sz w:val="28"/>
          <w:szCs w:val="28"/>
          <w:lang w:val="en-US"/>
        </w:rPr>
      </w:pPr>
      <w:r>
        <w:rPr>
          <w:color w:val="000000"/>
          <w:sz w:val="28"/>
          <w:szCs w:val="28"/>
          <w:lang w:val="mn-Cyrl-MN"/>
        </w:rPr>
        <w:t>Гүйцэтгэсэн оюутан</w:t>
      </w:r>
      <w:r>
        <w:rPr>
          <w:color w:val="000000"/>
          <w:sz w:val="28"/>
          <w:szCs w:val="28"/>
          <w:lang w:val="en-US"/>
        </w:rPr>
        <w:t>: . . . . . . . . . . . . . . ../О. Орчлон</w:t>
      </w:r>
      <w:r>
        <w:rPr>
          <w:color w:val="000000"/>
          <w:sz w:val="28"/>
          <w:szCs w:val="28"/>
          <w:lang w:val="mn-Cyrl-MN"/>
        </w:rPr>
        <w:t>, ПХ-4</w:t>
      </w:r>
      <w:r>
        <w:rPr>
          <w:color w:val="000000"/>
          <w:sz w:val="28"/>
          <w:szCs w:val="28"/>
          <w:lang w:val="en-US"/>
        </w:rPr>
        <w:t>/</w:t>
      </w:r>
    </w:p>
    <w:p>
      <w:pPr>
        <w:pStyle w:val="Normal"/>
        <w:spacing w:lineRule="auto" w:line="240"/>
        <w:ind w:firstLine="426" w:start="1146"/>
        <w:jc w:val="start"/>
        <w:rPr>
          <w:color w:val="000000"/>
          <w:sz w:val="28"/>
          <w:szCs w:val="28"/>
          <w:lang w:val="en-US"/>
        </w:rPr>
      </w:pPr>
      <w:r>
        <w:rPr>
          <w:color w:val="000000"/>
          <w:sz w:val="28"/>
          <w:szCs w:val="28"/>
          <w:lang w:val="en-US"/>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sz w:val="32"/>
          <w:szCs w:val="32"/>
          <w:lang w:val="mn-Cyrl-MN"/>
        </w:rPr>
      </w:pPr>
      <w:r>
        <w:rPr>
          <w:sz w:val="32"/>
          <w:szCs w:val="32"/>
          <w:lang w:val="mn-Cyrl-MN"/>
        </w:rPr>
      </w:r>
    </w:p>
    <w:p>
      <w:pPr>
        <w:pStyle w:val="Normal"/>
        <w:tabs>
          <w:tab w:val="clear" w:pos="720"/>
          <w:tab w:val="left" w:pos="3940" w:leader="none"/>
        </w:tabs>
        <w:spacing w:lineRule="auto" w:line="276"/>
        <w:jc w:val="center"/>
        <w:rPr>
          <w:b/>
          <w:lang w:val="mn-Cyrl-MN"/>
        </w:rPr>
      </w:pPr>
      <w:r>
        <w:rPr>
          <w:b/>
          <w:lang w:val="mn-Cyrl-MN"/>
        </w:rPr>
        <w:t>УЛААНБААТАР ХОТ</w:t>
      </w:r>
    </w:p>
    <w:p>
      <w:pPr>
        <w:pStyle w:val="Normal"/>
        <w:tabs>
          <w:tab w:val="clear" w:pos="720"/>
          <w:tab w:val="left" w:pos="3940" w:leader="none"/>
        </w:tabs>
        <w:spacing w:lineRule="auto" w:line="276" w:before="0" w:after="0"/>
        <w:jc w:val="center"/>
        <w:rPr>
          <w:b/>
          <w:lang w:val="mn-Cyrl-MN"/>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1" w:gutter="0" w:header="720" w:top="1134" w:footer="720" w:bottom="1134"/>
          <w:pgNumType w:fmt="decimal"/>
          <w:formProt w:val="false"/>
          <w:textDirection w:val="lrTb"/>
          <w:docGrid w:type="default" w:linePitch="100" w:charSpace="0"/>
        </w:sectPr>
      </w:pPr>
      <w:r>
        <w:rPr>
          <w:b/>
          <w:lang w:val="mn-Cyrl-MN"/>
        </w:rPr>
        <w:t>20</w:t>
      </w:r>
      <w:r>
        <w:rPr>
          <w:b/>
          <w:lang w:val="en-US"/>
        </w:rPr>
        <w:t>26</w:t>
      </w:r>
      <w:r>
        <w:rPr>
          <w:b/>
          <w:lang w:val="mn-Cyrl-MN"/>
        </w:rPr>
        <w:t xml:space="preserve"> ОН</w:t>
      </w:r>
    </w:p>
    <w:p>
      <w:pPr>
        <w:pStyle w:val="NoSpacing"/>
        <w:spacing w:before="0" w:after="0"/>
        <w:rPr>
          <w:lang w:val="mn-Cyrl-MN"/>
        </w:rPr>
      </w:pPr>
      <w:r>
        <w:rPr>
          <w:lang w:val="mn-Cyrl-MN"/>
        </w:rPr>
        <w:t xml:space="preserve"> </w:t>
      </w:r>
    </w:p>
    <w:p>
      <w:pPr>
        <w:pStyle w:val="Heading1"/>
        <w:numPr>
          <w:ilvl w:val="0"/>
          <w:numId w:val="0"/>
        </w:numPr>
        <w:ind w:hanging="0" w:start="360"/>
        <w:rPr>
          <w:lang w:val="mn-Cyrl-MN"/>
        </w:rPr>
      </w:pPr>
      <w:bookmarkStart w:id="0" w:name="__RefHeading___Toc944_4272085025"/>
      <w:bookmarkStart w:id="1" w:name="_Toc509411122"/>
      <w:bookmarkEnd w:id="0"/>
      <w:r>
        <w:rPr>
          <w:lang w:val="mn-Cyrl-MN"/>
        </w:rPr>
        <w:t>АГУУЛГА</w:t>
      </w:r>
      <w:bookmarkEnd w:id="1"/>
    </w:p>
    <w:p>
      <w:pPr>
        <w:pStyle w:val="TOCHeading"/>
        <w:ind w:hanging="0" w:start="0"/>
        <w:rPr>
          <w:lang w:val="mn-Cyrl-MN"/>
        </w:rPr>
      </w:pPr>
      <w:r>
        <w:rPr>
          <w:lang w:val="mn-Cyrl-MN"/>
        </w:rPr>
      </w:r>
    </w:p>
    <w:sdt>
      <w:sdtPr>
        <w:docPartObj>
          <w:docPartGallery w:val="Table of Contents"/>
          <w:docPartUnique w:val="true"/>
        </w:docPartObj>
      </w:sdtPr>
      <w:sdtContent>
        <w:p>
          <w:pPr>
            <w:pStyle w:val="TOC1"/>
            <w:tabs>
              <w:tab w:val="clear" w:pos="720"/>
              <w:tab w:val="right" w:pos="8819" w:leader="dot"/>
            </w:tabs>
            <w:rPr/>
          </w:pPr>
          <w:r>
            <w:fldChar w:fldCharType="begin"/>
          </w:r>
          <w:r>
            <w:rPr>
              <w:rStyle w:val="IndexLink"/>
            </w:rPr>
            <w:instrText xml:space="preserve"> TOC \o "1-3" \h</w:instrText>
          </w:r>
          <w:r>
            <w:rPr>
              <w:rStyle w:val="IndexLink"/>
            </w:rPr>
            <w:fldChar w:fldCharType="separate"/>
          </w:r>
          <w:hyperlink w:anchor="__RefHeading___Toc944_4272085025" w:tooltip="АГУУЛГА">
            <w:r>
              <w:rPr>
                <w:rStyle w:val="IndexLink"/>
              </w:rPr>
              <w:t>АГУУЛГА</w:t>
              <w:tab/>
              <w:t>i</w:t>
            </w:r>
          </w:hyperlink>
        </w:p>
        <w:p>
          <w:pPr>
            <w:pStyle w:val="TOC1"/>
            <w:tabs>
              <w:tab w:val="clear" w:pos="720"/>
              <w:tab w:val="right" w:pos="8819" w:leader="dot"/>
            </w:tabs>
            <w:rPr/>
          </w:pPr>
          <w:hyperlink w:anchor="__RefHeading___Toc950_4272085025" w:tooltip="ОРШИЛ (Times New Roman, 12pt, Bold, зүүн талдаа зэрэгцэх)">
            <w:r>
              <w:rPr>
                <w:rStyle w:val="IndexLink"/>
              </w:rPr>
              <w:t>ОРШИЛ (Times New Roman, 12pt, Bold, зүүн талдаа зэрэгцэх)</w:t>
              <w:tab/>
              <w:t>2</w:t>
            </w:r>
          </w:hyperlink>
        </w:p>
        <w:p>
          <w:pPr>
            <w:pStyle w:val="TOC1"/>
            <w:tabs>
              <w:tab w:val="clear" w:pos="720"/>
              <w:tab w:val="right" w:pos="8819" w:leader="dot"/>
            </w:tabs>
            <w:rPr/>
          </w:pPr>
          <w:hyperlink w:anchor="__RefHeading___Toc952_4272085025" w:tooltip="НЭГ. ТУСГААР ТОГТНОЛ БА ЭРТ ҮЕ">
            <w:r>
              <w:rPr>
                <w:rStyle w:val="IndexLink"/>
              </w:rPr>
              <w:t>НЭГ. ТУСГААР ТОГТНОЛ БА ЭРТ ҮЕ</w:t>
              <w:tab/>
              <w:t>2</w:t>
            </w:r>
          </w:hyperlink>
        </w:p>
        <w:p>
          <w:pPr>
            <w:pStyle w:val="TOC2"/>
            <w:tabs>
              <w:tab w:val="clear" w:pos="720"/>
              <w:tab w:val="right" w:pos="8819" w:leader="dot"/>
            </w:tabs>
            <w:rPr/>
          </w:pPr>
          <w:hyperlink w:anchor="__RefHeading___Toc954_4272085025" w:tooltip="Чин улсын захиргаанаас тусгаарласан нь">
            <w:r>
              <w:rPr>
                <w:rStyle w:val="IndexLink"/>
              </w:rPr>
              <w:t>1. Чин улсын захиргаанаас тусгаарласан нь</w:t>
              <w:tab/>
              <w:t>2</w:t>
            </w:r>
          </w:hyperlink>
        </w:p>
        <w:p>
          <w:pPr>
            <w:pStyle w:val="TOC2"/>
            <w:tabs>
              <w:tab w:val="clear" w:pos="720"/>
              <w:tab w:val="right" w:pos="8819" w:leader="dot"/>
            </w:tabs>
            <w:rPr/>
          </w:pPr>
          <w:hyperlink w:anchor="__RefHeading___Toc956_4272085025" w:tooltip="Теократ засаглалын үе">
            <w:r>
              <w:rPr>
                <w:rStyle w:val="IndexLink"/>
              </w:rPr>
              <w:t>1.1 Теократ засаглалын үе</w:t>
              <w:tab/>
              <w:t>3</w:t>
            </w:r>
          </w:hyperlink>
        </w:p>
        <w:p>
          <w:pPr>
            <w:pStyle w:val="TOC1"/>
            <w:tabs>
              <w:tab w:val="clear" w:pos="720"/>
              <w:tab w:val="right" w:pos="8819" w:leader="dot"/>
            </w:tabs>
            <w:rPr/>
          </w:pPr>
          <w:hyperlink w:anchor="__RefHeading___Toc958_4272085025" w:tooltip="ХОЁР. АРДЫН ХУВЬСГАЛ БА СОЦИАЛИСТ ҮЕ (1921–1990)">
            <w:r>
              <w:rPr>
                <w:rStyle w:val="IndexLink"/>
              </w:rPr>
              <w:t>ХОЁР. АРДЫН ХУВЬСГАЛ БА СОЦИАЛИСТ ҮЕ (1921–1990)</w:t>
              <w:tab/>
              <w:t>3</w:t>
            </w:r>
          </w:hyperlink>
        </w:p>
        <w:p>
          <w:pPr>
            <w:pStyle w:val="TOC2"/>
            <w:tabs>
              <w:tab w:val="clear" w:pos="720"/>
              <w:tab w:val="right" w:pos="8819" w:leader="dot"/>
            </w:tabs>
            <w:rPr/>
          </w:pPr>
          <w:hyperlink w:anchor="__RefHeading___Toc960_4272085025" w:tooltip="2.1 1921 оны Ардын Хувьсгал">
            <w:r>
              <w:rPr>
                <w:rStyle w:val="IndexLink"/>
              </w:rPr>
              <w:t>2.1 1921 оны Ардын Хувьсгал</w:t>
              <w:tab/>
              <w:t>3</w:t>
            </w:r>
          </w:hyperlink>
        </w:p>
        <w:p>
          <w:pPr>
            <w:pStyle w:val="TOC2"/>
            <w:tabs>
              <w:tab w:val="clear" w:pos="720"/>
              <w:tab w:val="right" w:pos="8819" w:leader="dot"/>
            </w:tabs>
            <w:rPr/>
          </w:pPr>
          <w:hyperlink w:anchor="__RefHeading___Toc962_4272085025" w:tooltip=".2 Социалист байгуулалт ба Чойбалсангийн хэлмэгдүүлэлт (1930–1952)">
            <w:r>
              <w:rPr>
                <w:rStyle w:val="IndexLink"/>
              </w:rPr>
              <w:t>2 .2 Социалист байгуулалт ба Чойбалсангийн хэлмэгдүүлэлт (1930–1952)</w:t>
              <w:tab/>
              <w:t>3</w:t>
            </w:r>
          </w:hyperlink>
        </w:p>
        <w:p>
          <w:pPr>
            <w:pStyle w:val="TOC2"/>
            <w:tabs>
              <w:tab w:val="clear" w:pos="720"/>
              <w:tab w:val="right" w:pos="8819" w:leader="dot"/>
            </w:tabs>
            <w:rPr/>
          </w:pPr>
          <w:hyperlink w:anchor="__RefHeading___Toc962_4272085025_Copy_1" w:tooltip="2.3 Социализмын тогтворжилт ба хөгжил (1952–1990)">
            <w:r>
              <w:rPr>
                <w:rStyle w:val="IndexLink"/>
              </w:rPr>
              <w:t>2.3 Социализмын тогтворжилт ба хөгжил (1952–1990)</w:t>
              <w:tab/>
              <w:t>4</w:t>
            </w:r>
          </w:hyperlink>
        </w:p>
        <w:p>
          <w:pPr>
            <w:pStyle w:val="TOC1"/>
            <w:tabs>
              <w:tab w:val="clear" w:pos="720"/>
              <w:tab w:val="right" w:pos="8819" w:leader="dot"/>
            </w:tabs>
            <w:rPr/>
          </w:pPr>
          <w:hyperlink w:anchor="__RefHeading___Toc1266_4272085025" w:tooltip="ГУРАВ. АРДЧИЛСАН ШИЛЖИЛТ (1990–2000)">
            <w:r>
              <w:rPr>
                <w:rStyle w:val="IndexLink"/>
              </w:rPr>
              <w:t>ГУРАВ. АРДЧИЛСАН ШИЛЖИЛТ (1990–2000)</w:t>
              <w:tab/>
              <w:t>4</w:t>
            </w:r>
          </w:hyperlink>
        </w:p>
        <w:p>
          <w:pPr>
            <w:pStyle w:val="TOC2"/>
            <w:tabs>
              <w:tab w:val="clear" w:pos="720"/>
              <w:tab w:val="right" w:pos="8819" w:leader="dot"/>
            </w:tabs>
            <w:rPr/>
          </w:pPr>
          <w:hyperlink w:anchor="__RefHeading___Toc1268_4272085025" w:tooltip="3.1 Ардчилсан хөдөлгөөн ба үндсэн хуулийн шинэчлэл">
            <w:r>
              <w:rPr>
                <w:rStyle w:val="IndexLink"/>
              </w:rPr>
              <w:t>3.1 Ардчилсан хөдөлгөөн ба үндсэн хуулийн шинэчлэл</w:t>
              <w:tab/>
              <w:t>5</w:t>
            </w:r>
          </w:hyperlink>
        </w:p>
        <w:p>
          <w:pPr>
            <w:pStyle w:val="TOC2"/>
            <w:tabs>
              <w:tab w:val="clear" w:pos="720"/>
              <w:tab w:val="right" w:pos="8819" w:leader="dot"/>
            </w:tabs>
            <w:rPr/>
          </w:pPr>
          <w:hyperlink w:anchor="__RefHeading___Toc1270_4272085025" w:tooltip="3.2 Зах зээлийн шилжилтийн зовлон">
            <w:r>
              <w:rPr>
                <w:rStyle w:val="IndexLink"/>
              </w:rPr>
              <w:t>3.2 Зах зээлийн шилжилтийн зовлон</w:t>
              <w:tab/>
              <w:t>5</w:t>
            </w:r>
          </w:hyperlink>
        </w:p>
        <w:p>
          <w:pPr>
            <w:pStyle w:val="TOC1"/>
            <w:tabs>
              <w:tab w:val="clear" w:pos="720"/>
              <w:tab w:val="right" w:pos="8819" w:leader="dot"/>
            </w:tabs>
            <w:rPr/>
          </w:pPr>
          <w:hyperlink w:anchor="__RefHeading___Toc1272_4272085025" w:tooltip="Дөрөв. XXI ЗУУН: ХӨГЖИЛ, СОРИЛТ БА ИРЭЭДҮЙ (2000–ӨДИЙГ ХҮРТЭЛ)">
            <w:r>
              <w:rPr>
                <w:rStyle w:val="IndexLink"/>
              </w:rPr>
              <w:t>Дөрөв. XXI ЗУУН: ХӨГЖИЛ, СОРИЛТ БА ИРЭЭДҮЙ (2000–ӨДИЙГ ХҮРТЭЛ)</w:t>
              <w:tab/>
              <w:t>5</w:t>
            </w:r>
          </w:hyperlink>
        </w:p>
        <w:p>
          <w:pPr>
            <w:pStyle w:val="TOC2"/>
            <w:tabs>
              <w:tab w:val="clear" w:pos="720"/>
              <w:tab w:val="right" w:pos="8819" w:leader="dot"/>
            </w:tabs>
            <w:rPr/>
          </w:pPr>
          <w:hyperlink w:anchor="__RefHeading___Toc1274_4272085025" w:tooltip="4.1 Уул уурхайн бум ба эдийн засгийн өсөлт">
            <w:r>
              <w:rPr>
                <w:rStyle w:val="IndexLink"/>
              </w:rPr>
              <w:t>4.1 Уул уурхайн бум ба эдийн засгийн өсөлт</w:t>
              <w:tab/>
              <w:t>6</w:t>
            </w:r>
          </w:hyperlink>
        </w:p>
        <w:p>
          <w:pPr>
            <w:pStyle w:val="TOC2"/>
            <w:tabs>
              <w:tab w:val="clear" w:pos="720"/>
              <w:tab w:val="right" w:pos="8819" w:leader="dot"/>
            </w:tabs>
            <w:rPr/>
          </w:pPr>
          <w:hyperlink w:anchor="__RefHeading___Toc1276_4272085025" w:tooltip="4.2 Ардчилсан засаглал ба улс төрийн хөгжил">
            <w:r>
              <w:rPr>
                <w:rStyle w:val="IndexLink"/>
              </w:rPr>
              <w:t>4.2 Ардчилсан засаглал ба улс төрийн хөгжил</w:t>
              <w:tab/>
              <w:t>6</w:t>
            </w:r>
          </w:hyperlink>
        </w:p>
        <w:p>
          <w:pPr>
            <w:pStyle w:val="TOC2"/>
            <w:tabs>
              <w:tab w:val="clear" w:pos="720"/>
              <w:tab w:val="right" w:pos="8819" w:leader="dot"/>
            </w:tabs>
            <w:rPr/>
          </w:pPr>
          <w:hyperlink w:anchor="__RefHeading___Toc1278_4272085025" w:tooltip="4.3 Нийгэм, соёл, хүрээлэн буй орчны асуудал">
            <w:r>
              <w:rPr>
                <w:rStyle w:val="IndexLink"/>
              </w:rPr>
              <w:t>4.3 Нийгэм, соёл, хүрээлэн буй орчны асуудал</w:t>
              <w:tab/>
              <w:t>6</w:t>
            </w:r>
          </w:hyperlink>
        </w:p>
        <w:p>
          <w:pPr>
            <w:pStyle w:val="TOC1"/>
            <w:tabs>
              <w:tab w:val="clear" w:pos="720"/>
              <w:tab w:val="right" w:pos="8819" w:leader="dot"/>
            </w:tabs>
            <w:rPr/>
          </w:pPr>
          <w:hyperlink w:anchor="__RefHeading___Toc964_4272085025" w:tooltip="дүгнэлт">
            <w:r>
              <w:rPr>
                <w:rStyle w:val="IndexLink"/>
              </w:rPr>
              <w:t>дүгнэлт</w:t>
              <w:tab/>
              <w:t>8</w:t>
            </w:r>
          </w:hyperlink>
        </w:p>
        <w:p>
          <w:pPr>
            <w:pStyle w:val="TOC1"/>
            <w:tabs>
              <w:tab w:val="clear" w:pos="720"/>
              <w:tab w:val="right" w:pos="8819" w:leader="dot"/>
            </w:tabs>
            <w:rPr/>
          </w:pPr>
          <w:hyperlink w:anchor="__RefHeading___Toc966_4272085025" w:tooltip="АШИГЛАСАН НОМ ЗҮЙ">
            <w:r>
              <w:rPr>
                <w:rStyle w:val="IndexLink"/>
              </w:rPr>
              <w:t>АШИГЛАСАН НОМ ЗҮЙ</w:t>
              <w:tab/>
              <w:t>9</w:t>
            </w:r>
          </w:hyperlink>
          <w:r>
            <w:rPr>
              <w:rStyle w:val="IndexLink"/>
            </w:rPr>
            <w:fldChar w:fldCharType="end"/>
          </w:r>
        </w:p>
      </w:sdtContent>
    </w:sdt>
    <w:p>
      <w:pPr>
        <w:pStyle w:val="Normal"/>
        <w:rPr/>
      </w:pPr>
      <w:r>
        <w:rPr/>
      </w:r>
    </w:p>
    <w:p>
      <w:pPr>
        <w:pStyle w:val="Normal"/>
        <w:rPr/>
      </w:pPr>
      <w:r>
        <w:rPr/>
      </w:r>
    </w:p>
    <w:p>
      <w:pPr>
        <w:pStyle w:val="Normal"/>
        <w:rPr>
          <w:rFonts w:ascii="Calibri" w:hAnsi="Calibri"/>
          <w:sz w:val="22"/>
          <w:szCs w:val="22"/>
          <w:lang w:val="en-US"/>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10" w:right="1376" w:gutter="0" w:header="720" w:top="1418" w:footer="720" w:bottom="1418"/>
          <w:pgNumType w:start="1" w:fmt="lowerRoman"/>
          <w:formProt w:val="false"/>
          <w:textDirection w:val="lrTb"/>
          <w:docGrid w:type="default" w:linePitch="100" w:charSpace="0"/>
        </w:sectPr>
      </w:pPr>
      <w:r>
        <w:rPr>
          <w:rFonts w:ascii="Calibri" w:hAnsi="Calibri"/>
          <w:sz w:val="22"/>
          <w:szCs w:val="22"/>
          <w:lang w:val="en-US"/>
        </w:rPr>
      </w:r>
    </w:p>
    <w:p>
      <w:pPr>
        <w:pStyle w:val="Normal"/>
        <w:spacing w:lineRule="auto" w:line="276"/>
        <w:jc w:val="start"/>
        <w:rPr>
          <w:rFonts w:eastAsia="Calibri"/>
          <w:color w:val="000000"/>
          <w:lang w:val="en-US"/>
        </w:rPr>
      </w:pPr>
      <w:r>
        <w:rPr>
          <w:rFonts w:eastAsia="Calibri"/>
          <w:color w:val="000000"/>
          <w:lang w:val="en-US"/>
        </w:rPr>
      </w:r>
    </w:p>
    <w:p>
      <w:pPr>
        <w:pStyle w:val="Normal"/>
        <w:spacing w:lineRule="auto" w:line="276"/>
        <w:jc w:val="start"/>
        <w:rPr>
          <w:rFonts w:eastAsia="Calibri"/>
          <w:color w:val="000000"/>
          <w:lang w:val="en-US"/>
        </w:rPr>
      </w:pPr>
      <w:r>
        <w:rPr>
          <w:rFonts w:eastAsia="Calibri"/>
          <w:color w:val="000000"/>
          <w:lang w:val="en-US"/>
        </w:rPr>
      </w:r>
    </w:p>
    <w:p>
      <w:pPr>
        <w:pStyle w:val="Heading1"/>
        <w:numPr>
          <w:ilvl w:val="0"/>
          <w:numId w:val="0"/>
        </w:numPr>
        <w:spacing w:lineRule="auto" w:line="276"/>
        <w:ind w:hanging="360" w:start="360"/>
        <w:jc w:val="both"/>
        <w:rPr>
          <w:rFonts w:eastAsia="Calibri"/>
          <w:lang w:val="en-US"/>
        </w:rPr>
      </w:pPr>
      <w:bookmarkStart w:id="14" w:name="__RefHeading___Toc950_4272085025"/>
      <w:bookmarkStart w:id="15" w:name="_Toc509411125"/>
      <w:bookmarkEnd w:id="14"/>
      <w:r>
        <w:rPr>
          <w:rFonts w:eastAsia="Calibri"/>
          <w:lang w:val="en-US"/>
        </w:rPr>
        <w:t>ОРШИЛ (Times New Roman, 12pt, Bold, зүүн талдаа зэрэгцэх)</w:t>
      </w:r>
      <w:bookmarkEnd w:id="15"/>
      <w:r>
        <w:rPr>
          <w:rFonts w:eastAsia="Calibri"/>
          <w:lang w:val="en-US"/>
        </w:rPr>
        <w:t xml:space="preserve"> </w:t>
      </w:r>
    </w:p>
    <w:p>
      <w:pPr>
        <w:pStyle w:val="Normal"/>
        <w:spacing w:lineRule="auto" w:line="276"/>
        <w:jc w:val="start"/>
        <w:rPr>
          <w:rFonts w:eastAsia="Calibri"/>
          <w:color w:val="000000"/>
          <w:lang w:val="en-US"/>
        </w:rPr>
      </w:pPr>
      <w:r>
        <w:rPr>
          <w:rFonts w:eastAsia="Calibri"/>
          <w:color w:val="000000"/>
          <w:lang w:val="en-US"/>
        </w:rPr>
      </w:r>
    </w:p>
    <w:p>
      <w:pPr>
        <w:pStyle w:val="Normal"/>
        <w:spacing w:lineRule="auto" w:line="276"/>
        <w:jc w:val="start"/>
        <w:rPr>
          <w:rFonts w:eastAsia="Calibri"/>
          <w:color w:val="000000"/>
          <w:lang w:val="en-US"/>
        </w:rPr>
      </w:pPr>
      <w:r>
        <w:rPr/>
      </w:r>
    </w:p>
    <w:p>
      <w:pPr>
        <w:pStyle w:val="Normal"/>
        <w:spacing w:lineRule="auto" w:line="360" w:before="120" w:after="160"/>
        <w:jc w:val="both"/>
        <w:rPr>
          <w:rFonts w:ascii="Liberation Serif" w:hAnsi="Liberation Serif"/>
        </w:rPr>
      </w:pPr>
      <w:r>
        <w:rPr>
          <w:rFonts w:eastAsia="Arial" w:cs="Arial" w:ascii="Liberation Serif" w:hAnsi="Liberation Serif"/>
          <w:sz w:val="24"/>
          <w:szCs w:val="24"/>
        </w:rPr>
        <w:tab/>
        <w:t>Монгол Улсын XX–XXI зууны түүх нь эрх чөлөө, тусгаар тогтнол, нийгмийн өөрчлөлтийн нарийн уялдаатай үйл явцаар дүүрэн байдаг. Хятадын Чин улсын ноёрхлоос гарч тусгаар тогтносноос хойш Монгол улс гурван томоохон үе шатыг туулсан: эхний шатанд феодалын теократ засаглал (1911–1921), дараа нь социалист хувьсгалт засаглал (1921–1990), эцэст нь олон намт ардчилсан засаглалын тогтолцоонд шилжсэн (1990 оноос өдий хүртэл) юм.</w:t>
      </w:r>
    </w:p>
    <w:p>
      <w:pPr>
        <w:pStyle w:val="Normal"/>
        <w:spacing w:lineRule="auto" w:line="360" w:before="0" w:after="160"/>
        <w:jc w:val="both"/>
        <w:rPr>
          <w:rFonts w:ascii="Liberation Serif" w:hAnsi="Liberation Serif"/>
        </w:rPr>
      </w:pPr>
      <w:r>
        <w:rPr>
          <w:rFonts w:eastAsia="Arial" w:cs="Arial" w:ascii="Liberation Serif" w:hAnsi="Liberation Serif"/>
          <w:sz w:val="24"/>
          <w:szCs w:val="24"/>
        </w:rPr>
        <w:tab/>
        <w:t>Монголын орчин үеийн түүхийг судлах нь зөвхөн нутгийн хэмжээнд ач холбогдол агуулаад зогсохгүй, бүс нутгийн болон дэлхийн геополитикийн ойлголтыг гүнзгийрүүлэхэд нэн чухал юм. Монгол Улс Орос болон Хятадын хоёр том хөршийн дунд орших газарзүйн байдлаасаа шалтгаалан онцгой стратегийн байр суурьтай бөгөөд энэхүү онцлог нь улс орны гадаад бодлого болон дотоод хөгжилд шийдвэрлэх нөлөө үзүүлсэн юм. Тиймдаа XX зуун дахь Монголын улс орны хөгжилд гадаад нөлөөлөл болон дотоод хүчин зүйлсийн харилцан хамаарлыг судлах нь зайлшгүй чухал хэрэгтэй юм.</w:t>
      </w:r>
    </w:p>
    <w:p>
      <w:pPr>
        <w:pStyle w:val="Normal"/>
        <w:spacing w:lineRule="auto" w:line="276"/>
        <w:ind w:firstLine="720"/>
        <w:rPr>
          <w:rFonts w:eastAsia="Calibri"/>
          <w:color w:val="000000"/>
          <w:lang w:val="en-US"/>
        </w:rPr>
      </w:pPr>
      <w:r>
        <w:rPr>
          <w:rFonts w:eastAsia="Calibri"/>
          <w:color w:val="000000"/>
          <w:lang w:val="en-US"/>
        </w:rPr>
      </w:r>
    </w:p>
    <w:p>
      <w:pPr>
        <w:pStyle w:val="Normal"/>
        <w:spacing w:lineRule="auto" w:line="276"/>
        <w:jc w:val="start"/>
        <w:rPr>
          <w:rFonts w:eastAsia="Calibri"/>
          <w:color w:val="000000"/>
          <w:lang w:val="en-US"/>
        </w:rPr>
      </w:pPr>
      <w:r>
        <w:rPr/>
      </w:r>
    </w:p>
    <w:p>
      <w:pPr>
        <w:pStyle w:val="Heading1"/>
        <w:numPr>
          <w:ilvl w:val="0"/>
          <w:numId w:val="0"/>
        </w:numPr>
        <w:ind w:hanging="0" w:start="0"/>
        <w:jc w:val="both"/>
        <w:rPr>
          <w:rFonts w:eastAsia="Calibri"/>
          <w:lang w:val="en-US"/>
        </w:rPr>
      </w:pPr>
      <w:bookmarkStart w:id="16" w:name="__RefHeading___Toc952_4272085025"/>
      <w:bookmarkStart w:id="17" w:name="_Toc509411126"/>
      <w:bookmarkEnd w:id="16"/>
      <w:r>
        <w:rPr>
          <w:rFonts w:eastAsia="Calibri"/>
          <w:lang w:val="mn-Cyrl-MN"/>
        </w:rPr>
        <w:t xml:space="preserve">НЭГ. </w:t>
      </w:r>
      <w:bookmarkEnd w:id="17"/>
      <w:r>
        <w:rPr>
          <w:rFonts w:eastAsia="Calibri"/>
          <w:lang w:val="mn-Cyrl-MN"/>
        </w:rPr>
        <w:t>ТУСГААР ТОГТНОЛ БА ЭРТ ҮЕ</w:t>
      </w:r>
      <w:r>
        <w:rPr>
          <w:rFonts w:eastAsia="Calibri"/>
          <w:lang w:val="en-US"/>
        </w:rPr>
        <w:t xml:space="preserve"> </w:t>
      </w:r>
    </w:p>
    <w:p>
      <w:pPr>
        <w:pStyle w:val="Normal"/>
        <w:spacing w:lineRule="auto" w:line="276"/>
        <w:jc w:val="start"/>
        <w:rPr>
          <w:rFonts w:eastAsia="Calibri"/>
          <w:color w:val="000000"/>
          <w:lang w:val="en-US"/>
        </w:rPr>
      </w:pPr>
      <w:r>
        <w:rPr/>
      </w:r>
    </w:p>
    <w:p>
      <w:pPr>
        <w:pStyle w:val="Heading2"/>
        <w:numPr>
          <w:ilvl w:val="1"/>
          <w:numId w:val="4"/>
        </w:numPr>
        <w:rPr/>
      </w:pPr>
      <w:bookmarkStart w:id="18" w:name="__RefHeading___Toc954_4272085025"/>
      <w:bookmarkStart w:id="19" w:name="_Toc509411127"/>
      <w:bookmarkEnd w:id="18"/>
      <w:bookmarkEnd w:id="19"/>
      <w:r>
        <w:rPr/>
        <w:t xml:space="preserve">Чин улсын захиргаанаас тусгаарласан нь </w:t>
      </w:r>
    </w:p>
    <w:p>
      <w:pPr>
        <w:pStyle w:val="Normal"/>
        <w:spacing w:lineRule="auto" w:line="276" w:before="0" w:after="0"/>
        <w:contextualSpacing/>
        <w:rPr>
          <w:lang w:val="en-AU" w:eastAsia="en-AU"/>
        </w:rPr>
      </w:pPr>
      <w:r>
        <w:rPr>
          <w:lang w:val="en-AU" w:eastAsia="en-AU"/>
        </w:rPr>
      </w:r>
    </w:p>
    <w:p>
      <w:pPr>
        <w:pStyle w:val="Normal"/>
        <w:spacing w:lineRule="auto" w:line="276" w:before="0" w:after="0"/>
        <w:contextualSpacing/>
        <w:rPr>
          <w:rFonts w:ascii="Liberation Serif" w:hAnsi="Liberation Serif"/>
          <w:lang w:val="en-AU" w:eastAsia="en-AU"/>
        </w:rPr>
      </w:pPr>
      <w:r>
        <w:rPr>
          <w:rFonts w:ascii="Liberation Serif" w:hAnsi="Liberation Serif"/>
          <w:lang w:val="en-AU" w:eastAsia="en-AU"/>
        </w:rPr>
        <w:tab/>
        <w:t>(</w:t>
      </w:r>
      <w:r>
        <w:rPr>
          <w:rFonts w:eastAsia="Arial" w:cs="Arial" w:ascii="Liberation Serif" w:hAnsi="Liberation Serif"/>
          <w:sz w:val="24"/>
          <w:szCs w:val="24"/>
          <w:lang w:val="en-AU" w:eastAsia="en-AU"/>
        </w:rPr>
        <w:t>1911 онд Чин улсад дэгдсэн хувьсгалын давалгааг ашиглан Монголын язгууртан ноёд болон лам нарын удирдлагаар Монгол Улс тусгаар тогтнолоо зарлав. Богд Жавзандамба Хутагт VIII Монгол Улсын тэргүүн буюу хаан ширээнд заларч, Богд хаант Монгол Улс байгуулагдав. Гэвч энэхүү тусгаар тогтнол нь хязгаарлагдмал байсан бөгөөд Орос улстай 1912 онд байгуулсан протоколоор Монгол Орос улсын 'дэмжлэг дор' орсон байна (Bawden, 1968).</w:t>
      </w:r>
    </w:p>
    <w:p>
      <w:pPr>
        <w:pStyle w:val="Normal"/>
        <w:spacing w:lineRule="auto" w:line="276" w:before="0" w:after="0"/>
        <w:contextualSpacing/>
        <w:rPr>
          <w:rFonts w:ascii="Liberation Serif" w:hAnsi="Liberation Serif"/>
          <w:lang w:val="en-AU" w:eastAsia="en-AU"/>
        </w:rPr>
      </w:pPr>
      <w:r>
        <w:rPr>
          <w:rFonts w:eastAsia="Arial" w:cs="Arial" w:ascii="Liberation Serif" w:hAnsi="Liberation Serif"/>
          <w:sz w:val="24"/>
          <w:szCs w:val="24"/>
          <w:lang w:val="en-AU" w:eastAsia="en-AU"/>
        </w:rPr>
        <w:t>1915 онд Орос, Хятад, Монгол гурван улсын хооронд байгуулсан Хиагтын гэрээний дагуу Монгол Улс 'өргөн эрх мэдэл бүхий автономит' статустай болсон боловч Хятадын эрхэнд хэвээр үлдсэн байна. Энэхүү гэрээ нь Монголын гадаад бодлогод ноцтой хязгаарлалт тавьсан бөгөөд дотоодын бие даасан байдлыг хатуу хаасан байна. Монгол Улс дэлхийн 1-р дайны үед нэн ядуу, нийгмийн доройтлын нөхцөлд байв (Kotkin &amp; Elleman, 1999).</w:t>
      </w:r>
    </w:p>
    <w:p>
      <w:pPr>
        <w:pStyle w:val="Normal"/>
        <w:spacing w:lineRule="auto" w:line="276" w:before="0" w:after="0"/>
        <w:contextualSpacing/>
        <w:rPr>
          <w:lang w:val="en-AU" w:eastAsia="en-AU"/>
        </w:rPr>
      </w:pPr>
      <w:r>
        <w:rPr>
          <w:lang w:val="en-AU" w:eastAsia="en-AU"/>
        </w:rPr>
      </w:r>
    </w:p>
    <w:p>
      <w:pPr>
        <w:pStyle w:val="Heading2"/>
        <w:numPr>
          <w:ilvl w:val="1"/>
          <w:numId w:val="3"/>
        </w:numPr>
        <w:ind w:hanging="0" w:start="0"/>
        <w:rPr/>
      </w:pPr>
      <w:bookmarkStart w:id="20" w:name="__RefHeading___Toc956_4272085025"/>
      <w:bookmarkEnd w:id="20"/>
      <w:r>
        <w:rPr/>
        <w:t>Теократ засаглалын үе</w:t>
      </w:r>
    </w:p>
    <w:p>
      <w:pPr>
        <w:pStyle w:val="Normal"/>
        <w:spacing w:lineRule="auto" w:line="276" w:before="0" w:after="0"/>
        <w:contextualSpacing/>
        <w:rPr>
          <w:lang w:val="en-AU" w:eastAsia="en-AU"/>
        </w:rPr>
      </w:pPr>
      <w:r>
        <w:rPr>
          <w:lang w:val="en-AU" w:eastAsia="en-AU"/>
        </w:rPr>
      </w:r>
    </w:p>
    <w:p>
      <w:pPr>
        <w:pStyle w:val="Normal"/>
        <w:spacing w:lineRule="auto" w:line="360" w:before="100" w:after="160"/>
        <w:jc w:val="both"/>
        <w:rPr>
          <w:rFonts w:ascii="Liberation Serif" w:hAnsi="Liberation Serif" w:eastAsia="Arial" w:cs="Arial"/>
          <w:sz w:val="24"/>
          <w:szCs w:val="24"/>
        </w:rPr>
      </w:pPr>
      <w:r>
        <w:rPr>
          <w:rFonts w:eastAsia="Arial" w:cs="Arial" w:ascii="Liberation Serif" w:hAnsi="Liberation Serif"/>
          <w:sz w:val="24"/>
          <w:szCs w:val="24"/>
        </w:rPr>
        <w:tab/>
        <w:t>1911–1919 оны хооронд Монгол Улс шашин дээдэлсэн теократ засаглалын тогтолцоотой байв. Богд хааны ордон нь улс төрийн болон шашны хамтарсан эрх мэдлийг хэрэгжүүлж байв. Буддын шашин нийгмийн амьдралд гол үүрэг гүйцэтгэж, лам нар нийт хүн амын нэлээд хувийг бүрдүүлж байв. Гэвч 1919 онд Хятадын Цзюй Жэнь Цзүний цэрэг Монгол руу довтлон орж, автономит статусыг нь цуцалсан байна (Lattimore, 1955).</w:t>
      </w:r>
    </w:p>
    <w:p>
      <w:pPr>
        <w:pStyle w:val="Normal"/>
        <w:spacing w:lineRule="auto" w:line="360" w:before="10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Heading1"/>
        <w:numPr>
          <w:ilvl w:val="0"/>
          <w:numId w:val="0"/>
        </w:numPr>
        <w:ind w:hanging="0" w:start="0"/>
        <w:jc w:val="both"/>
        <w:rPr>
          <w:lang w:val="en-AU" w:eastAsia="en-AU"/>
        </w:rPr>
      </w:pPr>
      <w:bookmarkStart w:id="21" w:name="__RefHeading___Toc958_4272085025"/>
      <w:bookmarkStart w:id="22" w:name="_Toc509411128"/>
      <w:bookmarkEnd w:id="21"/>
      <w:r>
        <w:rPr>
          <w:lang w:val="mn-Cyrl-MN" w:eastAsia="en-AU"/>
        </w:rPr>
        <w:t xml:space="preserve">ХОЁР. </w:t>
      </w:r>
      <w:bookmarkEnd w:id="22"/>
      <w:r>
        <w:rPr>
          <w:lang w:val="mn-Cyrl-MN" w:eastAsia="en-AU"/>
        </w:rPr>
        <w:t>АРДЫН ХУВЬСГАЛ БА СОЦИАЛИСТ ҮЕ (1921–1990)</w:t>
      </w:r>
      <w:r>
        <w:rPr>
          <w:lang w:val="en-AU" w:eastAsia="en-AU"/>
        </w:rPr>
        <w:t xml:space="preserve"> </w:t>
      </w:r>
    </w:p>
    <w:p>
      <w:pPr>
        <w:pStyle w:val="Normal"/>
        <w:spacing w:lineRule="auto" w:line="276" w:before="0" w:after="0"/>
        <w:contextualSpacing/>
        <w:rPr>
          <w:lang w:val="en-AU" w:eastAsia="en-AU"/>
        </w:rPr>
      </w:pPr>
      <w:r>
        <w:rPr>
          <w:lang w:val="mn-Cyrl-MN"/>
        </w:rPr>
      </w:r>
      <w:bookmarkStart w:id="23" w:name="_Toc509400760"/>
      <w:bookmarkStart w:id="24" w:name="_Toc499126986"/>
      <w:bookmarkStart w:id="25" w:name="_Toc509400760"/>
      <w:bookmarkStart w:id="26" w:name="_Toc499126986"/>
      <w:bookmarkEnd w:id="25"/>
      <w:bookmarkEnd w:id="26"/>
    </w:p>
    <w:p>
      <w:pPr>
        <w:pStyle w:val="Heading2"/>
        <w:numPr>
          <w:ilvl w:val="0"/>
          <w:numId w:val="0"/>
        </w:numPr>
        <w:ind w:hanging="576" w:start="576"/>
        <w:rPr/>
      </w:pPr>
      <w:bookmarkStart w:id="27" w:name="_Toc509400760"/>
      <w:bookmarkStart w:id="28" w:name="_Toc499126986"/>
      <w:bookmarkStart w:id="29" w:name="__RefHeading___Toc960_4272085025"/>
      <w:bookmarkStart w:id="30" w:name="_Toc509411129"/>
      <w:bookmarkEnd w:id="27"/>
      <w:bookmarkEnd w:id="28"/>
      <w:bookmarkEnd w:id="29"/>
      <w:r>
        <w:rPr/>
        <w:t xml:space="preserve">2.1 </w:t>
      </w:r>
      <w:bookmarkEnd w:id="30"/>
      <w:r>
        <w:rPr/>
        <w:t xml:space="preserve">1921 оны Ардын Хувьсгал </w:t>
      </w:r>
    </w:p>
    <w:p>
      <w:pPr>
        <w:pStyle w:val="Normal"/>
        <w:spacing w:lineRule="auto" w:line="240"/>
        <w:rPr>
          <w:rFonts w:ascii="Liberation Serif" w:hAnsi="Liberation Serif"/>
        </w:rPr>
      </w:pPr>
      <w:r>
        <w:rPr>
          <w:rFonts w:ascii="Liberation Serif" w:hAnsi="Liberation Serif"/>
        </w:rPr>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1921 оны 7-р сарын 11-нд Монголын Ардын Намын удирдлага болон Зөвлөлт Оросын Улаан Армийн тусламжтайгаар Д.Сүхбаатар, Х.Чойбалсан нарын тэргүүлсэн ардын хувьсгалт хүчнүүд Монгол Улсыг чөлөөлж, Монгол Ардын Засгийн газрыг байгуулав. Энэ өдрийг Монгол Улсын Үндэсний баяр болгон тэмдэглэдэг бөгөөд орчин үеийн Монгол улсын шинэ түүхийн эхлэл болсон юм. Богд Хаан нэрлэлтийн тэргүүн болж, харин бодит эрх мэдэл ардын засгийн газарт шилжив (Rupen, 1964).</w:t>
      </w:r>
    </w:p>
    <w:p>
      <w:pPr>
        <w:pStyle w:val="Normal"/>
        <w:spacing w:lineRule="auto" w:line="360" w:before="0" w:after="160"/>
        <w:jc w:val="both"/>
        <w:rPr>
          <w:rFonts w:ascii="Liberation Serif" w:hAnsi="Liberation Serif"/>
        </w:rPr>
      </w:pPr>
      <w:r>
        <w:rPr>
          <w:rFonts w:eastAsia="Arial" w:cs="Arial" w:ascii="Liberation Serif" w:hAnsi="Liberation Serif"/>
          <w:sz w:val="24"/>
          <w:szCs w:val="24"/>
        </w:rPr>
        <w:tab/>
        <w:t>1924 онд Богд хааны нас барсны дараа Монгол Ардын Бүгд Найрамдах Улс (МАБНУ) тунхаглгдаж, социалист тогтолцоог бүрэн хэрэгжүүлэх алхмуудыг хийж эхлэв. Уг хувьсгал нь Монгол Улсын улс төр, нийгмийн бүтцийг эрс өөрчилсөн бөгөөд феодал ноёдын засаглалыг халж, шинэ нийгмийн тогтолцоо байгуулах суурийг тавьсан юм.</w:t>
      </w:r>
    </w:p>
    <w:p>
      <w:pPr>
        <w:pStyle w:val="Normal"/>
        <w:spacing w:lineRule="auto" w:line="240"/>
        <w:rPr>
          <w:lang w:val="mn-Cyrl-MN"/>
        </w:rPr>
      </w:pPr>
      <w:r>
        <w:rPr>
          <w:lang w:val="mn-Cyrl-MN"/>
        </w:rPr>
      </w:r>
    </w:p>
    <w:p>
      <w:pPr>
        <w:pStyle w:val="Heading2"/>
        <w:numPr>
          <w:ilvl w:val="0"/>
          <w:numId w:val="3"/>
        </w:numPr>
        <w:ind w:hanging="576" w:start="576"/>
        <w:rPr/>
      </w:pPr>
      <w:bookmarkStart w:id="31" w:name="__RefHeading___Toc962_4272085025"/>
      <w:bookmarkEnd w:id="31"/>
      <w:r>
        <w:rPr/>
        <w:t>.</w:t>
      </w:r>
      <w:bookmarkStart w:id="32" w:name="_Toc509411129_Copy_1"/>
      <w:r>
        <w:rPr/>
        <w:t>2</w:t>
      </w:r>
      <w:r>
        <w:rPr/>
        <w:t xml:space="preserve"> </w:t>
      </w:r>
      <w:bookmarkEnd w:id="32"/>
      <w:r>
        <w:rPr/>
        <w:t>Социалист байгуулалт ба Чойбалсангийн хэлмэгдүүлэлт (1930–1952)</w:t>
      </w:r>
    </w:p>
    <w:p>
      <w:pPr>
        <w:pStyle w:val="Normal"/>
        <w:rPr/>
      </w:pPr>
      <w:r>
        <w:rPr/>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1930-аад оны эхэнд Х.Чойбалсангийн удирдлаган дор Сталины загварт социалист байгуулалтыг хэрэгжүүлж эхлэв. Малчдыг хамтралжуулах, хувийн өмчийг үндэсчлэх бодлого хэрэгжиж, нийгмийн бүх давхаргад хамарсан томоохон өөрчлөлтүүд гарав. 1937–1939 оны хооронд явагдсан улс төрийн их хэлмэгдүүлэлтийн үеэр 30,000 гаруй хүн амь үрэгдэж, дийлэнх нь буддын лам нар, язгуурт ноёд, оюун ухааны зүтгэлтнүүд байв (Murphy, 1966).</w:t>
      </w:r>
    </w:p>
    <w:p>
      <w:pPr>
        <w:pStyle w:val="Normal"/>
        <w:spacing w:lineRule="auto" w:line="360" w:before="0" w:after="160"/>
        <w:jc w:val="both"/>
        <w:rPr>
          <w:rFonts w:ascii="Liberation Serif" w:hAnsi="Liberation Serif"/>
        </w:rPr>
      </w:pPr>
      <w:r>
        <w:rPr>
          <w:rFonts w:eastAsia="Arial" w:cs="Arial" w:ascii="Liberation Serif" w:hAnsi="Liberation Serif"/>
          <w:sz w:val="24"/>
          <w:szCs w:val="24"/>
        </w:rPr>
        <w:tab/>
        <w:t>700 гаруй сүм хийд нураагдаж, буддын шашны байгууллагуудыг бүрэн устгав. Улс орны соёл, уламжлалт ёс заншилд хүнд цохилт болсон энэхүү хэлмэгдүүлэлт нь Монголын нийгмийн санах ойд одоог хүртэл гүнзгий мөр үлдээсэн байна. 1939 оны 5–9 сард Монгол-Зөвлөлтийн хамтарсан цэрэг Халхын голын байлдаанд Японы Квантуны армийг бут ниргэсэн нь Монголын цэргийн түүхэн дэх том амжилт болсон юм (Coox, 1985).</w:t>
      </w:r>
    </w:p>
    <w:p>
      <w:pPr>
        <w:pStyle w:val="Normal"/>
        <w:rPr/>
      </w:pPr>
      <w:r>
        <w:rPr/>
      </w:r>
    </w:p>
    <w:p>
      <w:pPr>
        <w:pStyle w:val="Normal"/>
        <w:numPr>
          <w:ilvl w:val="0"/>
          <w:numId w:val="0"/>
        </w:numPr>
        <w:ind w:hanging="576" w:start="576"/>
        <w:rPr>
          <w:rFonts w:ascii="Liberation Serif" w:hAnsi="Liberation Serif"/>
        </w:rPr>
      </w:pPr>
      <w:r>
        <w:rPr>
          <w:rFonts w:ascii="Liberation Serif" w:hAnsi="Liberation Serif"/>
        </w:rPr>
      </w:r>
    </w:p>
    <w:p>
      <w:pPr>
        <w:pStyle w:val="Heading2"/>
        <w:numPr>
          <w:ilvl w:val="0"/>
          <w:numId w:val="0"/>
        </w:numPr>
        <w:ind w:hanging="0" w:start="576"/>
        <w:rPr/>
      </w:pPr>
      <w:bookmarkStart w:id="33" w:name="__RefHeading___Toc962_4272085025_Copy_1"/>
      <w:bookmarkEnd w:id="33"/>
      <w:r>
        <w:rPr/>
        <w:t>2.3 Социализмын тогтворжилт ба хөгжил (1952–1990)</w:t>
      </w:r>
    </w:p>
    <w:p>
      <w:pPr>
        <w:pStyle w:val="Normal"/>
        <w:rPr/>
      </w:pPr>
      <w:r>
        <w:rPr/>
      </w:r>
    </w:p>
    <w:p>
      <w:pPr>
        <w:pStyle w:val="Normal"/>
        <w:spacing w:lineRule="auto" w:line="360" w:before="100" w:after="160"/>
        <w:jc w:val="both"/>
        <w:rPr/>
      </w:pPr>
      <w:r>
        <w:rPr>
          <w:rFonts w:eastAsia="Arial" w:cs="Arial" w:ascii="Arial" w:hAnsi="Arial"/>
          <w:sz w:val="24"/>
          <w:szCs w:val="24"/>
        </w:rPr>
        <w:tab/>
      </w:r>
      <w:r>
        <w:rPr>
          <w:rFonts w:eastAsia="Arial" w:cs="Arial" w:ascii="Liberation Serif" w:hAnsi="Liberation Serif"/>
          <w:sz w:val="24"/>
          <w:szCs w:val="24"/>
        </w:rPr>
        <w:t>1952 онд Ю.Цэдэнбал нам болон улсын удирдлагыг хүлээн авснаар Монгол Улс харьцангуй тогтвортой социалист хөгжлийн замд орлоо. Зөвлөлтийн тусламжтайгаар аж үйлдвэрийг хөгжүүлэх, хот суурин байгуулах, боловсролын тогтолцоог өргөжүүлэх ажлууд хэрэгжлээ. Монгол Улс 1961 онд НҮБ-ын гишүүнээр элсч, олон улсын тавцанд өөрийгөө батлан гаргав (Rossabi, 2005).</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Энэ үед их, дээд сургуулиуд нээгдэж, эмнэлгийн тогтолцоо бүрэлдэн тогтож, дотоодын аж үйлдвэр хөгжсөн боловч нийт эдийн засаг Зөвлөлтийн тусламжаас хэт хамааралтай байв. Нийт өрхийн 80% орчим нь хоршооллын буюу улсын аж ахуйд хамрагдаж, хувийн санаачилгын орон зай маш хязгаарлагдмал байсан. Цэдэнбал 1984 онд буурч, П.Жамбын удирдлагад шилжсэн боловч өөрчлөлтийн хүсэл эрмэлзэл нь 1989 онд Зөвлөлтийн задралтай давхцаж огцом хурдаслав.</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Heading1"/>
        <w:numPr>
          <w:ilvl w:val="0"/>
          <w:numId w:val="0"/>
        </w:numPr>
        <w:ind w:hanging="0" w:start="0"/>
        <w:jc w:val="start"/>
        <w:rPr/>
      </w:pPr>
      <w:bookmarkStart w:id="34" w:name="__RefHeading___Toc1266_4272085025"/>
      <w:bookmarkEnd w:id="34"/>
      <w:r>
        <w:rPr/>
        <w:t xml:space="preserve">ГУРАВ. АРДЧИЛСАН ШИЛЖИЛТ </w:t>
      </w:r>
      <w:r>
        <w:rPr>
          <w:b/>
          <w:bCs/>
        </w:rPr>
        <w:t>(1990–2000)</w:t>
      </w:r>
    </w:p>
    <w:p>
      <w:pPr>
        <w:pStyle w:val="Normal"/>
        <w:spacing w:lineRule="auto" w:line="360" w:before="0" w:after="160"/>
        <w:jc w:val="both"/>
        <w:rPr>
          <w:rFonts w:ascii="Arial" w:hAnsi="Arial" w:eastAsia="Arial" w:cs="Arial"/>
          <w:sz w:val="24"/>
          <w:szCs w:val="24"/>
        </w:rPr>
      </w:pPr>
      <w:r>
        <w:rPr>
          <w:rFonts w:eastAsia="Arial" w:cs="Arial" w:ascii="Arial" w:hAnsi="Arial"/>
          <w:sz w:val="24"/>
          <w:szCs w:val="24"/>
        </w:rPr>
      </w:r>
    </w:p>
    <w:p>
      <w:pPr>
        <w:pStyle w:val="Heading2"/>
        <w:numPr>
          <w:ilvl w:val="0"/>
          <w:numId w:val="0"/>
        </w:numPr>
        <w:ind w:hanging="0" w:start="576"/>
        <w:rPr/>
      </w:pPr>
      <w:bookmarkStart w:id="35" w:name="__RefHeading___Toc1268_4272085025"/>
      <w:bookmarkEnd w:id="35"/>
      <w:r>
        <w:rPr/>
        <w:t>3.1 Ардчилсан хөдөлгөөн ба үндсэн хуулийн шинэчлэл</w:t>
      </w:r>
    </w:p>
    <w:p>
      <w:pPr>
        <w:pStyle w:val="Normal"/>
        <w:rPr/>
      </w:pPr>
      <w:r>
        <w:rPr/>
      </w:r>
    </w:p>
    <w:p>
      <w:pPr>
        <w:pStyle w:val="Normal"/>
        <w:spacing w:lineRule="auto" w:line="360" w:before="100" w:after="160"/>
        <w:jc w:val="both"/>
        <w:rPr/>
      </w:pPr>
      <w:r>
        <w:rPr>
          <w:rFonts w:eastAsia="Arial" w:cs="Arial" w:ascii="Arial" w:hAnsi="Arial"/>
          <w:sz w:val="24"/>
          <w:szCs w:val="24"/>
        </w:rPr>
        <w:tab/>
      </w:r>
      <w:r>
        <w:rPr>
          <w:rFonts w:eastAsia="Arial" w:cs="Arial" w:ascii="Liberation Serif" w:hAnsi="Liberation Serif"/>
          <w:sz w:val="24"/>
          <w:szCs w:val="24"/>
        </w:rPr>
        <w:t>1989–1990 оны эгзэгтэй өвөл, дэлхийн коммунист блокийн нурангаас санаа авсан Монголын залуу оюутнууд болон иргэний нийгмийн идэвхтнүүд Сүхбаатарын талбайд эрх чөлөө, ардчиллыг шаардан жагсаж эхлэв. Монголын Ардчиллын Холбооны тэргүүн С.Зориг зэрэг залуу удирдагчдын санаачилсан энэхүү хөдөлгөөн нь 1990 оны 3-р сарын 12-нд Монголын Ардын Хувьсгалт Намыг олон намт тогтолцоог зөвшөөрөхөд хүргэв (Fish, 1998).</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1992 оны 1-р сарын 13-нд шинэ Үндсэн хууль батлагдаж, Монгол Улс бүрэн эрхт ардчилсан, хуулийн засаглалтай улс болохоо зарлав. Энэхүү Үндсэн хууль нь хүний эрх, эрх чөлөө, иргэний эрхийг баталгаажуулж, хууль тогтоох, гүйцэтгэх, шүүх эрх мэдлийн тусгаарлалтыг тогтоосон. Мөн энэ онд анхны чөлөөт олон намт сонгууль амжилттай явагдаж, нийгэмд шинэ үзэл санаа, хандлага газар авав.</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Heading2"/>
        <w:numPr>
          <w:ilvl w:val="0"/>
          <w:numId w:val="0"/>
        </w:numPr>
        <w:ind w:hanging="0" w:start="576"/>
        <w:rPr/>
      </w:pPr>
      <w:bookmarkStart w:id="36" w:name="__RefHeading___Toc1270_4272085025"/>
      <w:bookmarkEnd w:id="36"/>
      <w:r>
        <w:rPr/>
        <w:t>3.2 Зах зээлийн шилжилтийн зовлон</w:t>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Зах зээлийн эдийн засагт шилжих 'шоктерапийн' арга барил нь Монголын эдийн засагт хүнд туршилт болов. Улсын тэтгэмж, субсидийг хавчиж, мал аж ахуй, жижиг дунд бизнес эрхлэгчид зах зээлийн хатуу өрсөлдөөнтэй нүүр тулав. 1990-ийн эхний хагасд ДНБ огцом буурч, инфляци хэдэн зуун хувьд хүрч, ядуурал нийт хүн амын тал хувиас давав (World Bank, 1994).</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Иргэд олноор хот руу нүүж, Улаанбаатарын хүн ам ихэсч, орон сууц, дэд бүтцийн хомсдол эрс мэдрэгдэв. Малчдын дунд зуд, ган зэрэг байгалийн гамшиг ихэссэнтэй давхцаж, нийт малын тоо огцом буурав. Гэхдээ 1990-ийн сүүлчээр эдийн засаг аажим тогтворжиж, гадаадын хөрөнгө оруулалт нэмэгдэж, эдийн засгийн шинэ боломжууд тодорхой болж эхлэв.</w:t>
      </w:r>
    </w:p>
    <w:p>
      <w:pPr>
        <w:pStyle w:val="Normal"/>
        <w:spacing w:lineRule="auto" w:line="360" w:before="0" w:after="160"/>
        <w:jc w:val="both"/>
        <w:rPr>
          <w:rFonts w:ascii="Arial" w:hAnsi="Arial" w:eastAsia="Arial" w:cs="Arial"/>
          <w:sz w:val="24"/>
          <w:szCs w:val="24"/>
        </w:rPr>
      </w:pPr>
      <w:r>
        <w:rPr>
          <w:rFonts w:eastAsia="Arial" w:cs="Arial" w:ascii="Arial" w:hAnsi="Arial"/>
          <w:sz w:val="24"/>
          <w:szCs w:val="24"/>
        </w:rPr>
      </w:r>
    </w:p>
    <w:p>
      <w:pPr>
        <w:pStyle w:val="Heading1"/>
        <w:numPr>
          <w:ilvl w:val="0"/>
          <w:numId w:val="0"/>
        </w:numPr>
        <w:ind w:hanging="0" w:start="0"/>
        <w:jc w:val="start"/>
        <w:rPr/>
      </w:pPr>
      <w:bookmarkStart w:id="37" w:name="__RefHeading___Toc1272_4272085025"/>
      <w:bookmarkEnd w:id="37"/>
      <w:r>
        <w:rPr/>
        <w:t>Дөрөв. XXI ЗУУН: ХӨГЖИЛ, СОРИЛТ БА ИРЭЭДҮЙ (2000–ӨДИЙГ ХҮРТЭЛ)</w:t>
      </w:r>
    </w:p>
    <w:p>
      <w:pPr>
        <w:pStyle w:val="Normal"/>
        <w:jc w:val="start"/>
        <w:rPr/>
      </w:pPr>
      <w:r>
        <w:rPr/>
      </w:r>
    </w:p>
    <w:p>
      <w:pPr>
        <w:pStyle w:val="Heading2"/>
        <w:numPr>
          <w:ilvl w:val="0"/>
          <w:numId w:val="0"/>
        </w:numPr>
        <w:ind w:hanging="0" w:start="576"/>
        <w:rPr/>
      </w:pPr>
      <w:bookmarkStart w:id="38" w:name="__RefHeading___Toc1274_4272085025"/>
      <w:bookmarkEnd w:id="38"/>
      <w:r>
        <w:rPr/>
        <w:t>4.1 Уул уурхайн бум ба эдийн засгийн өсөлт</w:t>
      </w:r>
    </w:p>
    <w:p>
      <w:pPr>
        <w:pStyle w:val="Normal"/>
        <w:rPr/>
      </w:pPr>
      <w:r>
        <w:rPr/>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2000-аад оны дунд үеэс Монгол Улсын эдийн засаг уул уурхайн салбарын хөгжлийн ачаар огцом өслөө. Оюу толгой зэс-алтны уурхай, Таван толгойн нүүрсний ордыг хөгжүүлэх Рио Тинто, Айвенхоу зэрэг олон улсын томоохон компаниудтай байгуулсан гэрээнүүд улс орны эдийн засгийн ирээдүйд асар том боломж нээв. 2011 онд Монгол Улсын ДНБ-ийн өсөлт дэлхийд хамгийн өндөр буюу 17.5%-д хүрэв (IMF, 2013).</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Гэвч уул уурхайн хэт хамааралтай байдал нь 'нөөцийн харааль' хэмээх эдийн засгийн эмзэг байдлыг бий болгов. 2015–2016 онд дэлхийн эрдэс баялгийн үнэ унаснаар Монголын эдийн засаг хямралд орж, нийгмийн хурцадмал байдал нэмэгдэв. Засгийн газрын нийт өр ДНБ-ийн 90%-иас давж, 2017 онд ОУВС-гаас авралын пакет авах шаардлага гарав (Mongolian Economy, 2017).</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Heading2"/>
        <w:numPr>
          <w:ilvl w:val="0"/>
          <w:numId w:val="0"/>
        </w:numPr>
        <w:ind w:hanging="0" w:start="576"/>
        <w:rPr/>
      </w:pPr>
      <w:bookmarkStart w:id="39" w:name="__RefHeading___Toc1276_4272085025"/>
      <w:bookmarkEnd w:id="39"/>
      <w:r>
        <w:rPr/>
        <w:t>4.2 Ардчилсан засаглал ба улс төрийн хөгжил</w:t>
      </w:r>
    </w:p>
    <w:p>
      <w:pPr>
        <w:pStyle w:val="Normal"/>
        <w:rPr/>
      </w:pPr>
      <w:r>
        <w:rPr/>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XXI зуунд Монгол Улс ардчиллын тогтолцоогоо бэхжүүлж, тогтмол чөлөөт сонгууль явуулж ирлээ. Монголын Ардын Нам (МАН) болон Монголын Ардчилсан Нам (МАН) хоёр нь парламентын голлох хүчнүүд болж, эрх мэдлийг солилцон барьсаар ирэв. Монгол Улс Ази тивийн цорын ганц эрх чөлөөтэй, тогтвортой ардчилалтай орон болох нь олон улсын байгууллагуудаар тогтмол хүлээн зөвшөөрөгдсөн байна (Freedom House, 2023).</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Гэхдээ авлигын асуудал нь Монголын улс төрийн томоохон сорилт хэвээр байна. Авлигатай тэмцэх байгууллага байгуулагдаж, хэд хэдэн өндөр албан тушаалтан шүүхэд гарав. Монгол Улсын 'гуравдагч хөрш' гадаад бодлого нь АНУ, Европын Холбоо, Японтой харилцааг хөгжүүлэн, Орос, Хятадын хоёр хөршийн нөлөөнөөс тэнцвэр хадгалах оролдлого болсон нь үр дүнтэй нотлогдсоор байна (Baabar, 1999).</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Heading2"/>
        <w:numPr>
          <w:ilvl w:val="0"/>
          <w:numId w:val="0"/>
        </w:numPr>
        <w:ind w:hanging="0" w:start="576"/>
        <w:rPr/>
      </w:pPr>
      <w:bookmarkStart w:id="40" w:name="__RefHeading___Toc1278_4272085025"/>
      <w:bookmarkEnd w:id="40"/>
      <w:r>
        <w:rPr/>
        <w:t>4.3 Нийгэм, соёл, хүрээлэн буй орчны асуудал</w:t>
      </w:r>
    </w:p>
    <w:p>
      <w:pPr>
        <w:pStyle w:val="Normal"/>
        <w:rPr/>
      </w:pPr>
      <w:r>
        <w:rPr/>
      </w:r>
    </w:p>
    <w:p>
      <w:pPr>
        <w:pStyle w:val="Normal"/>
        <w:spacing w:lineRule="auto" w:line="360" w:before="100" w:after="160"/>
        <w:jc w:val="both"/>
        <w:rPr>
          <w:rFonts w:ascii="Liberation Serif" w:hAnsi="Liberation Serif"/>
        </w:rPr>
      </w:pPr>
      <w:r>
        <w:rPr>
          <w:rFonts w:eastAsia="Arial" w:cs="Arial" w:ascii="Liberation Serif" w:hAnsi="Liberation Serif"/>
          <w:sz w:val="24"/>
          <w:szCs w:val="24"/>
        </w:rPr>
        <w:tab/>
        <w:t>XXI зуунд Монгол Улс хот-хөдөөгийн ялгааг багасгах, байгаль орчны доройтлыг зогсоох чухал сорилттой тулгараад байна. Улаанбаатар хотын утааны бохирдол нь дэлхийн хамгийн хүнд агаарын бохирдолтой хотуудын нэгд тооцогддог болжээ. Нүүдлийн мал аж ахуйн уламжлалт хэв маяг хадгалагдсаар байгаа ч хот суурин тэлэлт, цаг уурын өөрчлөлт, зудын давтамж ихэссэнтэй холбоотой дарамт нэмэгдсэн байна (Mearns, 1993).</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tab/>
        <w:t>Боловсролын хамран сургалт нэмэгдэж, Монгол Улс нийгмийн хүний хөгжлийн олон шалгуурт дэвшилтэт гүйцэтгэлтэй болсон. Соёлын хувьд буддын шашны сэргэн мандал илт гарч, сүм хийдүүд дахин нээгдэж, шашин шүтлэг нийгэмд эзлэх байр суурь нэмэгдлээ. Монголын уламжлалт морин хуур хөгжмийг дэлхийн биет бус өвд бүртгэсэн нь үндэсний соёлын бахархалыг нэмэгдүүлэв.</w:t>
      </w:r>
    </w:p>
    <w:p>
      <w:pPr>
        <w:pStyle w:val="Normal"/>
        <w:spacing w:lineRule="auto" w:line="360" w:before="0" w:after="160"/>
        <w:jc w:val="both"/>
        <w:rPr>
          <w:rFonts w:ascii="Liberation Serif" w:hAnsi="Liberation Serif" w:eastAsia="Arial" w:cs="Arial"/>
          <w:sz w:val="24"/>
          <w:szCs w:val="24"/>
        </w:rPr>
      </w:pPr>
      <w:r>
        <w:rPr>
          <w:rFonts w:eastAsia="Arial" w:cs="Arial" w:ascii="Liberation Serif" w:hAnsi="Liberation Serif"/>
          <w:sz w:val="24"/>
          <w:szCs w:val="24"/>
        </w:rPr>
      </w:r>
    </w:p>
    <w:p>
      <w:pPr>
        <w:pStyle w:val="Normal"/>
        <w:spacing w:lineRule="auto" w:line="360" w:before="0" w:after="160"/>
        <w:jc w:val="both"/>
        <w:rPr>
          <w:rFonts w:ascii="Arial" w:hAnsi="Arial" w:eastAsia="Arial" w:cs="Arial"/>
          <w:sz w:val="24"/>
          <w:szCs w:val="24"/>
        </w:rPr>
      </w:pPr>
      <w:r>
        <w:rPr>
          <w:rFonts w:eastAsia="Arial" w:cs="Arial" w:ascii="Arial" w:hAnsi="Arial"/>
          <w:sz w:val="24"/>
          <w:szCs w:val="24"/>
        </w:rPr>
      </w:r>
    </w:p>
    <w:p>
      <w:pPr>
        <w:pStyle w:val="Normal"/>
        <w:jc w:val="center"/>
        <w:rPr>
          <w:lang w:val="mn-Cyrl-MN"/>
        </w:rPr>
      </w:pPr>
      <w:r>
        <w:rPr>
          <w:rFonts w:eastAsia="Arial Unicode MS"/>
          <w:color w:val="000000"/>
          <w:lang w:val="mn-Cyrl-MN" w:eastAsia="mn-Cyrl-MN"/>
        </w:rPr>
      </w:r>
      <w:r>
        <w:br w:type="page"/>
      </w:r>
    </w:p>
    <w:p>
      <w:pPr>
        <w:pStyle w:val="Normal"/>
        <w:jc w:val="center"/>
        <w:rPr>
          <w:rFonts w:eastAsia="Arial Unicode MS"/>
          <w:color w:val="000000"/>
          <w:lang w:val="mn-Cyrl-MN" w:eastAsia="mn-Cyrl-MN"/>
        </w:rPr>
      </w:pPr>
      <w:r>
        <w:rPr>
          <w:rFonts w:eastAsia="Arial Unicode MS"/>
          <w:color w:val="000000"/>
          <w:lang w:val="mn-Cyrl-MN" w:eastAsia="mn-Cyrl-MN"/>
        </w:rPr>
      </w:r>
    </w:p>
    <w:p>
      <w:pPr>
        <w:pStyle w:val="Heading1"/>
        <w:numPr>
          <w:ilvl w:val="0"/>
          <w:numId w:val="0"/>
        </w:numPr>
        <w:ind w:hanging="0" w:start="0"/>
        <w:rPr/>
      </w:pPr>
      <w:bookmarkStart w:id="41" w:name="__RefHeading___Toc964_4272085025"/>
      <w:bookmarkStart w:id="42" w:name="_Toc471822671"/>
      <w:bookmarkStart w:id="43" w:name="_Toc509402057"/>
      <w:bookmarkStart w:id="44" w:name="_Toc509411130"/>
      <w:bookmarkStart w:id="45" w:name="_Toc518744981"/>
      <w:bookmarkStart w:id="46" w:name="_Toc518744847"/>
      <w:bookmarkEnd w:id="41"/>
      <w:bookmarkEnd w:id="45"/>
      <w:bookmarkEnd w:id="46"/>
      <w:r>
        <w:rPr>
          <w:lang w:val="mn-Cyrl-MN"/>
        </w:rPr>
        <w:t>дүгнэлт</w:t>
      </w:r>
      <w:bookmarkEnd w:id="42"/>
      <w:bookmarkEnd w:id="43"/>
      <w:bookmarkEnd w:id="44"/>
    </w:p>
    <w:p>
      <w:pPr>
        <w:pStyle w:val="Normal"/>
        <w:rPr/>
      </w:pPr>
      <w:r>
        <w:rPr/>
      </w:r>
    </w:p>
    <w:p>
      <w:pPr>
        <w:pStyle w:val="Normal"/>
        <w:spacing w:lineRule="auto" w:line="360" w:before="0" w:after="0"/>
        <w:jc w:val="both"/>
        <w:rPr>
          <w:rFonts w:ascii="Liberation Serif" w:hAnsi="Liberation Serif"/>
        </w:rPr>
      </w:pPr>
      <w:r>
        <w:rPr>
          <w:rFonts w:eastAsia="Arial" w:cs="Arial" w:ascii="Liberation Serif" w:hAnsi="Liberation Serif"/>
          <w:sz w:val="24"/>
          <w:szCs w:val="24"/>
        </w:rPr>
        <w:tab/>
        <w:t>Монгол Улсын XX–XXI зууны түүх нь феодал теократ байдлаас социалист тогтолцоо, улмаар ардчилсан зах зээлийн эдийн засагт шилжсэн онцгой тогтвортой байдал болон нийгмийн үмхрэлийг хоёуланг нь агуулсан нарийн нийлмэл явц юм. Оросын болон дэлхийн геополитикийн нөлөөлөл, Монголын дотоодын нийгмийн хүч хоёрын зохицлын дүнд орчин үеийн Монгол улс байгуулагдсан байна.</w:t>
      </w:r>
    </w:p>
    <w:p>
      <w:pPr>
        <w:pStyle w:val="Normal"/>
        <w:spacing w:lineRule="auto" w:line="360" w:before="0" w:after="0"/>
        <w:jc w:val="both"/>
        <w:rPr>
          <w:rFonts w:ascii="Liberation Serif" w:hAnsi="Liberation Serif"/>
        </w:rPr>
      </w:pPr>
      <w:r>
        <w:rPr>
          <w:rFonts w:eastAsia="Arial" w:cs="Arial" w:ascii="Liberation Serif" w:hAnsi="Liberation Serif"/>
          <w:sz w:val="24"/>
          <w:szCs w:val="24"/>
        </w:rPr>
        <w:tab/>
        <w:t>1990 оны ардчилсан шилжилт нь Монголын нийгмийн хувьд ирэлттэй адил ачааллыг авчирсан хэдий ч, улс орон үүнийг аажим даван туулж, бүс нутгийн тогтвортой ардчилсан улс болох нь батлагдлаа. Дэлхийн эдийн засгийн хамтын нийгэмлэгт нэгдэж, нөөц баялаг дээрээ тулгуурласан хөгжлийн замаа олсон ч ирэх хэдэн арван жилд байгаль орчны тогтвортой байдал, засаглалын ил тод байдал, нийгмийн тэгш байдлыг хангах асуудлуудыг шийдвэрлэхгүйгээр Монгол Улсын тогтвортой ирээдүйг хангах боломжгүй юм.</w:t>
      </w:r>
    </w:p>
    <w:p>
      <w:pPr>
        <w:pStyle w:val="Normal"/>
        <w:spacing w:lineRule="auto" w:line="276" w:before="0" w:after="0"/>
        <w:rPr>
          <w:rFonts w:ascii="Liberation Serif" w:hAnsi="Liberation Serif"/>
        </w:r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701" w:right="850" w:gutter="0" w:header="1134" w:top="1832" w:footer="1134" w:bottom="1832"/>
          <w:pgNumType w:fmt="decimal"/>
          <w:formProt w:val="false"/>
          <w:textDirection w:val="lrTb"/>
          <w:docGrid w:type="default" w:linePitch="100" w:charSpace="0"/>
        </w:sectPr>
      </w:pPr>
      <w:r>
        <w:rPr>
          <w:rFonts w:eastAsia="Arial" w:cs="Arial" w:ascii="Liberation Serif" w:hAnsi="Liberation Serif"/>
          <w:sz w:val="24"/>
          <w:szCs w:val="24"/>
        </w:rPr>
        <w:tab/>
        <w:t>Монгол Улсын түүх нь жижиг дунд улсуудын тулгарч буй нийтлэг асуудлуудыг: хоёр том хөршийн дунд тэнцвэр хадгалах, нөөц баялгийг тогтвортой ашиглах, уламжлал болон шинэчлэлийг зохицуулах гэсэн сорилтуудыг тусгаж байдаг тул олон улсын судлаачдын онцгой анхаарлыг татаж ирсэн байна.</w:t>
      </w:r>
    </w:p>
    <w:p>
      <w:pPr>
        <w:pStyle w:val="Normal"/>
        <w:rPr/>
      </w:pPr>
      <w:r>
        <w:rPr/>
      </w:r>
    </w:p>
    <w:p>
      <w:pPr>
        <w:pStyle w:val="Normal"/>
        <w:rPr/>
      </w:pPr>
      <w:r>
        <w:rPr/>
      </w:r>
    </w:p>
    <w:p>
      <w:pPr>
        <w:pStyle w:val="Heading1"/>
        <w:numPr>
          <w:ilvl w:val="0"/>
          <w:numId w:val="0"/>
        </w:numPr>
        <w:ind w:hanging="0" w:start="0"/>
        <w:jc w:val="both"/>
        <w:rPr/>
      </w:pPr>
      <w:bookmarkStart w:id="59" w:name="__RefHeading___Toc966_4272085025"/>
      <w:bookmarkStart w:id="60" w:name="_Toc509411131"/>
      <w:bookmarkEnd w:id="59"/>
      <w:r>
        <w:rPr/>
        <w:t>АШИГЛАСАН НОМ</w:t>
      </w:r>
      <w:r>
        <w:rPr>
          <w:lang w:val="mn-Cyrl-MN"/>
        </w:rPr>
        <w:t xml:space="preserve"> ЗҮЙ</w:t>
      </w:r>
      <w:bookmarkEnd w:id="60"/>
    </w:p>
    <w:p>
      <w:pPr>
        <w:pStyle w:val="Normal"/>
        <w:rPr>
          <w:rFonts w:ascii="Times New Roman" w:hAnsi="Times New Roman" w:cs="Times New Roman"/>
          <w:lang w:val="mn-Cyrl-MN"/>
        </w:rPr>
      </w:pPr>
      <w:r>
        <w:rPr/>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Baabar [Батбаяр, Б.]. (1999). Монголын XX зууны түүх. Кеймбридж: Монгол-Английн нийгэмлэг.</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Bawden, C. R. (1968). The Modern History of Mongolia. Лондон: Weidenfeld and Nicolson.</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Coox, A. D. (1985). Nomonhan: Japan Against Russia, 1939 (2 боть). Стэнфорд: Stanford University Press.</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Fish, M. S. (1998). 'Mongolia: Democracy Without Prerequisites'. Journal of Democracy, 9(3), 127–141.</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Freedom House. (2023). Freedom in the World 2023: Mongolia. Washington, D.C.: Freedom House.</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IMF (International Monetary Fund). (2013). Mongolia: Staff Report for the 2013 Article IV Consultation. Вашингтон: IMF.</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Kotkin, S., &amp; Elleman, B. A. (Eds.). (1999). Mongolia in the Twentieth Century: Landlocked Cosmopolitan. Нью-Йорк: M. E. Sharpe.</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Lattimore, O. (1955). Nationalism and Revolution in Mongolia. Нью-Йорк: Oxford University Press.</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Mearns, R. (1993). 'Territoriality and Land Tenure among Mongolian Pastoralists'. Nomadic Peoples, 33, 73–103.</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Mongolian Economy. (2017). Mongolia and IMF: Extended Fund Facility Programme. Улаанбаатар: Mongolian Economy Publishing.</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Murphy, G. (1966). Soviet Mongolia: A Study of the Oldest Political Satellite. Беркли: University of California Press.</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Rossabi, M. (2005). Modern Mongolia: From Khans to Commissars to Capitalists. Беркли: University of California Press.</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Rupen, R. A. (1964). Mongols of the Twentieth Century. Блумингтон: Indiana University Publications.</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World Bank. (1994). Mongolia: Toward a Market Economy. Вашингтон: The World Bank.</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Монгол Улсын Их Хурал. (1992). Монгол Улсын Үндсэн Хууль. Улаанбаатар: Улсын хэвлэлийн газар.</w:t>
      </w:r>
    </w:p>
    <w:p>
      <w:pPr>
        <w:pStyle w:val="Normal"/>
        <w:widowControl/>
        <w:numPr>
          <w:ilvl w:val="0"/>
          <w:numId w:val="5"/>
        </w:numPr>
        <w:suppressAutoHyphens w:val="true"/>
        <w:overflowPunct w:val="true"/>
        <w:bidi w:val="0"/>
        <w:spacing w:lineRule="auto" w:line="319" w:before="0" w:after="0"/>
        <w:jc w:val="both"/>
        <w:rPr>
          <w:rFonts w:ascii="Liberation Serif" w:hAnsi="Liberation Serif"/>
          <w:sz w:val="24"/>
          <w:szCs w:val="24"/>
        </w:rPr>
      </w:pPr>
      <w:r>
        <w:rPr>
          <w:rFonts w:eastAsia="Arial" w:cs="Arial" w:ascii="Liberation Serif" w:hAnsi="Liberation Serif"/>
          <w:sz w:val="24"/>
          <w:szCs w:val="24"/>
        </w:rPr>
        <w:t>Монгол Улсын Шинжлэх Ухааны Академи. (2003). Монголын Түүх (III боть). Улаанбаатар: МУШУА.</w:t>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4" w:right="1418" w:gutter="0" w:header="720" w:top="1418" w:footer="72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w:t>
    </w:r>
    <w:r>
      <w:rPr/>
      <w:fldChar w:fldCharType="end"/>
    </w:r>
  </w:p>
  <w:p>
    <w:pPr>
      <w:pStyle w:val="Footer"/>
      <w:ind w:end="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w:t>
    </w:r>
    <w:r>
      <w:rPr/>
      <w:fldChar w:fldCharType="end"/>
    </w:r>
  </w:p>
  <w:p>
    <w:pPr>
      <w:pStyle w:val="Footer"/>
      <w:ind w:end="3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ind w:end="3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ind w:end="36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ind w:end="36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ind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940" w:leader="none"/>
      </w:tabs>
      <w:spacing w:lineRule="auto" w:line="276"/>
      <w:jc w:val="center"/>
      <w:rPr>
        <w:b/>
        <w:sz w:val="32"/>
        <w:szCs w:val="32"/>
        <w:lang w:val="mn-Cyrl-MN"/>
      </w:rPr>
    </w:pPr>
    <w:r>
      <w:rPr>
        <w:b/>
        <w:sz w:val="32"/>
        <w:szCs w:val="32"/>
        <w:lang w:val="mn-Cyrl-MN"/>
      </w:rPr>
      <w:drawing>
        <wp:anchor distT="0" distB="0" distL="0" distR="0" simplePos="0" relativeHeight="3" behindDoc="1" locked="0" layoutInCell="1" allowOverlap="1">
          <wp:simplePos x="0" y="0"/>
          <wp:positionH relativeFrom="column">
            <wp:posOffset>2274570</wp:posOffset>
          </wp:positionH>
          <wp:positionV relativeFrom="paragraph">
            <wp:posOffset>-123825</wp:posOffset>
          </wp:positionV>
          <wp:extent cx="1200150" cy="120015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
                  <a:stretch>
                    <a:fillRect/>
                  </a:stretch>
                </pic:blipFill>
                <pic:spPr bwMode="auto">
                  <a:xfrm>
                    <a:off x="0" y="0"/>
                    <a:ext cx="1200150" cy="1200150"/>
                  </a:xfrm>
                  <a:prstGeom prst="rect">
                    <a:avLst/>
                  </a:prstGeom>
                  <a:noFill/>
                </pic:spPr>
              </pic:pic>
            </a:graphicData>
          </a:graphic>
        </wp:anchor>
      </w:drawing>
    </w:r>
  </w:p>
  <w:p>
    <w:pPr>
      <w:pStyle w:val="Normal"/>
      <w:tabs>
        <w:tab w:val="clear" w:pos="720"/>
        <w:tab w:val="left" w:pos="3940" w:leader="none"/>
      </w:tabs>
      <w:spacing w:lineRule="auto" w:line="276"/>
      <w:rPr>
        <w:b/>
        <w:sz w:val="32"/>
        <w:szCs w:val="32"/>
        <w:lang w:val="mn-Cyrl-MN"/>
      </w:rPr>
    </w:pPr>
    <w:r>
      <w:rPr>
        <w:b/>
        <w:sz w:val="32"/>
        <w:szCs w:val="32"/>
        <w:lang w:val="mn-Cyrl-MN"/>
      </w:rPr>
      <w:t xml:space="preserve">           </w:t>
    </w:r>
  </w:p>
  <w:p>
    <w:pPr>
      <w:pStyle w:val="Normal"/>
      <w:tabs>
        <w:tab w:val="clear" w:pos="720"/>
        <w:tab w:val="left" w:pos="3940" w:leader="none"/>
      </w:tabs>
      <w:spacing w:lineRule="auto" w:line="276"/>
      <w:rPr>
        <w:b/>
        <w:sz w:val="32"/>
        <w:szCs w:val="32"/>
        <w:lang w:val="mn-Cyrl-MN"/>
      </w:rPr>
    </w:pPr>
    <w:r>
      <w:rPr>
        <w:b/>
        <w:sz w:val="32"/>
        <w:szCs w:val="32"/>
        <w:lang w:val="mn-Cyrl-MN"/>
      </w:rPr>
    </w:r>
  </w:p>
  <w:p>
    <w:pPr>
      <w:pStyle w:val="Normal"/>
      <w:tabs>
        <w:tab w:val="clear" w:pos="720"/>
        <w:tab w:val="left" w:pos="3940" w:leader="none"/>
      </w:tabs>
      <w:spacing w:lineRule="auto" w:line="276"/>
      <w:jc w:val="center"/>
      <w:rPr>
        <w:b/>
        <w:sz w:val="32"/>
        <w:szCs w:val="32"/>
        <w:lang w:val="mn-Cyrl-MN"/>
      </w:rPr>
    </w:pPr>
    <w:r>
      <w:rPr>
        <w:b/>
        <w:sz w:val="32"/>
        <w:szCs w:val="32"/>
        <w:lang w:val="mn-Cyrl-MN"/>
      </w:rPr>
    </w:r>
  </w:p>
  <w:p>
    <w:pPr>
      <w:pStyle w:val="Normal"/>
      <w:tabs>
        <w:tab w:val="clear" w:pos="720"/>
        <w:tab w:val="left" w:pos="3940" w:leader="none"/>
      </w:tabs>
      <w:spacing w:lineRule="auto" w:line="276"/>
      <w:jc w:val="center"/>
      <w:rPr>
        <w:b/>
        <w:sz w:val="32"/>
        <w:szCs w:val="32"/>
        <w:lang w:val="mn-Cyrl-MN"/>
      </w:rPr>
    </w:pPr>
    <w:r>
      <w:rPr>
        <w:b/>
        <w:sz w:val="32"/>
        <w:szCs w:val="32"/>
        <w:lang w:val="mn-Cyrl-MN"/>
      </w:rPr>
      <w:t>МАНДАХ ИХ СУРГУУЛЬ</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940" w:leader="none"/>
      </w:tabs>
      <w:spacing w:lineRule="auto" w:line="276"/>
      <w:jc w:val="center"/>
      <w:rPr>
        <w:b/>
        <w:sz w:val="32"/>
        <w:szCs w:val="32"/>
        <w:lang w:val="mn-Cyrl-MN"/>
      </w:rPr>
    </w:pPr>
    <w:r>
      <w:rPr>
        <w:b/>
        <w:sz w:val="32"/>
        <w:szCs w:val="32"/>
        <w:lang w:val="mn-Cyrl-MN"/>
      </w:rPr>
      <w:drawing>
        <wp:anchor distT="0" distB="0" distL="0" distR="0" simplePos="0" relativeHeight="3" behindDoc="1" locked="0" layoutInCell="1" allowOverlap="1">
          <wp:simplePos x="0" y="0"/>
          <wp:positionH relativeFrom="column">
            <wp:posOffset>2274570</wp:posOffset>
          </wp:positionH>
          <wp:positionV relativeFrom="paragraph">
            <wp:posOffset>-123825</wp:posOffset>
          </wp:positionV>
          <wp:extent cx="1200150" cy="120015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
                  <a:stretch>
                    <a:fillRect/>
                  </a:stretch>
                </pic:blipFill>
                <pic:spPr bwMode="auto">
                  <a:xfrm>
                    <a:off x="0" y="0"/>
                    <a:ext cx="1200150" cy="1200150"/>
                  </a:xfrm>
                  <a:prstGeom prst="rect">
                    <a:avLst/>
                  </a:prstGeom>
                  <a:noFill/>
                </pic:spPr>
              </pic:pic>
            </a:graphicData>
          </a:graphic>
        </wp:anchor>
      </w:drawing>
    </w:r>
  </w:p>
  <w:p>
    <w:pPr>
      <w:pStyle w:val="Normal"/>
      <w:tabs>
        <w:tab w:val="clear" w:pos="720"/>
        <w:tab w:val="left" w:pos="3940" w:leader="none"/>
      </w:tabs>
      <w:spacing w:lineRule="auto" w:line="276"/>
      <w:rPr>
        <w:b/>
        <w:sz w:val="32"/>
        <w:szCs w:val="32"/>
        <w:lang w:val="mn-Cyrl-MN"/>
      </w:rPr>
    </w:pPr>
    <w:r>
      <w:rPr>
        <w:b/>
        <w:sz w:val="32"/>
        <w:szCs w:val="32"/>
        <w:lang w:val="mn-Cyrl-MN"/>
      </w:rPr>
      <w:t xml:space="preserve">           </w:t>
    </w:r>
  </w:p>
  <w:p>
    <w:pPr>
      <w:pStyle w:val="Normal"/>
      <w:tabs>
        <w:tab w:val="clear" w:pos="720"/>
        <w:tab w:val="left" w:pos="3940" w:leader="none"/>
      </w:tabs>
      <w:spacing w:lineRule="auto" w:line="276"/>
      <w:rPr>
        <w:b/>
        <w:sz w:val="32"/>
        <w:szCs w:val="32"/>
        <w:lang w:val="mn-Cyrl-MN"/>
      </w:rPr>
    </w:pPr>
    <w:r>
      <w:rPr>
        <w:b/>
        <w:sz w:val="32"/>
        <w:szCs w:val="32"/>
        <w:lang w:val="mn-Cyrl-MN"/>
      </w:rPr>
    </w:r>
  </w:p>
  <w:p>
    <w:pPr>
      <w:pStyle w:val="Normal"/>
      <w:tabs>
        <w:tab w:val="clear" w:pos="720"/>
        <w:tab w:val="left" w:pos="3940" w:leader="none"/>
      </w:tabs>
      <w:spacing w:lineRule="auto" w:line="276"/>
      <w:jc w:val="center"/>
      <w:rPr>
        <w:b/>
        <w:sz w:val="32"/>
        <w:szCs w:val="32"/>
        <w:lang w:val="mn-Cyrl-MN"/>
      </w:rPr>
    </w:pPr>
    <w:r>
      <w:rPr>
        <w:b/>
        <w:sz w:val="32"/>
        <w:szCs w:val="32"/>
        <w:lang w:val="mn-Cyrl-MN"/>
      </w:rPr>
    </w:r>
  </w:p>
  <w:p>
    <w:pPr>
      <w:pStyle w:val="Normal"/>
      <w:tabs>
        <w:tab w:val="clear" w:pos="720"/>
        <w:tab w:val="left" w:pos="3940" w:leader="none"/>
      </w:tabs>
      <w:spacing w:lineRule="auto" w:line="276"/>
      <w:jc w:val="center"/>
      <w:rPr>
        <w:b/>
        <w:sz w:val="32"/>
        <w:szCs w:val="32"/>
        <w:lang w:val="mn-Cyrl-MN"/>
      </w:rPr>
    </w:pPr>
    <w:r>
      <w:rPr>
        <w:b/>
        <w:sz w:val="32"/>
        <w:szCs w:val="32"/>
        <w:lang w:val="mn-Cyrl-MN"/>
      </w:rPr>
      <w:t>МАНДАХ ИХ СУРГУУЛЬ</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2" w:name="_Toc518744971"/>
    <w:bookmarkStart w:id="3" w:name="_Toc518913042"/>
    <w:bookmarkStart w:id="4" w:name="_Toc518744837"/>
    <w:bookmarkStart w:id="5" w:name="_Toc518744971"/>
    <w:bookmarkStart w:id="6" w:name="_Toc518913042"/>
    <w:bookmarkStart w:id="7" w:name="_Toc518744837"/>
    <w:bookmarkEnd w:id="5"/>
    <w:bookmarkEnd w:id="6"/>
    <w:bookmarkEnd w:id="7"/>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8" w:name="_Toc518744971"/>
    <w:bookmarkStart w:id="9" w:name="_Toc518913042"/>
    <w:bookmarkStart w:id="10" w:name="_Toc518744837"/>
    <w:bookmarkStart w:id="11" w:name="_Toc518744971"/>
    <w:bookmarkStart w:id="12" w:name="_Toc518913042"/>
    <w:bookmarkStart w:id="13" w:name="_Toc518744837"/>
    <w:bookmarkEnd w:id="11"/>
    <w:bookmarkEnd w:id="12"/>
    <w:bookmarkEnd w:id="13"/>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47" w:name="_Toc518913042_Copy_8"/>
    <w:bookmarkStart w:id="48" w:name="_Toc518744971_Copy_8"/>
    <w:bookmarkStart w:id="49" w:name="_Toc518744837_Copy_8"/>
    <w:bookmarkStart w:id="50" w:name="_Toc518913042_Copy_8"/>
    <w:bookmarkStart w:id="51" w:name="_Toc518744971_Copy_8"/>
    <w:bookmarkStart w:id="52" w:name="_Toc518744837_Copy_8"/>
    <w:bookmarkEnd w:id="50"/>
    <w:bookmarkEnd w:id="51"/>
    <w:bookmarkEnd w:id="52"/>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53" w:name="_Toc518913042_Copy_8"/>
    <w:bookmarkStart w:id="54" w:name="_Toc518744971_Copy_8"/>
    <w:bookmarkStart w:id="55" w:name="_Toc518744837_Copy_8"/>
    <w:bookmarkStart w:id="56" w:name="_Toc518913042_Copy_8"/>
    <w:bookmarkStart w:id="57" w:name="_Toc518744971_Copy_8"/>
    <w:bookmarkStart w:id="58" w:name="_Toc518744837_Copy_8"/>
    <w:bookmarkEnd w:id="56"/>
    <w:bookmarkEnd w:id="57"/>
    <w:bookmarkEnd w:id="58"/>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61" w:name="_Toc518744837_Copy_8_Copy_2"/>
    <w:bookmarkStart w:id="62" w:name="_Toc518744971_Copy_8_Copy_2"/>
    <w:bookmarkStart w:id="63" w:name="_Toc518913042_Copy_8_Copy_2"/>
    <w:bookmarkStart w:id="64" w:name="_Toc518744837_Copy_8_Copy_2"/>
    <w:bookmarkStart w:id="65" w:name="_Toc518744971_Copy_8_Copy_2"/>
    <w:bookmarkStart w:id="66" w:name="_Toc518913042_Copy_8_Copy_2"/>
    <w:bookmarkEnd w:id="64"/>
    <w:bookmarkEnd w:id="65"/>
    <w:bookmarkEnd w:id="66"/>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240"/>
      <w:jc w:val="center"/>
      <w:rPr/>
    </w:pPr>
    <w:r>
      <w:rPr/>
    </w:r>
    <w:bookmarkStart w:id="67" w:name="_Toc518744837_Copy_8_Copy_2"/>
    <w:bookmarkStart w:id="68" w:name="_Toc518744971_Copy_8_Copy_2"/>
    <w:bookmarkStart w:id="69" w:name="_Toc518913042_Copy_8_Copy_2"/>
    <w:bookmarkStart w:id="70" w:name="_Toc518744837_Copy_8_Copy_2"/>
    <w:bookmarkStart w:id="71" w:name="_Toc518744971_Copy_8_Copy_2"/>
    <w:bookmarkStart w:id="72" w:name="_Toc518913042_Copy_8_Copy_2"/>
    <w:bookmarkEnd w:id="70"/>
    <w:bookmarkEnd w:id="71"/>
    <w:bookmarkEnd w:id="72"/>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360"/>
        </w:tabs>
        <w:ind w:start="360" w:hanging="360"/>
      </w:pPr>
      <w:rPr/>
    </w:lvl>
    <w:lvl w:ilvl="1">
      <w:start w:val="1"/>
      <w:numFmt w:val="lowerRoman"/>
      <w:lvlText w:val="(%2)"/>
      <w:lvlJc w:val="start"/>
      <w:pPr>
        <w:tabs>
          <w:tab w:val="num" w:pos="1080"/>
        </w:tabs>
        <w:ind w:start="720" w:hanging="360"/>
      </w:pPr>
      <w:rPr/>
    </w:lvl>
    <w:lvl w:ilvl="2">
      <w:start w:val="1"/>
      <w:numFmt w:val="lowerRoman"/>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3">
    <w:lvl w:ilvl="0">
      <w:start w:val="1"/>
      <w:numFmt w:val="decimal"/>
      <w:suff w:val="space"/>
      <w:lvlText w:val="%1"/>
      <w:lvlJc w:val="start"/>
      <w:pPr>
        <w:tabs>
          <w:tab w:val="num" w:pos="0"/>
        </w:tabs>
        <w:ind w:start="360" w:hanging="360"/>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4">
    <w:lvl w:ilvl="0">
      <w:start w:val="1"/>
      <w:numFmt w:val="bullet"/>
      <w:lvlText w:val=""/>
      <w:lvlJc w:val="start"/>
      <w:pPr>
        <w:tabs>
          <w:tab w:val="num" w:pos="636"/>
        </w:tabs>
        <w:ind w:start="636" w:hanging="360"/>
      </w:pPr>
      <w:rPr>
        <w:rFonts w:ascii="Symbol" w:hAnsi="Symbol" w:cs="Symbol" w:hint="default"/>
      </w:rPr>
    </w:lvl>
    <w:lvl w:ilvl="1">
      <w:start w:val="1"/>
      <w:numFmt w:val="decimal"/>
      <w:lvlText w:val="%2."/>
      <w:lvlJc w:val="start"/>
      <w:pPr>
        <w:tabs>
          <w:tab w:val="num" w:pos="996"/>
        </w:tabs>
        <w:ind w:start="996" w:hanging="360"/>
      </w:pPr>
      <w:rPr/>
    </w:lvl>
    <w:lvl w:ilvl="2">
      <w:start w:val="1"/>
      <w:numFmt w:val="bullet"/>
      <w:lvlText w:val="▪"/>
      <w:lvlJc w:val="start"/>
      <w:pPr>
        <w:tabs>
          <w:tab w:val="num" w:pos="1356"/>
        </w:tabs>
        <w:ind w:start="1356" w:hanging="360"/>
      </w:pPr>
      <w:rPr>
        <w:rFonts w:ascii="OpenSymbol" w:hAnsi="OpenSymbol" w:cs="OpenSymbol" w:hint="default"/>
      </w:rPr>
    </w:lvl>
    <w:lvl w:ilvl="3">
      <w:start w:val="1"/>
      <w:numFmt w:val="bullet"/>
      <w:lvlText w:val=""/>
      <w:lvlJc w:val="start"/>
      <w:pPr>
        <w:tabs>
          <w:tab w:val="num" w:pos="1716"/>
        </w:tabs>
        <w:ind w:start="1716" w:hanging="360"/>
      </w:pPr>
      <w:rPr>
        <w:rFonts w:ascii="Symbol" w:hAnsi="Symbol" w:cs="Symbol" w:hint="default"/>
      </w:rPr>
    </w:lvl>
    <w:lvl w:ilvl="4">
      <w:start w:val="1"/>
      <w:numFmt w:val="bullet"/>
      <w:lvlText w:val="◦"/>
      <w:lvlJc w:val="start"/>
      <w:pPr>
        <w:tabs>
          <w:tab w:val="num" w:pos="2076"/>
        </w:tabs>
        <w:ind w:start="2076" w:hanging="360"/>
      </w:pPr>
      <w:rPr>
        <w:rFonts w:ascii="OpenSymbol" w:hAnsi="OpenSymbol" w:cs="OpenSymbol" w:hint="default"/>
      </w:rPr>
    </w:lvl>
    <w:lvl w:ilvl="5">
      <w:start w:val="1"/>
      <w:numFmt w:val="bullet"/>
      <w:lvlText w:val="▪"/>
      <w:lvlJc w:val="start"/>
      <w:pPr>
        <w:tabs>
          <w:tab w:val="num" w:pos="2436"/>
        </w:tabs>
        <w:ind w:start="2436" w:hanging="360"/>
      </w:pPr>
      <w:rPr>
        <w:rFonts w:ascii="OpenSymbol" w:hAnsi="OpenSymbol" w:cs="OpenSymbol" w:hint="default"/>
      </w:rPr>
    </w:lvl>
    <w:lvl w:ilvl="6">
      <w:start w:val="1"/>
      <w:numFmt w:val="bullet"/>
      <w:lvlText w:val=""/>
      <w:lvlJc w:val="start"/>
      <w:pPr>
        <w:tabs>
          <w:tab w:val="num" w:pos="2796"/>
        </w:tabs>
        <w:ind w:start="2796" w:hanging="360"/>
      </w:pPr>
      <w:rPr>
        <w:rFonts w:ascii="Symbol" w:hAnsi="Symbol" w:cs="Symbol" w:hint="default"/>
      </w:rPr>
    </w:lvl>
    <w:lvl w:ilvl="7">
      <w:start w:val="1"/>
      <w:numFmt w:val="bullet"/>
      <w:lvlText w:val="◦"/>
      <w:lvlJc w:val="start"/>
      <w:pPr>
        <w:tabs>
          <w:tab w:val="num" w:pos="3156"/>
        </w:tabs>
        <w:ind w:start="3156" w:hanging="360"/>
      </w:pPr>
      <w:rPr>
        <w:rFonts w:ascii="OpenSymbol" w:hAnsi="OpenSymbol" w:cs="OpenSymbol" w:hint="default"/>
      </w:rPr>
    </w:lvl>
    <w:lvl w:ilvl="8">
      <w:start w:val="1"/>
      <w:numFmt w:val="bullet"/>
      <w:lvlText w:val="▪"/>
      <w:lvlJc w:val="start"/>
      <w:pPr>
        <w:tabs>
          <w:tab w:val="num" w:pos="3516"/>
        </w:tabs>
        <w:ind w:start="3516"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AU" w:eastAsia="en-AU"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jc w:val="both"/>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link w:val="Heading1Char"/>
    <w:qFormat/>
    <w:pPr>
      <w:keepNext w:val="true"/>
      <w:numPr>
        <w:ilvl w:val="0"/>
        <w:numId w:val="3"/>
      </w:numPr>
      <w:spacing w:lineRule="auto" w:line="240"/>
      <w:ind w:hanging="0" w:start="0"/>
      <w:jc w:val="center"/>
      <w:outlineLvl w:val="0"/>
    </w:pPr>
    <w:rPr>
      <w:b/>
      <w:caps/>
    </w:rPr>
  </w:style>
  <w:style w:type="paragraph" w:styleId="Heading2">
    <w:name w:val="heading 2"/>
    <w:basedOn w:val="Normal"/>
    <w:next w:val="Normal"/>
    <w:qFormat/>
    <w:pPr>
      <w:keepNext w:val="true"/>
      <w:numPr>
        <w:ilvl w:val="1"/>
        <w:numId w:val="3"/>
      </w:numPr>
      <w:spacing w:lineRule="auto" w:line="240" w:before="240" w:after="120"/>
      <w:jc w:val="start"/>
      <w:outlineLvl w:val="1"/>
    </w:pPr>
    <w:rPr>
      <w:b/>
    </w:rPr>
  </w:style>
  <w:style w:type="paragraph" w:styleId="Heading3">
    <w:name w:val="heading 3"/>
    <w:basedOn w:val="Normal"/>
    <w:next w:val="Normal"/>
    <w:qFormat/>
    <w:pPr>
      <w:keepNext w:val="true"/>
      <w:numPr>
        <w:ilvl w:val="2"/>
        <w:numId w:val="3"/>
      </w:numPr>
      <w:spacing w:before="240" w:after="120"/>
      <w:outlineLvl w:val="2"/>
    </w:pPr>
    <w:rPr/>
  </w:style>
  <w:style w:type="paragraph" w:styleId="Heading4">
    <w:name w:val="heading 4"/>
    <w:basedOn w:val="Normal"/>
    <w:next w:val="Normal"/>
    <w:qFormat/>
    <w:pPr>
      <w:keepNext w:val="true"/>
      <w:numPr>
        <w:ilvl w:val="3"/>
        <w:numId w:val="3"/>
      </w:numPr>
      <w:spacing w:before="240" w:after="60"/>
      <w:outlineLvl w:val="3"/>
    </w:pPr>
    <w:rPr/>
  </w:style>
  <w:style w:type="paragraph" w:styleId="Heading5">
    <w:name w:val="heading 5"/>
    <w:basedOn w:val="Normal"/>
    <w:next w:val="Normal"/>
    <w:qFormat/>
    <w:pPr>
      <w:numPr>
        <w:ilvl w:val="4"/>
        <w:numId w:val="3"/>
      </w:numPr>
      <w:spacing w:before="240" w:after="60"/>
      <w:outlineLvl w:val="4"/>
    </w:pPr>
    <w:rPr>
      <w:sz w:val="22"/>
    </w:rPr>
  </w:style>
  <w:style w:type="paragraph" w:styleId="Heading6">
    <w:name w:val="heading 6"/>
    <w:basedOn w:val="Normal"/>
    <w:next w:val="Normal"/>
    <w:qFormat/>
    <w:pPr>
      <w:numPr>
        <w:ilvl w:val="5"/>
        <w:numId w:val="3"/>
      </w:numPr>
      <w:spacing w:before="240" w:after="60"/>
      <w:outlineLvl w:val="5"/>
    </w:pPr>
    <w:rPr>
      <w:i/>
      <w:sz w:val="22"/>
    </w:rPr>
  </w:style>
  <w:style w:type="paragraph" w:styleId="Heading7">
    <w:name w:val="heading 7"/>
    <w:basedOn w:val="Normal"/>
    <w:next w:val="Normal"/>
    <w:qFormat/>
    <w:pPr>
      <w:numPr>
        <w:ilvl w:val="6"/>
        <w:numId w:val="3"/>
      </w:numPr>
      <w:spacing w:before="240" w:after="60"/>
      <w:outlineLvl w:val="6"/>
    </w:pPr>
    <w:rPr>
      <w:rFonts w:ascii="Arial" w:hAnsi="Arial"/>
      <w:sz w:val="20"/>
    </w:rPr>
  </w:style>
  <w:style w:type="paragraph" w:styleId="Heading8">
    <w:name w:val="heading 8"/>
    <w:basedOn w:val="Normal"/>
    <w:next w:val="Normal"/>
    <w:qFormat/>
    <w:pPr>
      <w:numPr>
        <w:ilvl w:val="7"/>
        <w:numId w:val="3"/>
      </w:numPr>
      <w:spacing w:before="240" w:after="60"/>
      <w:outlineLvl w:val="7"/>
    </w:pPr>
    <w:rPr>
      <w:rFonts w:ascii="Arial" w:hAnsi="Arial"/>
      <w:i/>
      <w:sz w:val="20"/>
    </w:rPr>
  </w:style>
  <w:style w:type="paragraph" w:styleId="Heading9">
    <w:name w:val="heading 9"/>
    <w:basedOn w:val="Normal"/>
    <w:next w:val="Normal"/>
    <w:qFormat/>
    <w:pPr>
      <w:numPr>
        <w:ilvl w:val="8"/>
        <w:numId w:val="3"/>
      </w:numPr>
      <w:spacing w:before="240" w:after="60"/>
      <w:outlineLvl w:val="8"/>
    </w:pPr>
    <w:rPr>
      <w:rFonts w:ascii="Arial" w:hAnsi="Arial"/>
      <w:b/>
      <w:i/>
      <w:sz w:val="18"/>
    </w:rPr>
  </w:style>
  <w:style w:type="character" w:styleId="DefaultParagraphFont">
    <w:name w:val="Default Paragraph Font"/>
    <w:qFormat/>
    <w:rPr/>
  </w:style>
  <w:style w:type="character" w:styleId="PageNumber">
    <w:name w:val="page number"/>
    <w:basedOn w:val="DefaultParagraphFont"/>
    <w:rPr/>
  </w:style>
  <w:style w:type="character" w:styleId="FooterChar">
    <w:name w:val="Footer Char"/>
    <w:link w:val="Footer"/>
    <w:qFormat/>
    <w:rPr>
      <w:sz w:val="24"/>
      <w:lang w:val="en-GB" w:eastAsia="en-US"/>
    </w:rPr>
  </w:style>
  <w:style w:type="character" w:styleId="Heading1Char">
    <w:name w:val="Heading 1 Char"/>
    <w:link w:val="Heading1"/>
    <w:qFormat/>
    <w:rPr>
      <w:b/>
      <w:caps/>
      <w:sz w:val="24"/>
      <w:szCs w:val="24"/>
      <w:lang w:val="en-GB" w:eastAsia="en-US"/>
    </w:rPr>
  </w:style>
  <w:style w:type="character" w:styleId="BalloonTextChar">
    <w:name w:val="Balloon Text Char"/>
    <w:link w:val="BalloonText"/>
    <w:qFormat/>
    <w:rPr>
      <w:rFonts w:ascii="Tahoma" w:hAnsi="Tahoma" w:cs="Tahoma"/>
      <w:sz w:val="16"/>
      <w:szCs w:val="16"/>
      <w:lang w:val="en-GB" w:eastAsia="en-US"/>
    </w:rPr>
  </w:style>
  <w:style w:type="character" w:styleId="Hyperlink">
    <w:name w:val="Hyperlink"/>
    <w:basedOn w:val="DefaultParagraphFont"/>
    <w:rPr>
      <w:color w:themeColor="hyperlink" w:val="0000FF"/>
      <w:u w:val="single"/>
    </w:rPr>
  </w:style>
  <w:style w:type="character" w:styleId="BodytextArial">
    <w:name w:val="Body text + Arial"/>
    <w:basedOn w:val="DefaultParagraphFont"/>
    <w:qFormat/>
    <w:rPr>
      <w:rFonts w:ascii="Arial" w:hAnsi="Arial" w:eastAsia="Arial Unicode MS" w:cs="Arial"/>
      <w:sz w:val="18"/>
      <w:szCs w:val="18"/>
      <w:u w:val="none"/>
    </w:rPr>
  </w:style>
  <w:style w:type="character" w:styleId="HeaderChar">
    <w:name w:val="Header Char"/>
    <w:basedOn w:val="DefaultParagraphFont"/>
    <w:link w:val="Header"/>
    <w:qFormat/>
    <w:rPr>
      <w:szCs w:val="24"/>
      <w:lang w:val="en-GB" w:eastAsia="en-US"/>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240" w:after="0"/>
      <w:jc w:val="center"/>
    </w:pPr>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pacing w:lineRule="auto" w:line="240" w:before="240" w:after="240"/>
      <w:jc w:val="center"/>
    </w:pPr>
    <w:rPr>
      <w:sz w:val="20"/>
    </w:rPr>
  </w:style>
  <w:style w:type="paragraph" w:styleId="Footer">
    <w:name w:val="footer"/>
    <w:basedOn w:val="Normal"/>
    <w:link w:val="FooterChar"/>
    <w:pPr>
      <w:tabs>
        <w:tab w:val="clear" w:pos="720"/>
        <w:tab w:val="center" w:pos="4153" w:leader="none"/>
        <w:tab w:val="right" w:pos="8306" w:leader="none"/>
      </w:tabs>
    </w:pPr>
    <w:rPr/>
  </w:style>
  <w:style w:type="paragraph" w:styleId="Subheading1">
    <w:name w:val="Sub heading 1"/>
    <w:basedOn w:val="Normal"/>
    <w:qFormat/>
    <w:pPr>
      <w:numPr>
        <w:ilvl w:val="1"/>
        <w:numId w:val="2"/>
      </w:numPr>
      <w:spacing w:before="240" w:after="0"/>
      <w:outlineLvl w:val="1"/>
    </w:pPr>
    <w:rPr>
      <w:b/>
    </w:rPr>
  </w:style>
  <w:style w:type="paragraph" w:styleId="Subheading2">
    <w:name w:val="Subheading 2"/>
    <w:basedOn w:val="Normal"/>
    <w:qFormat/>
    <w:pPr>
      <w:numPr>
        <w:ilvl w:val="2"/>
        <w:numId w:val="2"/>
      </w:numPr>
      <w:spacing w:before="240" w:after="0"/>
      <w:jc w:val="start"/>
      <w:outlineLvl w:val="2"/>
    </w:pPr>
    <w:rPr/>
  </w:style>
  <w:style w:type="paragraph" w:styleId="Sublist">
    <w:name w:val="Sublist"/>
    <w:basedOn w:val="Normal"/>
    <w:qFormat/>
    <w:pPr>
      <w:numPr>
        <w:ilvl w:val="0"/>
        <w:numId w:val="1"/>
      </w:numPr>
    </w:pPr>
    <w:rPr/>
  </w:style>
  <w:style w:type="paragraph" w:styleId="TOC1">
    <w:name w:val="toc 1"/>
    <w:basedOn w:val="Normal"/>
    <w:next w:val="Normal"/>
    <w:autoRedefine/>
    <w:pPr>
      <w:spacing w:before="120" w:after="120"/>
      <w:jc w:val="start"/>
    </w:pPr>
    <w:rPr>
      <w:rFonts w:ascii="Calibri" w:hAnsi="Calibri" w:cs="Calibri"/>
      <w:b/>
      <w:bCs/>
      <w:caps/>
      <w:sz w:val="20"/>
      <w:szCs w:val="20"/>
    </w:rPr>
  </w:style>
  <w:style w:type="paragraph" w:styleId="PreliminaryHeader">
    <w:name w:val="Preliminary Header"/>
    <w:basedOn w:val="Normal"/>
    <w:qFormat/>
    <w:pPr>
      <w:numPr>
        <w:ilvl w:val="0"/>
        <w:numId w:val="0"/>
      </w:numPr>
      <w:spacing w:lineRule="auto" w:line="240" w:before="240" w:after="240"/>
      <w:jc w:val="center"/>
      <w:outlineLvl w:val="0"/>
    </w:pPr>
    <w:rPr>
      <w:b/>
      <w:caps/>
    </w:rPr>
  </w:style>
  <w:style w:type="paragraph" w:styleId="appendixheader">
    <w:name w:val="appendix header"/>
    <w:basedOn w:val="Normal"/>
    <w:qFormat/>
    <w:pPr>
      <w:numPr>
        <w:ilvl w:val="0"/>
        <w:numId w:val="0"/>
      </w:numPr>
      <w:tabs>
        <w:tab w:val="clear" w:pos="720"/>
        <w:tab w:val="center" w:pos="4153" w:leader="none"/>
        <w:tab w:val="right" w:pos="8306" w:leader="none"/>
      </w:tabs>
      <w:spacing w:lineRule="auto" w:line="240" w:before="3360" w:after="960"/>
      <w:jc w:val="center"/>
      <w:outlineLvl w:val="0"/>
    </w:pPr>
    <w:rPr>
      <w:b/>
      <w:caps/>
    </w:rPr>
  </w:style>
  <w:style w:type="paragraph" w:styleId="Referencetext">
    <w:name w:val="Reference text"/>
    <w:basedOn w:val="Normal"/>
    <w:qFormat/>
    <w:pPr>
      <w:spacing w:lineRule="auto" w:line="240"/>
      <w:ind w:hanging="567" w:start="567"/>
    </w:pPr>
    <w:rPr/>
  </w:style>
  <w:style w:type="paragraph" w:styleId="TOC2">
    <w:name w:val="toc 2"/>
    <w:basedOn w:val="Normal"/>
    <w:next w:val="Normal"/>
    <w:autoRedefine/>
    <w:pPr>
      <w:ind w:start="240"/>
      <w:jc w:val="start"/>
    </w:pPr>
    <w:rPr>
      <w:rFonts w:ascii="Calibri" w:hAnsi="Calibri" w:cs="Calibri"/>
      <w:smallCaps/>
      <w:sz w:val="20"/>
      <w:szCs w:val="20"/>
    </w:rPr>
  </w:style>
  <w:style w:type="paragraph" w:styleId="TOC3">
    <w:name w:val="toc 3"/>
    <w:basedOn w:val="Normal"/>
    <w:next w:val="Normal"/>
    <w:autoRedefine/>
    <w:pPr>
      <w:ind w:start="480"/>
      <w:jc w:val="start"/>
    </w:pPr>
    <w:rPr>
      <w:rFonts w:ascii="Calibri" w:hAnsi="Calibri" w:cs="Calibri"/>
      <w:i/>
      <w:iCs/>
      <w:sz w:val="20"/>
      <w:szCs w:val="20"/>
    </w:rPr>
  </w:style>
  <w:style w:type="paragraph" w:styleId="TOC4">
    <w:name w:val="toc 4"/>
    <w:basedOn w:val="Normal"/>
    <w:next w:val="Normal"/>
    <w:autoRedefine/>
    <w:pPr>
      <w:ind w:start="720"/>
      <w:jc w:val="start"/>
    </w:pPr>
    <w:rPr>
      <w:rFonts w:ascii="Calibri" w:hAnsi="Calibri" w:cs="Calibri"/>
      <w:sz w:val="18"/>
      <w:szCs w:val="18"/>
    </w:rPr>
  </w:style>
  <w:style w:type="paragraph" w:styleId="TOC5">
    <w:name w:val="toc 5"/>
    <w:basedOn w:val="Normal"/>
    <w:next w:val="Normal"/>
    <w:autoRedefine/>
    <w:pPr>
      <w:ind w:start="960"/>
      <w:jc w:val="start"/>
    </w:pPr>
    <w:rPr>
      <w:rFonts w:ascii="Calibri" w:hAnsi="Calibri" w:cs="Calibri"/>
      <w:sz w:val="18"/>
      <w:szCs w:val="18"/>
    </w:rPr>
  </w:style>
  <w:style w:type="paragraph" w:styleId="TOC6">
    <w:name w:val="toc 6"/>
    <w:basedOn w:val="Normal"/>
    <w:next w:val="Normal"/>
    <w:autoRedefine/>
    <w:pPr>
      <w:ind w:start="1200"/>
      <w:jc w:val="start"/>
    </w:pPr>
    <w:rPr>
      <w:rFonts w:ascii="Calibri" w:hAnsi="Calibri" w:cs="Calibri"/>
      <w:sz w:val="18"/>
      <w:szCs w:val="18"/>
    </w:rPr>
  </w:style>
  <w:style w:type="paragraph" w:styleId="TOC7">
    <w:name w:val="toc 7"/>
    <w:basedOn w:val="Normal"/>
    <w:next w:val="Normal"/>
    <w:autoRedefine/>
    <w:pPr>
      <w:ind w:start="1440"/>
      <w:jc w:val="start"/>
    </w:pPr>
    <w:rPr>
      <w:rFonts w:ascii="Calibri" w:hAnsi="Calibri" w:cs="Calibri"/>
      <w:sz w:val="18"/>
      <w:szCs w:val="18"/>
    </w:rPr>
  </w:style>
  <w:style w:type="paragraph" w:styleId="TOC8">
    <w:name w:val="toc 8"/>
    <w:basedOn w:val="Normal"/>
    <w:next w:val="Normal"/>
    <w:autoRedefine/>
    <w:pPr>
      <w:ind w:start="1680"/>
      <w:jc w:val="start"/>
    </w:pPr>
    <w:rPr>
      <w:rFonts w:ascii="Calibri" w:hAnsi="Calibri" w:cs="Calibri"/>
      <w:sz w:val="18"/>
      <w:szCs w:val="18"/>
    </w:rPr>
  </w:style>
  <w:style w:type="paragraph" w:styleId="TOC9">
    <w:name w:val="toc 9"/>
    <w:basedOn w:val="Normal"/>
    <w:next w:val="Normal"/>
    <w:autoRedefine/>
    <w:pPr>
      <w:ind w:start="1920"/>
      <w:jc w:val="start"/>
    </w:pPr>
    <w:rPr>
      <w:rFonts w:ascii="Calibri" w:hAnsi="Calibri" w:cs="Calibri"/>
      <w:sz w:val="18"/>
      <w:szCs w:val="18"/>
    </w:rPr>
  </w:style>
  <w:style w:type="paragraph" w:styleId="TableofFigures">
    <w:name w:val="table of figures"/>
    <w:basedOn w:val="Normal"/>
    <w:next w:val="Normal"/>
    <w:pPr>
      <w:ind w:hanging="480" w:start="480"/>
    </w:pPr>
    <w:rPr/>
  </w:style>
  <w:style w:type="paragraph" w:styleId="ListParagraph">
    <w:name w:val="List Paragraph"/>
    <w:basedOn w:val="Normal"/>
    <w:qFormat/>
    <w:pPr>
      <w:spacing w:lineRule="auto" w:line="240" w:before="0" w:after="0"/>
      <w:ind w:start="720"/>
      <w:contextualSpacing/>
      <w:jc w:val="start"/>
    </w:pPr>
    <w:rPr>
      <w:rFonts w:ascii="Arial" w:hAnsi="Arial" w:cs="Arial"/>
      <w:lang w:val="en-AU" w:eastAsia="en-AU"/>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IndexHeading">
    <w:name w:val="index heading"/>
    <w:basedOn w:val="Heading"/>
    <w:pPr/>
    <w:rPr/>
  </w:style>
  <w:style w:type="paragraph" w:styleId="TOCHeading">
    <w:name w:val="TOC Heading"/>
    <w:basedOn w:val="Heading1"/>
    <w:next w:val="Normal"/>
    <w:qFormat/>
    <w:pPr>
      <w:keepLines/>
      <w:numPr>
        <w:ilvl w:val="0"/>
        <w:numId w:val="0"/>
      </w:numPr>
      <w:spacing w:lineRule="auto" w:line="276" w:before="480" w:after="0"/>
      <w:ind w:hanging="0" w:start="0"/>
      <w:jc w:val="start"/>
      <w:outlineLvl w:val="9"/>
    </w:pPr>
    <w:rPr>
      <w:rFonts w:ascii="Cambria" w:hAnsi="Cambria" w:eastAsia="Times New Roman" w:cs="Times New Roman"/>
      <w:bCs/>
      <w:caps w:val="false"/>
      <w:smallCaps w:val="false"/>
      <w:color w:themeColor="accent1" w:themeShade="bf" w:val="365F91"/>
      <w:sz w:val="28"/>
      <w:szCs w:val="28"/>
      <w:lang w:val="en-US" w:eastAsia="ja-JP"/>
    </w:rPr>
  </w:style>
  <w:style w:type="paragraph" w:styleId="NoSpacing">
    <w:name w:val="No Spacing"/>
    <w:qFormat/>
    <w:pPr>
      <w:widowControl/>
      <w:suppressAutoHyphens w:val="true"/>
      <w:overflowPunct w:val="true"/>
      <w:bidi w:val="0"/>
      <w:spacing w:before="0" w:after="0"/>
      <w:jc w:val="both"/>
    </w:pPr>
    <w:rPr>
      <w:rFonts w:ascii="Times New Roman" w:hAnsi="Times New Roman" w:eastAsia="Times New Roman" w:cs="Times New Roman"/>
      <w:color w:val="auto"/>
      <w:kern w:val="0"/>
      <w:sz w:val="24"/>
      <w:szCs w:val="24"/>
      <w:lang w:val="en-GB"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Thesis_template (3)</Template>
  <TotalTime>422</TotalTime>
  <Application>LibreOffice/26.2.1.2$Linux_X86_64 LibreOffice_project/4498df292cc7b696862cd17d793f3e8fd1382c8a</Application>
  <AppVersion>15.0000</AppVersion>
  <Pages>11</Pages>
  <Words>1877</Words>
  <Characters>11130</Characters>
  <CharactersWithSpaces>12922</CharactersWithSpaces>
  <Paragraphs>100</Paragraphs>
  <Company>Curtin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2021-10-14T00:56:00Z</dcterms:created>
  <dc:creator>engineering</dc:creator>
  <dc:description/>
  <dc:language>en-US</dc:language>
  <cp:lastModifiedBy/>
  <cp:lastPrinted>2001-07-31T23:55:00Z</cp:lastPrinted>
  <dcterms:modified xsi:type="dcterms:W3CDTF">2026-03-04T21:13:37Z</dcterms:modified>
  <cp:revision>57</cp:revision>
  <dc:subject/>
  <dc:title>Name of Department (Times New Roman 12pt/Bold)</dc:title>
</cp:coreProperties>
</file>

<file path=docProps/custom.xml><?xml version="1.0" encoding="utf-8"?>
<Properties xmlns="http://schemas.openxmlformats.org/officeDocument/2006/custom-properties" xmlns:vt="http://schemas.openxmlformats.org/officeDocument/2006/docPropsVTypes"/>
</file>