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«Торговое дело»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–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на основании данных открытых источников из сети Интернет рассчитать и проанализировать показатели деятельности торгового предприятия: средние товарные запасы, товарооборачиваемость (в дн., оборотах), рентабельность продаж и др., данные занести в таблицу (Приложение 2) 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>Сделать выводы о результатах деятельности торгового предприятия, которые будут использованы при выполнении последующих модулей конкурсного задания;</w:t>
      </w:r>
    </w:p>
    <w:p>
      <w:pPr>
        <w:pStyle w:val="Normal"/>
        <w:spacing w:lineRule="auto" w:line="240" w:before="0" w:after="0"/>
        <w:ind w:firstLine="709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Приложение 1</w:t>
      </w:r>
    </w:p>
    <w:p>
      <w:pPr>
        <w:pStyle w:val="Normal"/>
        <w:spacing w:lineRule="auto" w:line="24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Таблица – Исходные данные для проведения анализа показателей деятельности ТП</w:t>
      </w:r>
    </w:p>
    <w:p>
      <w:pPr>
        <w:pStyle w:val="Normal"/>
        <w:spacing w:lineRule="auto" w:line="240" w:before="0"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a3"/>
        <w:tblW w:w="9583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0"/>
        <w:gridCol w:w="4171"/>
        <w:gridCol w:w="1024"/>
        <w:gridCol w:w="2124"/>
        <w:gridCol w:w="1844"/>
      </w:tblGrid>
      <w:tr>
        <w:trPr>
          <w:trHeight w:val="520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Показатели</w:t>
            </w:r>
          </w:p>
        </w:tc>
        <w:tc>
          <w:tcPr>
            <w:tcW w:w="10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Усл. Обозн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2023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2024</w:t>
            </w:r>
          </w:p>
        </w:tc>
      </w:tr>
      <w:tr>
        <w:trPr>
          <w:trHeight w:val="312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 xml:space="preserve">Годовой объем оборота(Выручка), тыс. руб. 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66849265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72487466</w:t>
            </w:r>
          </w:p>
        </w:tc>
      </w:tr>
      <w:tr>
        <w:trPr>
          <w:trHeight w:val="260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2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Однодневный оборот, тыс. руб.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То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183149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198569</w:t>
            </w:r>
          </w:p>
        </w:tc>
      </w:tr>
      <w:tr>
        <w:trPr>
          <w:trHeight w:val="331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3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Чистая прибыль, тыс. руб.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Пч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1751536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191746</w:t>
            </w:r>
          </w:p>
        </w:tc>
      </w:tr>
      <w:tr>
        <w:trPr>
          <w:trHeight w:val="260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4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Издержки обращения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ИО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21741533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ru-RU" w:eastAsia="en-US" w:bidi="ar-SA"/>
              </w:rPr>
              <w:t>24717101</w:t>
            </w:r>
          </w:p>
        </w:tc>
      </w:tr>
      <w:tr>
        <w:trPr>
          <w:trHeight w:val="299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Себестоимость продаж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Сс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40532598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44818955</w:t>
            </w:r>
          </w:p>
        </w:tc>
      </w:tr>
      <w:tr>
        <w:trPr>
          <w:trHeight w:val="156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6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Запасы на начало года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7371980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10439161</w:t>
            </w:r>
          </w:p>
        </w:tc>
      </w:tr>
      <w:tr>
        <w:trPr>
          <w:trHeight w:val="156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7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Запасы на конец года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10439161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9690474</w:t>
            </w:r>
          </w:p>
        </w:tc>
      </w:tr>
      <w:tr>
        <w:trPr>
          <w:trHeight w:val="156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8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Дебиторская задолженность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ДЗ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1152562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1419373</w:t>
            </w:r>
          </w:p>
        </w:tc>
      </w:tr>
      <w:tr>
        <w:trPr>
          <w:trHeight w:val="156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9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Денежные средства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ДС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1089803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1344636</w:t>
            </w:r>
          </w:p>
        </w:tc>
      </w:tr>
      <w:tr>
        <w:trPr>
          <w:trHeight w:val="156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10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Краткосрочная задолженность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КЗ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20210210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18886027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156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11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Собственный капитал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СК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eastAsia="Calibri" w:cs="Calibri"/>
                <w:color w:val="000000"/>
                <w:kern w:val="0"/>
                <w:sz w:val="22"/>
                <w:szCs w:val="22"/>
                <w:lang w:val="ru-RU" w:eastAsia="en-US" w:bidi="ar-SA"/>
              </w:rPr>
              <w:t>1400755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1192199</w:t>
            </w:r>
          </w:p>
        </w:tc>
      </w:tr>
      <w:tr>
        <w:trPr>
          <w:trHeight w:val="156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12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Валюта баланса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ВБ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32618350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31349674</w:t>
            </w:r>
          </w:p>
        </w:tc>
      </w:tr>
      <w:tr>
        <w:trPr>
          <w:trHeight w:val="156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13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Внеоборотные активы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ВА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19717827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18702879</w:t>
            </w:r>
            <w:bookmarkStart w:id="0" w:name="_GoBack"/>
            <w:bookmarkEnd w:id="0"/>
          </w:p>
        </w:tc>
      </w:tr>
      <w:tr>
        <w:trPr>
          <w:trHeight w:val="156" w:hRule="atLeast"/>
        </w:trPr>
        <w:tc>
          <w:tcPr>
            <w:tcW w:w="4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14</w:t>
            </w:r>
          </w:p>
        </w:tc>
        <w:tc>
          <w:tcPr>
            <w:tcW w:w="41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Оборотные активы</w:t>
            </w:r>
          </w:p>
        </w:tc>
        <w:tc>
          <w:tcPr>
            <w:tcW w:w="10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ОА</w:t>
            </w:r>
          </w:p>
        </w:tc>
        <w:tc>
          <w:tcPr>
            <w:tcW w:w="21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12900523</w:t>
            </w:r>
          </w:p>
        </w:tc>
        <w:tc>
          <w:tcPr>
            <w:tcW w:w="18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12645795</w:t>
            </w:r>
          </w:p>
        </w:tc>
      </w:tr>
      <w:tr>
        <w:trPr>
          <w:trHeight w:val="512" w:hRule="atLeast"/>
        </w:trPr>
        <w:tc>
          <w:tcPr>
            <w:tcW w:w="42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15</w:t>
            </w:r>
          </w:p>
        </w:tc>
        <w:tc>
          <w:tcPr>
            <w:tcW w:w="4171" w:type="dxa"/>
            <w:tcBorders>
              <w:top w:val="nil"/>
            </w:tcBorders>
          </w:tcPr>
          <w:p>
            <w:pPr>
              <w:pStyle w:val="Normal"/>
              <w:bidi w:val="0"/>
              <w:spacing w:before="0" w:after="160"/>
              <w:jc w:val="left"/>
              <w:rPr>
                <w:rFonts w:ascii="Noto Sans Devanagari" w:hAnsi="Noto Sans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Times New Roman" w:hAnsi="Times New Roman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Прибыль (убыток) от продаж</w:t>
            </w:r>
          </w:p>
        </w:tc>
        <w:tc>
          <w:tcPr>
            <w:tcW w:w="102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ПП</w:t>
            </w:r>
          </w:p>
        </w:tc>
        <w:tc>
          <w:tcPr>
            <w:tcW w:w="2124" w:type="dxa"/>
            <w:tcBorders>
              <w:top w:val="nil"/>
            </w:tcBorders>
          </w:tcPr>
          <w:p>
            <w:pPr>
              <w:pStyle w:val="Normal"/>
              <w:bidi w:val="0"/>
              <w:spacing w:before="0" w:after="160"/>
              <w:jc w:val="center"/>
              <w:rPr>
                <w:rFonts w:ascii="Noto Sans Devanagari" w:hAnsi="Noto Sans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Times New Roman" w:hAnsi="Times New Roman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4575134</w:t>
            </w:r>
          </w:p>
        </w:tc>
        <w:tc>
          <w:tcPr>
            <w:tcW w:w="1844" w:type="dxa"/>
            <w:tcBorders>
              <w:top w:val="nil"/>
            </w:tcBorders>
          </w:tcPr>
          <w:p>
            <w:pPr>
              <w:pStyle w:val="Normal"/>
              <w:bidi w:val="0"/>
              <w:jc w:val="center"/>
              <w:rPr>
                <w:rFonts w:ascii="Noto Sans Devanagari" w:hAnsi="Noto Sans Devanagari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</w:pPr>
            <w:r>
              <w:rPr>
                <w:rFonts w:ascii="Times New Roman" w:hAnsi="Times New Roman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u w:val="none"/>
                <w:em w:val="none"/>
              </w:rPr>
              <w:t>2951410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  <w:t>Приложение 2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hd w:val="clear" w:color="auto" w:fill="FFFFFF" w:themeFill="background1"/>
        <w:jc w:val="both"/>
        <w:rPr>
          <w:rFonts w:ascii="Times New Roman" w:hAnsi="Times New Roman" w:cs="Times New Roman"/>
          <w:color w:themeColor="text1" w:val="000000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 xml:space="preserve">Динамика показателей экономической эффективности коммерческой деятельности </w:t>
      </w:r>
      <w:r>
        <w:rPr>
          <w:rFonts w:cs="Times New Roman" w:ascii="Times New Roman" w:hAnsi="Times New Roman"/>
          <w:bCs/>
          <w:color w:themeColor="text1" w:val="000000"/>
          <w:sz w:val="24"/>
          <w:szCs w:val="28"/>
        </w:rPr>
        <w:t>ООО «Домашний интерьер»</w:t>
      </w:r>
    </w:p>
    <w:tbl>
      <w:tblPr>
        <w:tblStyle w:val="a3"/>
        <w:tblW w:w="8779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1"/>
        <w:gridCol w:w="3302"/>
        <w:gridCol w:w="1448"/>
        <w:gridCol w:w="1836"/>
        <w:gridCol w:w="1632"/>
      </w:tblGrid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 xml:space="preserve">Показатели 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Усл. обозн.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Предшествующий год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 xml:space="preserve">Отчетный год 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1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Рентабельность продаж,%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Рп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6,84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4,07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2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Рентабельность коммерческой деятельности, %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Ркд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2,62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0,26</w:t>
            </w:r>
          </w:p>
        </w:tc>
      </w:tr>
      <w:tr>
        <w:trPr>
          <w:trHeight w:val="225" w:hRule="atLeast"/>
        </w:trPr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3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Рентабельность затрат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Рз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8,06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0,78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4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Рентабельность собственного капитала, %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ROE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125,03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16,08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5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ru-RU" w:eastAsia="en-US" w:bidi="ar-SA"/>
              </w:rPr>
              <w:t>Средние товарные запасы, тыс. руб.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ТЗ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8905571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10064818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6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Оборачиваемость товарных запасов, дни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ТЗ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48,62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50,68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7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Оборачиваемость товарных запасов, раз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7.51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7.20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8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Оборачиваемость дебиторской задолженности,дни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Дз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6,3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7,1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9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Коэффициент текущей ликвидности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Тл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0,64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0,67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10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Коэффициент абсолютной ликвидности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Ал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0,05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0,07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11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Коэффициент финансовой независимости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Кфн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0,04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0,04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12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Ксо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1,42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1,38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13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Уровень коммерческих расходов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Укр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32,52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34,10</w:t>
            </w:r>
          </w:p>
        </w:tc>
      </w:tr>
      <w:tr>
        <w:trPr/>
        <w:tc>
          <w:tcPr>
            <w:tcW w:w="5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14</w:t>
            </w:r>
          </w:p>
        </w:tc>
        <w:tc>
          <w:tcPr>
            <w:tcW w:w="33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4"/>
                <w:lang w:val="ru-RU" w:eastAsia="en-US" w:bidi="ar-SA"/>
              </w:rPr>
              <w:t>Валовая рентабельность</w:t>
            </w:r>
          </w:p>
        </w:tc>
        <w:tc>
          <w:tcPr>
            <w:tcW w:w="144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GPM</w:t>
            </w:r>
          </w:p>
        </w:tc>
        <w:tc>
          <w:tcPr>
            <w:tcW w:w="18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39,37</w:t>
            </w:r>
          </w:p>
        </w:tc>
        <w:tc>
          <w:tcPr>
            <w:tcW w:w="16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38,17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</w:rPr>
        <w:t>Формулы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</w:rPr>
        <w:t>Рентабельность продаж,% = (</w:t>
      </w:r>
      <w:r>
        <w:rPr>
          <w:rFonts w:cs="Times New Roman" w:ascii="Times New Roman" w:hAnsi="Times New Roman"/>
          <w:b/>
          <w:szCs w:val="24"/>
        </w:rPr>
        <w:t>Чистая прибыль</w:t>
      </w:r>
      <w:r>
        <w:rPr>
          <w:rFonts w:cs="Times New Roman" w:ascii="Times New Roman" w:hAnsi="Times New Roman"/>
          <w:b/>
          <w:szCs w:val="24"/>
        </w:rPr>
        <w:t xml:space="preserve">/Годовой объем оборота) </w:t>
      </w:r>
      <w:r>
        <w:rPr>
          <w:rFonts w:cs="Times New Roman" w:ascii="Times New Roman" w:hAnsi="Times New Roman"/>
          <w:b/>
          <w:sz w:val="14"/>
          <w:szCs w:val="24"/>
        </w:rPr>
        <w:t xml:space="preserve">х </w:t>
      </w:r>
      <w:r>
        <w:rPr>
          <w:rFonts w:cs="Times New Roman" w:ascii="Times New Roman" w:hAnsi="Times New Roman"/>
          <w:b/>
          <w:sz w:val="24"/>
          <w:szCs w:val="28"/>
        </w:rPr>
        <w:t>100%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</w:rPr>
        <w:t xml:space="preserve">Рентабельность коммерческой деятельности, %= </w:t>
      </w:r>
      <w:r>
        <w:rPr>
          <w:rFonts w:cs="Times New Roman" w:ascii="Times New Roman" w:hAnsi="Times New Roman"/>
          <w:b/>
        </w:rPr>
        <w:t>(</w:t>
      </w:r>
      <w:r>
        <w:rPr>
          <w:rFonts w:cs="Times New Roman" w:ascii="Times New Roman" w:hAnsi="Times New Roman"/>
          <w:b/>
          <w:szCs w:val="24"/>
        </w:rPr>
        <w:t>Прибыль от реализации</w:t>
      </w:r>
      <w:r>
        <w:rPr>
          <w:rFonts w:cs="Times New Roman" w:ascii="Times New Roman" w:hAnsi="Times New Roman"/>
          <w:b/>
        </w:rPr>
        <w:t xml:space="preserve">/ Годовой объем оборота) </w:t>
      </w:r>
      <w:r>
        <w:rPr>
          <w:rFonts w:cs="Times New Roman" w:ascii="Times New Roman" w:hAnsi="Times New Roman"/>
          <w:b/>
          <w:sz w:val="14"/>
          <w:szCs w:val="24"/>
        </w:rPr>
        <w:t xml:space="preserve">х </w:t>
      </w:r>
      <w:r>
        <w:rPr>
          <w:rFonts w:cs="Times New Roman" w:ascii="Times New Roman" w:hAnsi="Times New Roman"/>
          <w:b/>
          <w:sz w:val="24"/>
          <w:szCs w:val="28"/>
        </w:rPr>
        <w:t>100%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</w:rPr>
        <w:t xml:space="preserve">Рентабельность затрат% = (Чистая прибыль/ Издержки обращения) </w:t>
      </w:r>
      <w:r>
        <w:rPr>
          <w:rFonts w:cs="Times New Roman" w:ascii="Times New Roman" w:hAnsi="Times New Roman"/>
          <w:b/>
          <w:sz w:val="14"/>
          <w:szCs w:val="24"/>
        </w:rPr>
        <w:t xml:space="preserve">х </w:t>
      </w:r>
      <w:r>
        <w:rPr>
          <w:rFonts w:cs="Times New Roman" w:ascii="Times New Roman" w:hAnsi="Times New Roman"/>
          <w:b/>
          <w:sz w:val="24"/>
          <w:szCs w:val="28"/>
        </w:rPr>
        <w:t>100%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 w:val="24"/>
          <w:szCs w:val="28"/>
          <w:shd w:fill="auto" w:val="clear"/>
        </w:rPr>
        <w:t>Рентабельность собственного капита</w:t>
      </w:r>
      <w:r>
        <w:rPr>
          <w:rFonts w:cs="Times New Roman" w:ascii="Times New Roman" w:hAnsi="Times New Roman"/>
          <w:b/>
          <w:sz w:val="24"/>
          <w:szCs w:val="28"/>
        </w:rPr>
        <w:t>ла=(Чистая прибыль/Собственный капитал)</w:t>
      </w:r>
      <w:r>
        <w:rPr>
          <w:rFonts w:cs="Times New Roman" w:ascii="Times New Roman" w:hAnsi="Times New Roman"/>
          <w:b/>
          <w:sz w:val="14"/>
          <w:szCs w:val="24"/>
        </w:rPr>
        <w:t xml:space="preserve"> х </w:t>
      </w:r>
      <w:r>
        <w:rPr>
          <w:rFonts w:cs="Times New Roman" w:ascii="Times New Roman" w:hAnsi="Times New Roman"/>
          <w:b/>
          <w:sz w:val="24"/>
          <w:szCs w:val="28"/>
        </w:rPr>
        <w:t>100%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</w:rPr>
        <w:t>Средние товарные запасы= (Запасы на начало периода+ Запасы на конец периода)/2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</w:rPr>
        <w:t>Оборачиваемость товарных запасов, дни Отз (дни)= 365/Отз</w:t>
      </w:r>
    </w:p>
    <w:p>
      <w:pPr>
        <w:pStyle w:val="ListParagraph"/>
        <w:numPr>
          <w:ilvl w:val="0"/>
          <w:numId w:val="1"/>
        </w:numPr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szCs w:val="24"/>
          <w:shd w:fill="auto" w:val="clear"/>
        </w:rPr>
        <w:t xml:space="preserve">Оборачиваемость товарных запасов, раз Отз= Годовой объем оборота/Средние товарные запасы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</w:rPr>
        <w:t>Об</w:t>
      </w:r>
      <w:r>
        <w:rPr>
          <w:rFonts w:cs="Times New Roman" w:ascii="Times New Roman" w:hAnsi="Times New Roman"/>
          <w:b/>
          <w:szCs w:val="24"/>
          <w:shd w:fill="auto" w:val="clear"/>
        </w:rPr>
        <w:t>орачиваемость деб</w:t>
      </w:r>
      <w:r>
        <w:rPr>
          <w:rFonts w:cs="Times New Roman" w:ascii="Times New Roman" w:hAnsi="Times New Roman"/>
          <w:b/>
          <w:szCs w:val="24"/>
        </w:rPr>
        <w:t>иторской задолженности= (Дебиторская задолженность/</w:t>
      </w:r>
      <w:r>
        <w:rPr>
          <w:rFonts w:cs="Times New Roman" w:ascii="Times New Roman" w:hAnsi="Times New Roman"/>
          <w:b/>
          <w:szCs w:val="24"/>
        </w:rPr>
        <w:t>Прибыль от реализации</w:t>
      </w:r>
      <w:r>
        <w:rPr>
          <w:rFonts w:cs="Times New Roman" w:ascii="Times New Roman" w:hAnsi="Times New Roman"/>
          <w:b/>
          <w:szCs w:val="24"/>
        </w:rPr>
        <w:t>) х 365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</w:rPr>
        <w:t>Коэффициент текущей ликвидности= Оборотные активы/Краткосрочные обязательства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  <w:shd w:fill="auto" w:val="clear"/>
        </w:rPr>
        <w:t>Коэффициент абсолютной ликвидност</w:t>
      </w:r>
      <w:r>
        <w:rPr>
          <w:rFonts w:cs="Times New Roman" w:ascii="Times New Roman" w:hAnsi="Times New Roman"/>
          <w:b/>
          <w:szCs w:val="24"/>
        </w:rPr>
        <w:t>и= Денежные средства/Краткосрочные обязательства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</w:rPr>
        <w:t>Коэффициент финансовой независимости= Собственный капитал/Валюта баланса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  <w:shd w:fill="auto" w:val="clear"/>
        </w:rPr>
        <w:t>Коэффициент обеспеченности собственными оборотными средс</w:t>
      </w:r>
      <w:r>
        <w:rPr>
          <w:rFonts w:cs="Times New Roman" w:ascii="Times New Roman" w:hAnsi="Times New Roman"/>
          <w:b/>
          <w:szCs w:val="24"/>
        </w:rPr>
        <w:t>твами = (Собственный капитал – Внеоборотные активы)/Оборотные активы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</w:rPr>
        <w:t>Уровень коммерческих расходов= (Издержки обращения/Выручка)х100%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Cs w:val="24"/>
        </w:rPr>
        <w:t>Валовая рентабельность=((Выручка-Себестоимость)/Выручка)х100%</w:t>
      </w:r>
    </w:p>
    <w:p>
      <w:pPr>
        <w:pStyle w:val="Normal"/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 w:val="24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Выводы о результатах деятельности торгового предприятия: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На основании проведенного анализа, выполненного по данным официальной отчетности, можно сделать следующие выводы о деятельности ООО «Домашний интерьер» в 2023-2024 гг.: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1. Критическое падение прибыльности: Наблюдается резкое ухудшение всех показателей рентабельности. Чистая рентабельность продаж снизилась с 2,62% до 0,26%, что означает, что с каждого рубля выручки компания стала получать менее 0,3 копейки чистой прибыли против 2,6 копеек годом ранее. Рентабельность затрат упала в 10 раз (с 8,06% до 0,78%).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2. Рост издержек: Уровень издержек обращения вырос с 32,52% до 34,10%, что свидетельствует об увеличении затрат на ведение бизнеса (логистика, маркетинг, аренда) более высокими темпами, чем рост выручки.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 xml:space="preserve">3. Ухудшение управления запасами: Оборачиваемость товарных запасов замедлилась. Период оборота увеличился с </w:t>
      </w:r>
      <w:r>
        <w:rPr>
          <w:rFonts w:cs="Times New Roman" w:ascii="Times New Roman" w:hAnsi="Times New Roman"/>
          <w:sz w:val="24"/>
          <w:szCs w:val="28"/>
        </w:rPr>
        <w:t>48,5</w:t>
      </w:r>
      <w:r>
        <w:rPr>
          <w:rFonts w:cs="Times New Roman" w:ascii="Times New Roman" w:hAnsi="Times New Roman"/>
          <w:sz w:val="24"/>
          <w:szCs w:val="28"/>
        </w:rPr>
        <w:t xml:space="preserve"> до </w:t>
      </w:r>
      <w:r>
        <w:rPr>
          <w:rFonts w:cs="Times New Roman" w:ascii="Times New Roman" w:hAnsi="Times New Roman"/>
          <w:sz w:val="24"/>
          <w:szCs w:val="28"/>
        </w:rPr>
        <w:t>50</w:t>
      </w:r>
      <w:r>
        <w:rPr>
          <w:rFonts w:cs="Times New Roman" w:ascii="Times New Roman" w:hAnsi="Times New Roman"/>
          <w:sz w:val="24"/>
          <w:szCs w:val="28"/>
        </w:rPr>
        <w:t>,</w:t>
      </w:r>
      <w:r>
        <w:rPr>
          <w:rFonts w:cs="Times New Roman" w:ascii="Times New Roman" w:hAnsi="Times New Roman"/>
          <w:sz w:val="24"/>
          <w:szCs w:val="28"/>
        </w:rPr>
        <w:t>7</w:t>
      </w:r>
      <w:r>
        <w:rPr>
          <w:rFonts w:cs="Times New Roman" w:ascii="Times New Roman" w:hAnsi="Times New Roman"/>
          <w:sz w:val="24"/>
          <w:szCs w:val="28"/>
        </w:rPr>
        <w:t xml:space="preserve"> дней, а скорость оборота снизилась с </w:t>
      </w:r>
      <w:r>
        <w:rPr>
          <w:rFonts w:cs="Times New Roman" w:ascii="Times New Roman" w:hAnsi="Times New Roman"/>
          <w:sz w:val="24"/>
          <w:szCs w:val="28"/>
        </w:rPr>
        <w:t>7</w:t>
      </w:r>
      <w:r>
        <w:rPr>
          <w:rFonts w:cs="Times New Roman" w:ascii="Times New Roman" w:hAnsi="Times New Roman"/>
          <w:sz w:val="24"/>
          <w:szCs w:val="28"/>
        </w:rPr>
        <w:t>,</w:t>
      </w:r>
      <w:r>
        <w:rPr>
          <w:rFonts w:cs="Times New Roman" w:ascii="Times New Roman" w:hAnsi="Times New Roman"/>
          <w:sz w:val="24"/>
          <w:szCs w:val="28"/>
        </w:rPr>
        <w:t>51</w:t>
      </w:r>
      <w:r>
        <w:rPr>
          <w:rFonts w:cs="Times New Roman" w:ascii="Times New Roman" w:hAnsi="Times New Roman"/>
          <w:sz w:val="24"/>
          <w:szCs w:val="28"/>
        </w:rPr>
        <w:t xml:space="preserve"> до </w:t>
      </w:r>
      <w:r>
        <w:rPr>
          <w:rFonts w:cs="Times New Roman" w:ascii="Times New Roman" w:hAnsi="Times New Roman"/>
          <w:sz w:val="24"/>
          <w:szCs w:val="28"/>
        </w:rPr>
        <w:t>7</w:t>
      </w:r>
      <w:r>
        <w:rPr>
          <w:rFonts w:cs="Times New Roman" w:ascii="Times New Roman" w:hAnsi="Times New Roman"/>
          <w:sz w:val="24"/>
          <w:szCs w:val="28"/>
        </w:rPr>
        <w:t>,</w:t>
      </w:r>
      <w:r>
        <w:rPr>
          <w:rFonts w:cs="Times New Roman" w:ascii="Times New Roman" w:hAnsi="Times New Roman"/>
          <w:sz w:val="24"/>
          <w:szCs w:val="28"/>
        </w:rPr>
        <w:t>20</w:t>
      </w:r>
      <w:r>
        <w:rPr>
          <w:rFonts w:cs="Times New Roman" w:ascii="Times New Roman" w:hAnsi="Times New Roman"/>
          <w:sz w:val="24"/>
          <w:szCs w:val="28"/>
        </w:rPr>
        <w:t xml:space="preserve"> раз в год. Это указывает на менее эффективное использование оборотного капитала и возможное накопление излишних запасов.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4. Негативная динамика операционной деятельности: Прибыль от продаж сократилась более чем на 1,6 млрд рублей (с 4,58 млрд до 2,95 млрд руб.), что является главной причиной ухудшения финансового результата, несмотря на рост выручки.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8"/>
        </w:rPr>
        <w:t>Ухудшение управления запасами: Замедление оборачиваемости при растущих запасах указывает на проблемы в логистике и мерчандайзинге. Компания замораживает все больше средств в запасах, что усугубляет проблему с ликвидностью.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5. Кризис финансовой устойчивости: Показатели ликвидности и финансовой независимости находятся на критическом уровне. Компания живет в долг, а ее собственный капитал стремительно сокращается (с 3,37 млрд руб. в 2022 г. до 1,19 млрд руб. в 2024 г., в основном из-за убытков, накопленных в нераспределенной прибыли). Высокие финансовые расходы на обслуживание долга окончательно подрывают рентабельность.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6. Высокий риск банкротства: Совокупность факторов – низкая рентабельность, отсутствие ликвидности и крайняя зависимость от заемных средств – создает реальную угрозу для непрерывности деятельности компании.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В целом, деятельность предприятия в 2023-2024 гг. оценивается как неудовлетворительная, с ярко выраженной негативной динамикой, ведущей к значительному финансовому риску.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Финансовые результаты компании демонстрируют значительное ухудшение операционной эффективности. Рост выручки в 2024 году был достигнут ценой чрезмерного роста издержек и привел к резкому сокращению прибыльности. Компании требуются срочные меры по оптимизации затрат и повышению эффективности управления товарными запасами.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Рекомендации: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Срочная оптимизация издержек: Необходим жесткий аудит и сокращение коммерческих и управленческих расходов.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Реструктуризация долга: Требуется переговорить с кредиторами о реструктуризации задолженности для снижения финансовой нагрузки.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Инвентаризация и распродажа запасов: Необходимо ускорить оборачиваемость, избавившись от неликвидов и оптимизировав ассортимент.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Привлечение стратегического инвестора: Для пополнения оборотных средств и укрепления баланса может потребоваться дополнительная инъекция капитала.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Noto Sans Devanaga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01" w:hanging="360"/>
      </w:pPr>
      <w:rPr>
        <w:sz w:val="22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3097b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Символ сноски"/>
    <w:basedOn w:val="DefaultParagraphFont"/>
    <w:uiPriority w:val="99"/>
    <w:semiHidden/>
    <w:unhideWhenUsed/>
    <w:qFormat/>
    <w:rsid w:val="0073097b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sid w:val="00b1652e"/>
    <w:rPr>
      <w:color w:val="808080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13f5e"/>
    <w:pPr>
      <w:spacing w:before="0" w:after="160"/>
      <w:ind w:left="720"/>
      <w:contextualSpacing/>
    </w:pPr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7309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AFAF1-ECA2-464B-AF54-148110314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2864</TotalTime>
  <Application>LibreOffice/24.2.7.2$Linux_X86_64 LibreOffice_project/420$Build-2</Application>
  <AppVersion>15.0000</AppVersion>
  <Pages>3</Pages>
  <Words>811</Words>
  <Characters>5680</Characters>
  <CharactersWithSpaces>6294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2025-11-15T11:21:00Z</dcterms:created>
  <dc:creator>Макпал Калыкова</dc:creator>
  <dc:description/>
  <dc:language>ru-RU</dc:language>
  <cp:lastModifiedBy/>
  <dcterms:modified xsi:type="dcterms:W3CDTF">2026-01-16T10:21:35Z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