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jc w:val="left"/>
        <w:rPr/>
      </w:pPr>
      <w:r>
        <w:rPr/>
        <w:drawing>
          <wp:inline distT="0" distB="0" distL="0" distR="0">
            <wp:extent cx="21717000" cy="5657850"/>
            <wp:effectExtent l="0" t="0" r="0" b="0"/>
            <wp:docPr id="1" name="Image1" descr="Cours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Coursition"/>
                    <pic:cNvPicPr>
                      <a:picLocks noChangeAspect="1" noChangeArrowheads="1"/>
                    </pic:cNvPicPr>
                  </pic:nvPicPr>
                  <pic:blipFill>
                    <a:blip r:embed="rId2"/>
                    <a:stretch>
                      <a:fillRect/>
                    </a:stretch>
                  </pic:blipFill>
                  <pic:spPr bwMode="auto">
                    <a:xfrm>
                      <a:off x="0" y="0"/>
                      <a:ext cx="21717000" cy="5657850"/>
                    </a:xfrm>
                    <a:prstGeom prst="rect">
                      <a:avLst/>
                    </a:prstGeom>
                    <a:noFill/>
                  </pic:spPr>
                </pic:pic>
              </a:graphicData>
            </a:graphic>
          </wp:inline>
        </w:drawing>
      </w:r>
    </w:p>
    <w:p>
      <w:pPr>
        <w:pStyle w:val="Heading1"/>
        <w:bidi w:val="0"/>
        <w:jc w:val="left"/>
        <w:rPr/>
      </w:pPr>
      <w:r>
        <w:rPr/>
        <w:t>Brand a grafický manuál</w:t>
      </w:r>
    </w:p>
    <w:p>
      <w:pPr>
        <w:pStyle w:val="BodyText"/>
        <w:bidi w:val="0"/>
        <w:jc w:val="left"/>
        <w:rPr/>
      </w:pPr>
      <w:r>
        <w:rPr/>
        <w:t>Strategický a realizační manuál</w:t>
      </w:r>
    </w:p>
    <w:p>
      <w:pPr>
        <w:pStyle w:val="BodyText"/>
        <w:bidi w:val="0"/>
        <w:jc w:val="left"/>
        <w:rPr/>
      </w:pPr>
      <w:r>
        <w:rPr>
          <w:rStyle w:val="Strong"/>
        </w:rPr>
        <w:t>Verze dokumentu:</w:t>
      </w:r>
      <w:r>
        <w:rPr/>
        <w:t xml:space="preserve"> 1.0</w:t>
      </w:r>
    </w:p>
    <w:p>
      <w:pPr>
        <w:pStyle w:val="BodyText"/>
        <w:bidi w:val="0"/>
        <w:jc w:val="left"/>
        <w:rPr/>
      </w:pPr>
      <w:r>
        <w:rPr>
          <w:rStyle w:val="Strong"/>
        </w:rPr>
        <w:t>Datum přípravy:</w:t>
      </w:r>
      <w:r>
        <w:rPr/>
        <w:t xml:space="preserve"> 27. 7. 2026</w:t>
      </w:r>
    </w:p>
    <w:p>
      <w:pPr>
        <w:pStyle w:val="BodyText"/>
        <w:bidi w:val="0"/>
        <w:jc w:val="left"/>
        <w:rPr/>
      </w:pPr>
      <w:r>
        <w:rPr>
          <w:rStyle w:val="Strong"/>
        </w:rPr>
        <w:t>Stav dokumentu:</w:t>
      </w:r>
      <w:r>
        <w:rPr/>
        <w:t xml:space="preserve"> současné interní podklady Coursition</w:t>
      </w:r>
    </w:p>
    <w:p>
      <w:pPr>
        <w:pStyle w:val="BodyText"/>
        <w:bidi w:val="0"/>
        <w:jc w:val="left"/>
        <w:rPr/>
      </w:pPr>
      <w:r>
        <w:rPr/>
        <w:t>Interní dokument Coursition. Doporučení a hypotézy nejsou historické výsledky. Produktové a AI výstupy vyžadují lidskou kontrolu.</w:t>
      </w:r>
    </w:p>
    <w:p>
      <w:pPr>
        <w:pStyle w:val="Heading2"/>
        <w:bidi w:val="0"/>
        <w:jc w:val="left"/>
        <w:rPr/>
      </w:pPr>
      <w:r>
        <w:rPr/>
        <w:t>Obsah</w:t>
      </w:r>
    </w:p>
    <w:p>
      <w:pPr>
        <w:pStyle w:val="BodyText"/>
        <w:numPr>
          <w:ilvl w:val="0"/>
          <w:numId w:val="1"/>
        </w:numPr>
        <w:tabs>
          <w:tab w:val="clear" w:pos="709"/>
          <w:tab w:val="left" w:pos="709" w:leader="none"/>
        </w:tabs>
        <w:bidi w:val="0"/>
        <w:spacing w:before="0" w:after="0"/>
        <w:ind w:hanging="283" w:left="709"/>
        <w:jc w:val="left"/>
        <w:rPr/>
      </w:pPr>
      <w:hyperlink w:anchor="1-ucel-znacky">
        <w:r>
          <w:rPr>
            <w:rStyle w:val="Hyperlink"/>
          </w:rPr>
          <w:t>1. Účel značky</w:t>
        </w:r>
      </w:hyperlink>
    </w:p>
    <w:p>
      <w:pPr>
        <w:pStyle w:val="BodyText"/>
        <w:numPr>
          <w:ilvl w:val="0"/>
          <w:numId w:val="1"/>
        </w:numPr>
        <w:tabs>
          <w:tab w:val="clear" w:pos="709"/>
          <w:tab w:val="left" w:pos="709" w:leader="none"/>
        </w:tabs>
        <w:bidi w:val="0"/>
        <w:spacing w:before="0" w:after="0"/>
        <w:ind w:hanging="283" w:left="709"/>
        <w:jc w:val="left"/>
        <w:rPr/>
      </w:pPr>
      <w:hyperlink w:anchor="2-architektura-znacky-a-produktu">
        <w:r>
          <w:rPr>
            <w:rStyle w:val="Hyperlink"/>
          </w:rPr>
          <w:t>2. Architektura značky a produktu</w:t>
        </w:r>
      </w:hyperlink>
    </w:p>
    <w:p>
      <w:pPr>
        <w:pStyle w:val="BodyText"/>
        <w:numPr>
          <w:ilvl w:val="0"/>
          <w:numId w:val="1"/>
        </w:numPr>
        <w:tabs>
          <w:tab w:val="clear" w:pos="709"/>
          <w:tab w:val="left" w:pos="709" w:leader="none"/>
        </w:tabs>
        <w:bidi w:val="0"/>
        <w:spacing w:before="0" w:after="0"/>
        <w:ind w:hanging="283" w:left="709"/>
        <w:jc w:val="left"/>
        <w:rPr/>
      </w:pPr>
      <w:hyperlink w:anchor="3-logo">
        <w:r>
          <w:rPr>
            <w:rStyle w:val="Hyperlink"/>
          </w:rPr>
          <w:t>3. Logo</w:t>
        </w:r>
      </w:hyperlink>
    </w:p>
    <w:p>
      <w:pPr>
        <w:pStyle w:val="BodyText"/>
        <w:numPr>
          <w:ilvl w:val="0"/>
          <w:numId w:val="1"/>
        </w:numPr>
        <w:tabs>
          <w:tab w:val="clear" w:pos="709"/>
          <w:tab w:val="left" w:pos="709" w:leader="none"/>
        </w:tabs>
        <w:bidi w:val="0"/>
        <w:spacing w:before="0" w:after="0"/>
        <w:ind w:hanging="283" w:left="709"/>
        <w:jc w:val="left"/>
        <w:rPr/>
      </w:pPr>
      <w:hyperlink w:anchor="3-1-povolene-varianty">
        <w:r>
          <w:rPr>
            <w:rStyle w:val="Hyperlink"/>
          </w:rPr>
          <w:t>3.1 Povolené varianty</w:t>
        </w:r>
      </w:hyperlink>
    </w:p>
    <w:p>
      <w:pPr>
        <w:pStyle w:val="BodyText"/>
        <w:numPr>
          <w:ilvl w:val="0"/>
          <w:numId w:val="1"/>
        </w:numPr>
        <w:tabs>
          <w:tab w:val="clear" w:pos="709"/>
          <w:tab w:val="left" w:pos="709" w:leader="none"/>
        </w:tabs>
        <w:bidi w:val="0"/>
        <w:spacing w:before="0" w:after="0"/>
        <w:ind w:hanging="283" w:left="709"/>
        <w:jc w:val="left"/>
        <w:rPr/>
      </w:pPr>
      <w:hyperlink w:anchor="3-2-ochranna-zona">
        <w:r>
          <w:rPr>
            <w:rStyle w:val="Hyperlink"/>
          </w:rPr>
          <w:t>3.2 Ochranná zóna</w:t>
        </w:r>
      </w:hyperlink>
    </w:p>
    <w:p>
      <w:pPr>
        <w:pStyle w:val="BodyText"/>
        <w:numPr>
          <w:ilvl w:val="0"/>
          <w:numId w:val="1"/>
        </w:numPr>
        <w:tabs>
          <w:tab w:val="clear" w:pos="709"/>
          <w:tab w:val="left" w:pos="709" w:leader="none"/>
        </w:tabs>
        <w:bidi w:val="0"/>
        <w:spacing w:before="0" w:after="0"/>
        <w:ind w:hanging="283" w:left="709"/>
        <w:jc w:val="left"/>
        <w:rPr/>
      </w:pPr>
      <w:hyperlink w:anchor="3-3-minimalni-velikost">
        <w:r>
          <w:rPr>
            <w:rStyle w:val="Hyperlink"/>
          </w:rPr>
          <w:t>3.3 Minimální velikost</w:t>
        </w:r>
      </w:hyperlink>
    </w:p>
    <w:p>
      <w:pPr>
        <w:pStyle w:val="BodyText"/>
        <w:numPr>
          <w:ilvl w:val="0"/>
          <w:numId w:val="1"/>
        </w:numPr>
        <w:tabs>
          <w:tab w:val="clear" w:pos="709"/>
          <w:tab w:val="left" w:pos="709" w:leader="none"/>
        </w:tabs>
        <w:bidi w:val="0"/>
        <w:spacing w:before="0" w:after="0"/>
        <w:ind w:hanging="283" w:left="709"/>
        <w:jc w:val="left"/>
        <w:rPr/>
      </w:pPr>
      <w:hyperlink w:anchor="3-4-pozadi">
        <w:r>
          <w:rPr>
            <w:rStyle w:val="Hyperlink"/>
          </w:rPr>
          <w:t>3.4 Pozadí</w:t>
        </w:r>
      </w:hyperlink>
    </w:p>
    <w:p>
      <w:pPr>
        <w:pStyle w:val="BodyText"/>
        <w:numPr>
          <w:ilvl w:val="0"/>
          <w:numId w:val="1"/>
        </w:numPr>
        <w:tabs>
          <w:tab w:val="clear" w:pos="709"/>
          <w:tab w:val="left" w:pos="709" w:leader="none"/>
        </w:tabs>
        <w:bidi w:val="0"/>
        <w:spacing w:before="0" w:after="0"/>
        <w:ind w:hanging="283" w:left="709"/>
        <w:jc w:val="left"/>
        <w:rPr/>
      </w:pPr>
      <w:hyperlink w:anchor="3-5-zakazane-upravy">
        <w:r>
          <w:rPr>
            <w:rStyle w:val="Hyperlink"/>
          </w:rPr>
          <w:t>3.5 Zakázané úpravy</w:t>
        </w:r>
      </w:hyperlink>
    </w:p>
    <w:p>
      <w:pPr>
        <w:pStyle w:val="BodyText"/>
        <w:numPr>
          <w:ilvl w:val="0"/>
          <w:numId w:val="1"/>
        </w:numPr>
        <w:tabs>
          <w:tab w:val="clear" w:pos="709"/>
          <w:tab w:val="left" w:pos="709" w:leader="none"/>
        </w:tabs>
        <w:bidi w:val="0"/>
        <w:spacing w:before="0" w:after="0"/>
        <w:ind w:hanging="283" w:left="709"/>
        <w:jc w:val="left"/>
        <w:rPr/>
      </w:pPr>
      <w:hyperlink w:anchor="4-barevny-system">
        <w:r>
          <w:rPr>
            <w:rStyle w:val="Hyperlink"/>
          </w:rPr>
          <w:t>4. Barevný systém</w:t>
        </w:r>
      </w:hyperlink>
    </w:p>
    <w:p>
      <w:pPr>
        <w:pStyle w:val="BodyText"/>
        <w:numPr>
          <w:ilvl w:val="0"/>
          <w:numId w:val="1"/>
        </w:numPr>
        <w:tabs>
          <w:tab w:val="clear" w:pos="709"/>
          <w:tab w:val="left" w:pos="709" w:leader="none"/>
        </w:tabs>
        <w:bidi w:val="0"/>
        <w:spacing w:before="0" w:after="0"/>
        <w:ind w:hanging="283" w:left="709"/>
        <w:jc w:val="left"/>
        <w:rPr/>
      </w:pPr>
      <w:hyperlink w:anchor="4-1-zakladni-barvy-a-puvod">
        <w:r>
          <w:rPr>
            <w:rStyle w:val="Hyperlink"/>
          </w:rPr>
          <w:t>4.1 Základní barvy a původ</w:t>
        </w:r>
      </w:hyperlink>
    </w:p>
    <w:p>
      <w:pPr>
        <w:pStyle w:val="BodyText"/>
        <w:numPr>
          <w:ilvl w:val="0"/>
          <w:numId w:val="1"/>
        </w:numPr>
        <w:tabs>
          <w:tab w:val="clear" w:pos="709"/>
          <w:tab w:val="left" w:pos="709" w:leader="none"/>
        </w:tabs>
        <w:bidi w:val="0"/>
        <w:spacing w:before="0" w:after="0"/>
        <w:ind w:hanging="283" w:left="709"/>
        <w:jc w:val="left"/>
        <w:rPr/>
      </w:pPr>
      <w:hyperlink w:anchor="4-2-digitalni-navaznost">
        <w:r>
          <w:rPr>
            <w:rStyle w:val="Hyperlink"/>
          </w:rPr>
          <w:t>4.2 Digitální návaznost</w:t>
        </w:r>
      </w:hyperlink>
    </w:p>
    <w:p>
      <w:pPr>
        <w:pStyle w:val="BodyText"/>
        <w:numPr>
          <w:ilvl w:val="0"/>
          <w:numId w:val="1"/>
        </w:numPr>
        <w:tabs>
          <w:tab w:val="clear" w:pos="709"/>
          <w:tab w:val="left" w:pos="709" w:leader="none"/>
        </w:tabs>
        <w:bidi w:val="0"/>
        <w:spacing w:before="0" w:after="0"/>
        <w:ind w:hanging="283" w:left="709"/>
        <w:jc w:val="left"/>
        <w:rPr/>
      </w:pPr>
      <w:hyperlink w:anchor="4-3-doporucena-realizacni-voditka">
        <w:r>
          <w:rPr>
            <w:rStyle w:val="Hyperlink"/>
          </w:rPr>
          <w:t>4.3 Doporučená realizační vodítka</w:t>
        </w:r>
      </w:hyperlink>
    </w:p>
    <w:p>
      <w:pPr>
        <w:pStyle w:val="BodyText"/>
        <w:numPr>
          <w:ilvl w:val="0"/>
          <w:numId w:val="1"/>
        </w:numPr>
        <w:tabs>
          <w:tab w:val="clear" w:pos="709"/>
          <w:tab w:val="left" w:pos="709" w:leader="none"/>
        </w:tabs>
        <w:bidi w:val="0"/>
        <w:spacing w:before="0" w:after="0"/>
        <w:ind w:hanging="283" w:left="709"/>
        <w:jc w:val="left"/>
        <w:rPr/>
      </w:pPr>
      <w:hyperlink w:anchor="4-4-pristupnost">
        <w:r>
          <w:rPr>
            <w:rStyle w:val="Hyperlink"/>
          </w:rPr>
          <w:t>4.4 Přístupnost</w:t>
        </w:r>
      </w:hyperlink>
    </w:p>
    <w:p>
      <w:pPr>
        <w:pStyle w:val="BodyText"/>
        <w:numPr>
          <w:ilvl w:val="0"/>
          <w:numId w:val="1"/>
        </w:numPr>
        <w:tabs>
          <w:tab w:val="clear" w:pos="709"/>
          <w:tab w:val="left" w:pos="709" w:leader="none"/>
        </w:tabs>
        <w:bidi w:val="0"/>
        <w:spacing w:before="0" w:after="0"/>
        <w:ind w:hanging="283" w:left="709"/>
        <w:jc w:val="left"/>
        <w:rPr/>
      </w:pPr>
      <w:hyperlink w:anchor="5-typografie">
        <w:r>
          <w:rPr>
            <w:rStyle w:val="Hyperlink"/>
          </w:rPr>
          <w:t>5. Typografie</w:t>
        </w:r>
      </w:hyperlink>
    </w:p>
    <w:p>
      <w:pPr>
        <w:pStyle w:val="BodyText"/>
        <w:numPr>
          <w:ilvl w:val="0"/>
          <w:numId w:val="1"/>
        </w:numPr>
        <w:tabs>
          <w:tab w:val="clear" w:pos="709"/>
          <w:tab w:val="left" w:pos="709" w:leader="none"/>
        </w:tabs>
        <w:bidi w:val="0"/>
        <w:spacing w:before="0" w:after="0"/>
        <w:ind w:hanging="283" w:left="709"/>
        <w:jc w:val="left"/>
        <w:rPr/>
      </w:pPr>
      <w:hyperlink w:anchor="5-1-primarni-pismo">
        <w:r>
          <w:rPr>
            <w:rStyle w:val="Hyperlink"/>
          </w:rPr>
          <w:t>5.1 Primární písmo</w:t>
        </w:r>
      </w:hyperlink>
    </w:p>
    <w:p>
      <w:pPr>
        <w:pStyle w:val="BodyText"/>
        <w:numPr>
          <w:ilvl w:val="0"/>
          <w:numId w:val="1"/>
        </w:numPr>
        <w:tabs>
          <w:tab w:val="clear" w:pos="709"/>
          <w:tab w:val="left" w:pos="709" w:leader="none"/>
        </w:tabs>
        <w:bidi w:val="0"/>
        <w:spacing w:before="0" w:after="0"/>
        <w:ind w:hanging="283" w:left="709"/>
        <w:jc w:val="left"/>
        <w:rPr/>
      </w:pPr>
      <w:hyperlink w:anchor="5-2-sazba">
        <w:r>
          <w:rPr>
            <w:rStyle w:val="Hyperlink"/>
          </w:rPr>
          <w:t>5.2 Sazba</w:t>
        </w:r>
      </w:hyperlink>
    </w:p>
    <w:p>
      <w:pPr>
        <w:pStyle w:val="BodyText"/>
        <w:numPr>
          <w:ilvl w:val="0"/>
          <w:numId w:val="1"/>
        </w:numPr>
        <w:tabs>
          <w:tab w:val="clear" w:pos="709"/>
          <w:tab w:val="left" w:pos="709" w:leader="none"/>
        </w:tabs>
        <w:bidi w:val="0"/>
        <w:spacing w:before="0" w:after="0"/>
        <w:ind w:hanging="283" w:left="709"/>
        <w:jc w:val="left"/>
        <w:rPr/>
      </w:pPr>
      <w:hyperlink w:anchor="6-obrazovy-styl">
        <w:r>
          <w:rPr>
            <w:rStyle w:val="Hyperlink"/>
          </w:rPr>
          <w:t>6. Obrazový styl</w:t>
        </w:r>
      </w:hyperlink>
    </w:p>
    <w:p>
      <w:pPr>
        <w:pStyle w:val="BodyText"/>
        <w:numPr>
          <w:ilvl w:val="0"/>
          <w:numId w:val="1"/>
        </w:numPr>
        <w:tabs>
          <w:tab w:val="clear" w:pos="709"/>
          <w:tab w:val="left" w:pos="709" w:leader="none"/>
        </w:tabs>
        <w:bidi w:val="0"/>
        <w:spacing w:before="0" w:after="0"/>
        <w:ind w:hanging="283" w:left="709"/>
        <w:jc w:val="left"/>
        <w:rPr/>
      </w:pPr>
      <w:hyperlink w:anchor="6-1-primarni-obrazovy-dukaz">
        <w:r>
          <w:rPr>
            <w:rStyle w:val="Hyperlink"/>
          </w:rPr>
          <w:t>6.1 Primární obrazový důkaz</w:t>
        </w:r>
      </w:hyperlink>
    </w:p>
    <w:p>
      <w:pPr>
        <w:pStyle w:val="BodyText"/>
        <w:numPr>
          <w:ilvl w:val="0"/>
          <w:numId w:val="1"/>
        </w:numPr>
        <w:tabs>
          <w:tab w:val="clear" w:pos="709"/>
          <w:tab w:val="left" w:pos="709" w:leader="none"/>
        </w:tabs>
        <w:bidi w:val="0"/>
        <w:spacing w:before="0" w:after="0"/>
        <w:ind w:hanging="283" w:left="709"/>
        <w:jc w:val="left"/>
        <w:rPr/>
      </w:pPr>
      <w:hyperlink w:anchor="6-2-fotografie-a-ilustrace">
        <w:r>
          <w:rPr>
            <w:rStyle w:val="Hyperlink"/>
          </w:rPr>
          <w:t>6.2 Fotografie a ilustrace</w:t>
        </w:r>
      </w:hyperlink>
    </w:p>
    <w:p>
      <w:pPr>
        <w:pStyle w:val="BodyText"/>
        <w:numPr>
          <w:ilvl w:val="0"/>
          <w:numId w:val="1"/>
        </w:numPr>
        <w:tabs>
          <w:tab w:val="clear" w:pos="709"/>
          <w:tab w:val="left" w:pos="709" w:leader="none"/>
        </w:tabs>
        <w:bidi w:val="0"/>
        <w:spacing w:before="0" w:after="0"/>
        <w:ind w:hanging="283" w:left="709"/>
        <w:jc w:val="left"/>
        <w:rPr/>
      </w:pPr>
      <w:hyperlink w:anchor="7-layout-a-graficke-prvky">
        <w:r>
          <w:rPr>
            <w:rStyle w:val="Hyperlink"/>
          </w:rPr>
          <w:t>7. Layout a grafické prvky</w:t>
        </w:r>
      </w:hyperlink>
    </w:p>
    <w:p>
      <w:pPr>
        <w:pStyle w:val="BodyText"/>
        <w:numPr>
          <w:ilvl w:val="0"/>
          <w:numId w:val="1"/>
        </w:numPr>
        <w:tabs>
          <w:tab w:val="clear" w:pos="709"/>
          <w:tab w:val="left" w:pos="709" w:leader="none"/>
        </w:tabs>
        <w:bidi w:val="0"/>
        <w:spacing w:before="0" w:after="0"/>
        <w:ind w:hanging="283" w:left="709"/>
        <w:jc w:val="left"/>
        <w:rPr/>
      </w:pPr>
      <w:hyperlink w:anchor="8-navaznost-na-landing-page">
        <w:r>
          <w:rPr>
            <w:rStyle w:val="Hyperlink"/>
          </w:rPr>
          <w:t>8. Návaznost na landing page</w:t>
        </w:r>
      </w:hyperlink>
    </w:p>
    <w:p>
      <w:pPr>
        <w:pStyle w:val="BodyText"/>
        <w:numPr>
          <w:ilvl w:val="0"/>
          <w:numId w:val="1"/>
        </w:numPr>
        <w:tabs>
          <w:tab w:val="clear" w:pos="709"/>
          <w:tab w:val="left" w:pos="709" w:leader="none"/>
        </w:tabs>
        <w:bidi w:val="0"/>
        <w:spacing w:before="0" w:after="0"/>
        <w:ind w:hanging="283" w:left="709"/>
        <w:jc w:val="left"/>
        <w:rPr/>
      </w:pPr>
      <w:hyperlink w:anchor="9-navaznost-na-aplikaci">
        <w:r>
          <w:rPr>
            <w:rStyle w:val="Hyperlink"/>
          </w:rPr>
          <w:t>9. Návaznost na aplikaci</w:t>
        </w:r>
      </w:hyperlink>
    </w:p>
    <w:p>
      <w:pPr>
        <w:pStyle w:val="BodyText"/>
        <w:numPr>
          <w:ilvl w:val="0"/>
          <w:numId w:val="1"/>
        </w:numPr>
        <w:tabs>
          <w:tab w:val="clear" w:pos="709"/>
          <w:tab w:val="left" w:pos="709" w:leader="none"/>
        </w:tabs>
        <w:bidi w:val="0"/>
        <w:spacing w:before="0" w:after="0"/>
        <w:ind w:hanging="283" w:left="709"/>
        <w:jc w:val="left"/>
        <w:rPr/>
      </w:pPr>
      <w:hyperlink w:anchor="10-spravne-a-chybne-pouziti">
        <w:r>
          <w:rPr>
            <w:rStyle w:val="Hyperlink"/>
          </w:rPr>
          <w:t>10. Správné a chybné použití</w:t>
        </w:r>
      </w:hyperlink>
    </w:p>
    <w:p>
      <w:pPr>
        <w:pStyle w:val="BodyText"/>
        <w:numPr>
          <w:ilvl w:val="0"/>
          <w:numId w:val="1"/>
        </w:numPr>
        <w:tabs>
          <w:tab w:val="clear" w:pos="709"/>
          <w:tab w:val="left" w:pos="709" w:leader="none"/>
        </w:tabs>
        <w:bidi w:val="0"/>
        <w:spacing w:before="0" w:after="0"/>
        <w:ind w:hanging="283" w:left="709"/>
        <w:jc w:val="left"/>
        <w:rPr/>
      </w:pPr>
      <w:hyperlink w:anchor="11-kontrolni-seznam-pred-publikaci">
        <w:r>
          <w:rPr>
            <w:rStyle w:val="Hyperlink"/>
          </w:rPr>
          <w:t>11. Kontrolní seznam před publikací</w:t>
        </w:r>
      </w:hyperlink>
    </w:p>
    <w:p>
      <w:pPr>
        <w:pStyle w:val="BodyText"/>
        <w:numPr>
          <w:ilvl w:val="0"/>
          <w:numId w:val="1"/>
        </w:numPr>
        <w:tabs>
          <w:tab w:val="clear" w:pos="709"/>
          <w:tab w:val="left" w:pos="709" w:leader="none"/>
        </w:tabs>
        <w:bidi w:val="0"/>
        <w:ind w:hanging="283" w:left="709"/>
        <w:jc w:val="left"/>
        <w:rPr/>
      </w:pPr>
      <w:hyperlink w:anchor="12-zdrojovy-registr">
        <w:r>
          <w:rPr>
            <w:rStyle w:val="Hyperlink"/>
          </w:rPr>
          <w:t>12. Zdrojový registr</w:t>
        </w:r>
      </w:hyperlink>
    </w:p>
    <w:p>
      <w:pPr>
        <w:pStyle w:val="Heading1"/>
        <w:bidi w:val="0"/>
        <w:ind w:hanging="0" w:left="0" w:right="0"/>
        <w:jc w:val="left"/>
        <w:rPr/>
      </w:pPr>
      <w:bookmarkStart w:id="0" w:name="brand-a-graficky-manual"/>
      <w:bookmarkEnd w:id="0"/>
      <w:r>
        <w:rPr/>
        <w:t>Brand a grafický manuál</w:t>
      </w:r>
    </w:p>
    <w:p>
      <w:pPr>
        <w:pStyle w:val="BodyText"/>
        <w:bidi w:val="0"/>
        <w:jc w:val="left"/>
        <w:rPr/>
      </w:pPr>
      <w:r>
        <w:rPr>
          <w:rStyle w:val="Strong"/>
        </w:rPr>
        <w:t>Produkt:</w:t>
      </w:r>
      <w:r>
        <w:rPr/>
        <w:t xml:space="preserve"> Coursition</w:t>
        <w:br/>
      </w:r>
      <w:r>
        <w:rPr>
          <w:rStyle w:val="Strong"/>
        </w:rPr>
        <w:t>Verze dokumentu:</w:t>
      </w:r>
      <w:r>
        <w:rPr/>
        <w:t xml:space="preserve"> 1.0</w:t>
        <w:br/>
      </w:r>
      <w:r>
        <w:rPr>
          <w:rStyle w:val="Strong"/>
        </w:rPr>
        <w:t>Datum:</w:t>
      </w:r>
      <w:r>
        <w:rPr/>
        <w:t xml:space="preserve"> 27. 7. 2026</w:t>
        <w:br/>
      </w:r>
      <w:r>
        <w:rPr>
          <w:rStyle w:val="Strong"/>
        </w:rPr>
        <w:t>Stav:</w:t>
      </w:r>
      <w:r>
        <w:rPr/>
        <w:t xml:space="preserve"> současný strategický a realizační manuál</w:t>
      </w:r>
    </w:p>
    <w:p>
      <w:pPr>
        <w:pStyle w:val="BlockQuotation"/>
        <w:bidi w:val="0"/>
        <w:jc w:val="left"/>
        <w:rPr/>
      </w:pPr>
      <w:r>
        <w:rPr/>
        <w:t>Tento dokument rozvíjí původní čtrnáctistránkový Design Manual Coursition. Doplňuje chybějící účel značky, obrazový styl, digitální pravidla a vazbu na současnou landing page a aplikaci. Nevydává původní návrh za nově provedenou práci.</w:t>
      </w:r>
    </w:p>
    <w:p>
      <w:pPr>
        <w:pStyle w:val="Heading2"/>
        <w:bidi w:val="0"/>
        <w:ind w:hanging="0" w:left="0" w:right="0"/>
        <w:jc w:val="left"/>
        <w:rPr/>
      </w:pPr>
      <w:bookmarkStart w:id="1" w:name="1-ucel-znacky"/>
      <w:bookmarkEnd w:id="1"/>
      <w:r>
        <w:rPr/>
        <w:t>1. Účel značky</w:t>
      </w:r>
    </w:p>
    <w:p>
      <w:pPr>
        <w:pStyle w:val="BodyText"/>
        <w:bidi w:val="0"/>
        <w:jc w:val="left"/>
        <w:rPr/>
      </w:pPr>
      <w:r>
        <w:rPr/>
        <w:t>Coursition pomáhá autorům převést existující materiály do propojeného prvního návrhu kurzu. Přípravu, cíle a zadání aktivit lze upravovat přímo; text kurzu se opravuje změnou vstupů a novým vygenerováním. Značka má vyjadřovat tři věci:</w:t>
      </w:r>
    </w:p>
    <w:p>
      <w:pPr>
        <w:pStyle w:val="BodyText"/>
        <w:numPr>
          <w:ilvl w:val="0"/>
          <w:numId w:val="2"/>
        </w:numPr>
        <w:tabs>
          <w:tab w:val="clear" w:pos="709"/>
          <w:tab w:val="left" w:pos="709" w:leader="none"/>
        </w:tabs>
        <w:bidi w:val="0"/>
        <w:spacing w:before="0" w:after="0"/>
        <w:ind w:hanging="283" w:left="709"/>
        <w:jc w:val="left"/>
        <w:rPr/>
      </w:pPr>
      <w:r>
        <w:rPr>
          <w:rStyle w:val="Strong"/>
        </w:rPr>
        <w:t>Pohyb od podkladu k použitelné struktuře.</w:t>
      </w:r>
      <w:r>
        <w:rPr/>
        <w:t xml:space="preserve"> Symbol vlaštovky/papírového letadla směřuje vpřed a nahoru. </w:t>
      </w:r>
    </w:p>
    <w:p>
      <w:pPr>
        <w:pStyle w:val="BodyText"/>
        <w:numPr>
          <w:ilvl w:val="0"/>
          <w:numId w:val="2"/>
        </w:numPr>
        <w:tabs>
          <w:tab w:val="clear" w:pos="709"/>
          <w:tab w:val="left" w:pos="709" w:leader="none"/>
        </w:tabs>
        <w:bidi w:val="0"/>
        <w:spacing w:before="0" w:after="0"/>
        <w:ind w:hanging="283" w:left="709"/>
        <w:jc w:val="left"/>
        <w:rPr/>
      </w:pPr>
      <w:r>
        <w:rPr>
          <w:rStyle w:val="Strong"/>
        </w:rPr>
        <w:t>Kontrolu autora.</w:t>
      </w:r>
      <w:r>
        <w:rPr/>
        <w:t xml:space="preserve"> Produkt nepředstírá automatickou správnost. Autor návrh kontroluje; přípravu, cíle a zadání aktivit upravuje přímo a obsah opravuje přes vstupy a regeneraci. </w:t>
      </w:r>
    </w:p>
    <w:p>
      <w:pPr>
        <w:pStyle w:val="BodyText"/>
        <w:numPr>
          <w:ilvl w:val="0"/>
          <w:numId w:val="2"/>
        </w:numPr>
        <w:tabs>
          <w:tab w:val="clear" w:pos="709"/>
          <w:tab w:val="left" w:pos="709" w:leader="none"/>
        </w:tabs>
        <w:bidi w:val="0"/>
        <w:ind w:hanging="283" w:left="709"/>
        <w:jc w:val="left"/>
        <w:rPr/>
      </w:pPr>
      <w:r>
        <w:rPr>
          <w:rStyle w:val="Strong"/>
        </w:rPr>
        <w:t>Klidnou odbornost.</w:t>
      </w:r>
      <w:r>
        <w:rPr/>
        <w:t xml:space="preserve"> Rozhraní i komunikace mají snižovat nejistotu, ne ji překrývat efekty nebo superlativy. </w:t>
      </w:r>
    </w:p>
    <w:p>
      <w:pPr>
        <w:pStyle w:val="BodyText"/>
        <w:bidi w:val="0"/>
        <w:jc w:val="left"/>
        <w:rPr/>
      </w:pPr>
      <w:r>
        <w:rPr>
          <w:rStyle w:val="Strong"/>
        </w:rPr>
        <w:t>Značkový příslib:</w:t>
      </w:r>
      <w:r>
        <w:rPr/>
        <w:t xml:space="preserve"> Z podkladů vznikne propojený první návrh kurzu, který autor zkontroluje a podle potřeby opraví dřív, než jej použije.</w:t>
      </w:r>
    </w:p>
    <w:p>
      <w:pPr>
        <w:pStyle w:val="BodyText"/>
        <w:bidi w:val="0"/>
        <w:jc w:val="left"/>
        <w:rPr/>
      </w:pPr>
      <w:r>
        <w:rPr>
          <w:rStyle w:val="Strong"/>
        </w:rPr>
        <w:t>Značka není:</w:t>
      </w:r>
      <w:r>
        <w:rPr/>
        <w:t xml:space="preserve"> LMS, prodejce hotových kurzů, autonomní náhrada odborníka ani příslib bezchybného výstupu.</w:t>
      </w:r>
    </w:p>
    <w:p>
      <w:pPr>
        <w:pStyle w:val="BodyText"/>
        <w:bidi w:val="0"/>
        <w:jc w:val="left"/>
        <w:rPr/>
      </w:pPr>
      <w:r>
        <w:rPr>
          <w:rStyle w:val="Strong"/>
        </w:rPr>
        <w:t>Zdroje:</w:t>
      </w:r>
      <w:r>
        <w:rPr/>
        <w:t xml:space="preserve"> původní Design Manual; současné lokalizační texty; uživatelská metodika; SEO analýza, kap. 5, 9 a 10.</w:t>
      </w:r>
    </w:p>
    <w:p>
      <w:pPr>
        <w:pStyle w:val="Heading2"/>
        <w:bidi w:val="0"/>
        <w:ind w:hanging="0" w:left="0" w:right="0"/>
        <w:jc w:val="left"/>
        <w:rPr/>
      </w:pPr>
      <w:bookmarkStart w:id="2" w:name="2-architektura-znacky-a-produktu"/>
      <w:bookmarkEnd w:id="2"/>
      <w:r>
        <w:rPr/>
        <w:t>2. Architektura značky a produktu</w:t>
      </w:r>
    </w:p>
    <w:p>
      <w:pPr>
        <w:pStyle w:val="BodyText"/>
        <w:bidi w:val="0"/>
        <w:jc w:val="left"/>
        <w:rPr/>
      </w:pPr>
      <w:r>
        <w:rPr/>
        <w:t xml:space="preserve">Používá se jedna hlavní značka </w:t>
      </w:r>
      <w:r>
        <w:rPr>
          <w:rStyle w:val="Strong"/>
        </w:rPr>
        <w:t>Coursition</w:t>
      </w:r>
      <w:r>
        <w:rPr/>
        <w:t>.</w:t>
      </w:r>
    </w:p>
    <w:tbl>
      <w:tblPr>
        <w:tblW w:w="10092" w:type="dxa"/>
        <w:jc w:val="left"/>
        <w:tblInd w:w="28" w:type="dxa"/>
        <w:tblLayout w:type="fixed"/>
        <w:tblCellMar>
          <w:top w:w="28" w:type="dxa"/>
          <w:left w:w="28" w:type="dxa"/>
          <w:bottom w:w="28" w:type="dxa"/>
          <w:right w:w="28" w:type="dxa"/>
        </w:tblCellMar>
      </w:tblPr>
      <w:tblGrid>
        <w:gridCol w:w="1433"/>
        <w:gridCol w:w="1539"/>
        <w:gridCol w:w="7120"/>
      </w:tblGrid>
      <w:tr>
        <w:trPr>
          <w:tblHeader w:val="true"/>
        </w:trPr>
        <w:tc>
          <w:tcPr>
            <w:tcW w:w="1433" w:type="dxa"/>
            <w:tcBorders/>
            <w:vAlign w:val="center"/>
          </w:tcPr>
          <w:p>
            <w:pPr>
              <w:pStyle w:val="TableHeading"/>
              <w:suppressLineNumbers/>
              <w:bidi w:val="0"/>
              <w:jc w:val="center"/>
              <w:rPr/>
            </w:pPr>
            <w:r>
              <w:rPr/>
              <w:t>Vrstva</w:t>
            </w:r>
          </w:p>
        </w:tc>
        <w:tc>
          <w:tcPr>
            <w:tcW w:w="1539" w:type="dxa"/>
            <w:tcBorders/>
            <w:vAlign w:val="center"/>
          </w:tcPr>
          <w:p>
            <w:pPr>
              <w:pStyle w:val="TableHeading"/>
              <w:suppressLineNumbers/>
              <w:bidi w:val="0"/>
              <w:jc w:val="center"/>
              <w:rPr/>
            </w:pPr>
            <w:r>
              <w:rPr/>
              <w:t>Označení</w:t>
            </w:r>
          </w:p>
        </w:tc>
        <w:tc>
          <w:tcPr>
            <w:tcW w:w="7120" w:type="dxa"/>
            <w:tcBorders/>
            <w:vAlign w:val="center"/>
          </w:tcPr>
          <w:p>
            <w:pPr>
              <w:pStyle w:val="TableHeading"/>
              <w:suppressLineNumbers/>
              <w:bidi w:val="0"/>
              <w:jc w:val="center"/>
              <w:rPr/>
            </w:pPr>
            <w:r>
              <w:rPr/>
              <w:t>Pravidlo</w:t>
            </w:r>
          </w:p>
        </w:tc>
      </w:tr>
      <w:tr>
        <w:trPr/>
        <w:tc>
          <w:tcPr>
            <w:tcW w:w="1433" w:type="dxa"/>
            <w:tcBorders/>
            <w:vAlign w:val="center"/>
          </w:tcPr>
          <w:p>
            <w:pPr>
              <w:pStyle w:val="TableContents"/>
              <w:widowControl w:val="false"/>
              <w:suppressLineNumbers/>
              <w:bidi w:val="0"/>
              <w:jc w:val="left"/>
              <w:rPr/>
            </w:pPr>
            <w:r>
              <w:rPr/>
              <w:t>Firma a produkt</w:t>
            </w:r>
          </w:p>
        </w:tc>
        <w:tc>
          <w:tcPr>
            <w:tcW w:w="1539" w:type="dxa"/>
            <w:tcBorders/>
            <w:vAlign w:val="center"/>
          </w:tcPr>
          <w:p>
            <w:pPr>
              <w:pStyle w:val="TableContents"/>
              <w:widowControl w:val="false"/>
              <w:suppressLineNumbers/>
              <w:bidi w:val="0"/>
              <w:jc w:val="left"/>
              <w:rPr/>
            </w:pPr>
            <w:r>
              <w:rPr/>
              <w:t>Coursition</w:t>
            </w:r>
          </w:p>
        </w:tc>
        <w:tc>
          <w:tcPr>
            <w:tcW w:w="7120" w:type="dxa"/>
            <w:tcBorders/>
            <w:vAlign w:val="center"/>
          </w:tcPr>
          <w:p>
            <w:pPr>
              <w:pStyle w:val="TableContents"/>
              <w:widowControl w:val="false"/>
              <w:suppressLineNumbers/>
              <w:bidi w:val="0"/>
              <w:jc w:val="left"/>
              <w:rPr/>
            </w:pPr>
            <w:r>
              <w:rPr/>
              <w:t>Ve veřejné komunikaci používat jednotně. Právní název „Coursition s.r.o.“ jen v právních a kontaktních údajích.</w:t>
            </w:r>
          </w:p>
        </w:tc>
      </w:tr>
      <w:tr>
        <w:trPr/>
        <w:tc>
          <w:tcPr>
            <w:tcW w:w="1433" w:type="dxa"/>
            <w:tcBorders/>
            <w:vAlign w:val="center"/>
          </w:tcPr>
          <w:p>
            <w:pPr>
              <w:pStyle w:val="TableContents"/>
              <w:widowControl w:val="false"/>
              <w:suppressLineNumbers/>
              <w:bidi w:val="0"/>
              <w:jc w:val="left"/>
              <w:rPr/>
            </w:pPr>
            <w:r>
              <w:rPr/>
              <w:t>Web</w:t>
            </w:r>
          </w:p>
        </w:tc>
        <w:tc>
          <w:tcPr>
            <w:tcW w:w="1539" w:type="dxa"/>
            <w:tcBorders/>
            <w:vAlign w:val="center"/>
          </w:tcPr>
          <w:p>
            <w:pPr>
              <w:pStyle w:val="TableContents"/>
              <w:widowControl w:val="false"/>
              <w:suppressLineNumbers/>
              <w:bidi w:val="0"/>
              <w:jc w:val="left"/>
              <w:rPr/>
            </w:pPr>
            <w:hyperlink r:id="rId3">
              <w:r>
                <w:rPr>
                  <w:rStyle w:val="Hyperlink"/>
                </w:rPr>
                <w:t>coursition.com</w:t>
              </w:r>
            </w:hyperlink>
          </w:p>
        </w:tc>
        <w:tc>
          <w:tcPr>
            <w:tcW w:w="7120" w:type="dxa"/>
            <w:tcBorders/>
            <w:vAlign w:val="center"/>
          </w:tcPr>
          <w:p>
            <w:pPr>
              <w:pStyle w:val="TableContents"/>
              <w:widowControl w:val="false"/>
              <w:suppressLineNumbers/>
              <w:bidi w:val="0"/>
              <w:jc w:val="left"/>
              <w:rPr/>
            </w:pPr>
            <w:r>
              <w:rPr/>
              <w:t>Primární veřejný vstup; česká a anglická jazyková větev mají vlastní copy a témata.</w:t>
            </w:r>
          </w:p>
        </w:tc>
      </w:tr>
      <w:tr>
        <w:trPr/>
        <w:tc>
          <w:tcPr>
            <w:tcW w:w="1433" w:type="dxa"/>
            <w:tcBorders/>
            <w:vAlign w:val="center"/>
          </w:tcPr>
          <w:p>
            <w:pPr>
              <w:pStyle w:val="TableContents"/>
              <w:widowControl w:val="false"/>
              <w:suppressLineNumbers/>
              <w:bidi w:val="0"/>
              <w:jc w:val="left"/>
              <w:rPr/>
            </w:pPr>
            <w:r>
              <w:rPr/>
              <w:t>Aplikace</w:t>
            </w:r>
          </w:p>
        </w:tc>
        <w:tc>
          <w:tcPr>
            <w:tcW w:w="1539" w:type="dxa"/>
            <w:tcBorders/>
            <w:vAlign w:val="center"/>
          </w:tcPr>
          <w:p>
            <w:pPr>
              <w:pStyle w:val="TableContents"/>
              <w:widowControl w:val="false"/>
              <w:suppressLineNumbers/>
              <w:bidi w:val="0"/>
              <w:jc w:val="left"/>
              <w:rPr/>
            </w:pPr>
            <w:r>
              <w:rPr/>
              <w:t>Coursition</w:t>
            </w:r>
          </w:p>
        </w:tc>
        <w:tc>
          <w:tcPr>
            <w:tcW w:w="7120" w:type="dxa"/>
            <w:tcBorders/>
            <w:vAlign w:val="center"/>
          </w:tcPr>
          <w:p>
            <w:pPr>
              <w:pStyle w:val="TableContents"/>
              <w:widowControl w:val="false"/>
              <w:suppressLineNumbers/>
              <w:bidi w:val="0"/>
              <w:jc w:val="left"/>
              <w:rPr/>
            </w:pPr>
            <w:r>
              <w:rPr/>
              <w:t>Nepřidávat samostatný produktový název pro editor nebo workflow.</w:t>
            </w:r>
          </w:p>
        </w:tc>
      </w:tr>
      <w:tr>
        <w:trPr/>
        <w:tc>
          <w:tcPr>
            <w:tcW w:w="1433" w:type="dxa"/>
            <w:tcBorders/>
            <w:vAlign w:val="center"/>
          </w:tcPr>
          <w:p>
            <w:pPr>
              <w:pStyle w:val="TableContents"/>
              <w:widowControl w:val="false"/>
              <w:suppressLineNumbers/>
              <w:bidi w:val="0"/>
              <w:jc w:val="left"/>
              <w:rPr/>
            </w:pPr>
            <w:r>
              <w:rPr/>
              <w:t>Budoucí moduly</w:t>
            </w:r>
          </w:p>
        </w:tc>
        <w:tc>
          <w:tcPr>
            <w:tcW w:w="1539" w:type="dxa"/>
            <w:tcBorders/>
            <w:vAlign w:val="center"/>
          </w:tcPr>
          <w:p>
            <w:pPr>
              <w:pStyle w:val="TableContents"/>
              <w:widowControl w:val="false"/>
              <w:suppressLineNumbers/>
              <w:bidi w:val="0"/>
              <w:jc w:val="left"/>
              <w:rPr/>
            </w:pPr>
            <w:r>
              <w:rPr/>
              <w:t>popisná jména</w:t>
            </w:r>
          </w:p>
        </w:tc>
        <w:tc>
          <w:tcPr>
            <w:tcW w:w="7120" w:type="dxa"/>
            <w:tcBorders/>
            <w:vAlign w:val="center"/>
          </w:tcPr>
          <w:p>
            <w:pPr>
              <w:pStyle w:val="TableContents"/>
              <w:widowControl w:val="false"/>
              <w:suppressLineNumbers/>
              <w:bidi w:val="0"/>
              <w:jc w:val="left"/>
              <w:rPr/>
            </w:pPr>
            <w:r>
              <w:rPr/>
              <w:t>Novou podznačku zavést jen tehdy, pokud má samostatné publikum, hodnotu a distribuci.</w:t>
            </w:r>
          </w:p>
        </w:tc>
      </w:tr>
    </w:tbl>
    <w:p>
      <w:pPr>
        <w:pStyle w:val="BodyText"/>
        <w:bidi w:val="0"/>
        <w:jc w:val="left"/>
        <w:rPr/>
      </w:pPr>
      <w:r>
        <w:rPr/>
        <w:t>Nevytvářet podznačky typu „Coursition AI“, „Coursition Academy“ nebo „Coursition Enterprise“ bez doložené potřeby. Tříští rozpoznatelnost produktu, který zatím nemá prodeje ani samostatné produktové řady.</w:t>
      </w:r>
    </w:p>
    <w:p>
      <w:pPr>
        <w:pStyle w:val="Heading2"/>
        <w:bidi w:val="0"/>
        <w:ind w:hanging="0" w:left="0" w:right="0"/>
        <w:jc w:val="left"/>
        <w:rPr/>
      </w:pPr>
      <w:bookmarkStart w:id="3" w:name="3-logo"/>
      <w:bookmarkEnd w:id="3"/>
      <w:r>
        <w:rPr/>
        <w:t>3. Logo</w:t>
      </w:r>
    </w:p>
    <w:p>
      <w:pPr>
        <w:pStyle w:val="Heading3"/>
        <w:bidi w:val="0"/>
        <w:ind w:hanging="0" w:left="0" w:right="0"/>
        <w:jc w:val="left"/>
        <w:rPr/>
      </w:pPr>
      <w:bookmarkStart w:id="4" w:name="3-1-povolene-varianty"/>
      <w:bookmarkEnd w:id="4"/>
      <w:r>
        <w:rPr/>
        <w:t>3.1 Povolené varianty</w:t>
      </w:r>
    </w:p>
    <w:p>
      <w:pPr>
        <w:pStyle w:val="BodyText"/>
        <w:numPr>
          <w:ilvl w:val="0"/>
          <w:numId w:val="3"/>
        </w:numPr>
        <w:tabs>
          <w:tab w:val="clear" w:pos="709"/>
          <w:tab w:val="left" w:pos="709" w:leader="none"/>
        </w:tabs>
        <w:bidi w:val="0"/>
        <w:spacing w:before="0" w:after="0"/>
        <w:ind w:hanging="283" w:left="709"/>
        <w:jc w:val="left"/>
        <w:rPr/>
      </w:pPr>
      <w:r>
        <w:rPr>
          <w:rStyle w:val="Strong"/>
        </w:rPr>
        <w:t>Kompletní logo:</w:t>
      </w:r>
      <w:r>
        <w:rPr/>
        <w:t xml:space="preserve"> symbol a wordmark. Výchozí varianta pro titulní strany, web, prezentace a hlavní firemní materiály. </w:t>
      </w:r>
    </w:p>
    <w:p>
      <w:pPr>
        <w:pStyle w:val="BodyText"/>
        <w:numPr>
          <w:ilvl w:val="0"/>
          <w:numId w:val="3"/>
        </w:numPr>
        <w:tabs>
          <w:tab w:val="clear" w:pos="709"/>
          <w:tab w:val="left" w:pos="709" w:leader="none"/>
        </w:tabs>
        <w:bidi w:val="0"/>
        <w:spacing w:before="0" w:after="0"/>
        <w:ind w:hanging="283" w:left="709"/>
        <w:jc w:val="left"/>
        <w:rPr/>
      </w:pPr>
      <w:r>
        <w:rPr>
          <w:rStyle w:val="Strong"/>
        </w:rPr>
        <w:t>Wordmark:</w:t>
      </w:r>
      <w:r>
        <w:rPr/>
        <w:t xml:space="preserve"> pouze „Coursition“. Použít tam, kde je značka již kontextově jasná nebo kde symbol snižuje čitelnost. </w:t>
      </w:r>
    </w:p>
    <w:p>
      <w:pPr>
        <w:pStyle w:val="BodyText"/>
        <w:numPr>
          <w:ilvl w:val="0"/>
          <w:numId w:val="3"/>
        </w:numPr>
        <w:tabs>
          <w:tab w:val="clear" w:pos="709"/>
          <w:tab w:val="left" w:pos="709" w:leader="none"/>
        </w:tabs>
        <w:bidi w:val="0"/>
        <w:spacing w:before="0" w:after="0"/>
        <w:ind w:hanging="283" w:left="709"/>
        <w:jc w:val="left"/>
        <w:rPr/>
      </w:pPr>
      <w:r>
        <w:rPr>
          <w:rStyle w:val="Strong"/>
        </w:rPr>
        <w:t>Symbol:</w:t>
      </w:r>
      <w:r>
        <w:rPr/>
        <w:t xml:space="preserve"> vlaštovka/papírové letadlo. Použít jako ikonu, avatar, favicon nebo v malém čtvercovém formátu. </w:t>
      </w:r>
    </w:p>
    <w:p>
      <w:pPr>
        <w:pStyle w:val="BodyText"/>
        <w:numPr>
          <w:ilvl w:val="0"/>
          <w:numId w:val="3"/>
        </w:numPr>
        <w:tabs>
          <w:tab w:val="clear" w:pos="709"/>
          <w:tab w:val="left" w:pos="709" w:leader="none"/>
        </w:tabs>
        <w:bidi w:val="0"/>
        <w:ind w:hanging="283" w:left="709"/>
        <w:jc w:val="left"/>
        <w:rPr/>
      </w:pPr>
      <w:r>
        <w:rPr>
          <w:rStyle w:val="Strong"/>
        </w:rPr>
        <w:t>Jednobarevná varianta:</w:t>
      </w:r>
      <w:r>
        <w:rPr/>
        <w:t xml:space="preserve"> černá na světlém podkladu, bílá na tmavém podkladu. Použít při omezené reprodukci. </w:t>
      </w:r>
    </w:p>
    <w:p>
      <w:pPr>
        <w:pStyle w:val="BodyText"/>
        <w:bidi w:val="0"/>
        <w:jc w:val="left"/>
        <w:rPr/>
      </w:pPr>
      <w:r>
        <w:rPr/>
        <w:t>Používat pouze zdrojové soubory. Nekreslit logo znovu a nenahrazovat wordmark podobným písmem.</w:t>
      </w:r>
    </w:p>
    <w:p>
      <w:pPr>
        <w:pStyle w:val="Heading3"/>
        <w:bidi w:val="0"/>
        <w:ind w:hanging="0" w:left="0" w:right="0"/>
        <w:jc w:val="left"/>
        <w:rPr/>
      </w:pPr>
      <w:bookmarkStart w:id="5" w:name="3-2-ochranna-zona"/>
      <w:bookmarkEnd w:id="5"/>
      <w:r>
        <w:rPr/>
        <w:t>3.2 Ochranná zóna</w:t>
      </w:r>
    </w:p>
    <w:p>
      <w:pPr>
        <w:pStyle w:val="BodyText"/>
        <w:numPr>
          <w:ilvl w:val="0"/>
          <w:numId w:val="4"/>
        </w:numPr>
        <w:tabs>
          <w:tab w:val="clear" w:pos="709"/>
          <w:tab w:val="left" w:pos="709" w:leader="none"/>
        </w:tabs>
        <w:bidi w:val="0"/>
        <w:spacing w:before="0" w:after="0"/>
        <w:ind w:hanging="283" w:left="709"/>
        <w:jc w:val="left"/>
        <w:rPr/>
      </w:pPr>
      <w:r>
        <w:rPr/>
        <w:t xml:space="preserve">Kompletní logo a symbol: nejméně </w:t>
      </w:r>
      <w:r>
        <w:rPr>
          <w:rStyle w:val="Strong"/>
        </w:rPr>
        <w:t>20 % výšky</w:t>
      </w:r>
      <w:r>
        <w:rPr/>
        <w:t xml:space="preserve"> značky na všech stranách. </w:t>
      </w:r>
    </w:p>
    <w:p>
      <w:pPr>
        <w:pStyle w:val="BodyText"/>
        <w:numPr>
          <w:ilvl w:val="0"/>
          <w:numId w:val="4"/>
        </w:numPr>
        <w:tabs>
          <w:tab w:val="clear" w:pos="709"/>
          <w:tab w:val="left" w:pos="709" w:leader="none"/>
        </w:tabs>
        <w:bidi w:val="0"/>
        <w:spacing w:before="0" w:after="0"/>
        <w:ind w:hanging="283" w:left="709"/>
        <w:jc w:val="left"/>
        <w:rPr/>
      </w:pPr>
      <w:r>
        <w:rPr/>
        <w:t xml:space="preserve">Samostatný wordmark: nejméně </w:t>
      </w:r>
      <w:r>
        <w:rPr>
          <w:rStyle w:val="Strong"/>
        </w:rPr>
        <w:t>40 % výšky písma</w:t>
      </w:r>
      <w:r>
        <w:rPr/>
        <w:t xml:space="preserve"> na všech stranách. </w:t>
      </w:r>
    </w:p>
    <w:p>
      <w:pPr>
        <w:pStyle w:val="BodyText"/>
        <w:numPr>
          <w:ilvl w:val="0"/>
          <w:numId w:val="4"/>
        </w:numPr>
        <w:tabs>
          <w:tab w:val="clear" w:pos="709"/>
          <w:tab w:val="left" w:pos="709" w:leader="none"/>
        </w:tabs>
        <w:bidi w:val="0"/>
        <w:ind w:hanging="283" w:left="709"/>
        <w:jc w:val="left"/>
        <w:rPr/>
      </w:pPr>
      <w:r>
        <w:rPr/>
        <w:t xml:space="preserve">Do ochranné zóny nevkládat text, rámeček, partnerské logo ani hranu fotografie. </w:t>
      </w:r>
    </w:p>
    <w:p>
      <w:pPr>
        <w:pStyle w:val="Heading3"/>
        <w:bidi w:val="0"/>
        <w:ind w:hanging="0" w:left="0" w:right="0"/>
        <w:jc w:val="left"/>
        <w:rPr/>
      </w:pPr>
      <w:bookmarkStart w:id="6" w:name="3-3-minimalni-velikost"/>
      <w:bookmarkEnd w:id="6"/>
      <w:r>
        <w:rPr/>
        <w:t>3.3 Minimální velikost</w:t>
      </w:r>
    </w:p>
    <w:p>
      <w:pPr>
        <w:pStyle w:val="BodyText"/>
        <w:bidi w:val="0"/>
        <w:jc w:val="left"/>
        <w:rPr/>
      </w:pPr>
      <w:r>
        <w:rPr/>
        <w:t xml:space="preserve">Původní Design Manual číselné minimální rozměry nedokládá. Následující hodnoty jsou </w:t>
      </w:r>
      <w:r>
        <w:rPr>
          <w:rStyle w:val="Strong"/>
        </w:rPr>
        <w:t>pracovní doporučení k validační reprodukční zkoušce</w:t>
      </w:r>
      <w:r>
        <w:rPr/>
        <w:t>, nikoli převzatý standard.</w:t>
      </w:r>
    </w:p>
    <w:tbl>
      <w:tblPr>
        <w:tblW w:w="6381" w:type="dxa"/>
        <w:jc w:val="left"/>
        <w:tblInd w:w="28" w:type="dxa"/>
        <w:tblLayout w:type="fixed"/>
        <w:tblCellMar>
          <w:top w:w="28" w:type="dxa"/>
          <w:left w:w="28" w:type="dxa"/>
          <w:bottom w:w="28" w:type="dxa"/>
          <w:right w:w="28" w:type="dxa"/>
        </w:tblCellMar>
      </w:tblPr>
      <w:tblGrid>
        <w:gridCol w:w="2965"/>
        <w:gridCol w:w="3416"/>
      </w:tblGrid>
      <w:tr>
        <w:trPr>
          <w:tblHeader w:val="true"/>
        </w:trPr>
        <w:tc>
          <w:tcPr>
            <w:tcW w:w="2965" w:type="dxa"/>
            <w:tcBorders/>
            <w:vAlign w:val="center"/>
          </w:tcPr>
          <w:p>
            <w:pPr>
              <w:pStyle w:val="TableHeading"/>
              <w:bidi w:val="0"/>
              <w:ind w:hanging="0" w:left="0" w:right="0"/>
              <w:rPr/>
            </w:pPr>
            <w:r>
              <w:rPr/>
              <w:t>Použití</w:t>
            </w:r>
          </w:p>
        </w:tc>
        <w:tc>
          <w:tcPr>
            <w:tcW w:w="3416" w:type="dxa"/>
            <w:tcBorders/>
            <w:vAlign w:val="center"/>
          </w:tcPr>
          <w:p>
            <w:pPr>
              <w:pStyle w:val="TableHeading"/>
              <w:bidi w:val="0"/>
              <w:jc w:val="right"/>
              <w:rPr/>
            </w:pPr>
            <w:r>
              <w:rPr/>
              <w:t>Doporučené pracovní minimum</w:t>
            </w:r>
          </w:p>
        </w:tc>
      </w:tr>
      <w:tr>
        <w:trPr/>
        <w:tc>
          <w:tcPr>
            <w:tcW w:w="2965" w:type="dxa"/>
            <w:tcBorders/>
            <w:vAlign w:val="center"/>
          </w:tcPr>
          <w:p>
            <w:pPr>
              <w:pStyle w:val="TableContents"/>
              <w:bidi w:val="0"/>
              <w:ind w:hanging="0" w:left="0" w:right="0"/>
              <w:jc w:val="left"/>
              <w:rPr/>
            </w:pPr>
            <w:r>
              <w:rPr/>
              <w:t>Kompletní logo na obrazovce</w:t>
            </w:r>
          </w:p>
        </w:tc>
        <w:tc>
          <w:tcPr>
            <w:tcW w:w="3416" w:type="dxa"/>
            <w:tcBorders/>
            <w:vAlign w:val="center"/>
          </w:tcPr>
          <w:p>
            <w:pPr>
              <w:pStyle w:val="TableContents"/>
              <w:bidi w:val="0"/>
              <w:jc w:val="right"/>
              <w:rPr/>
            </w:pPr>
            <w:r>
              <w:rPr/>
              <w:t>120 px šířky</w:t>
            </w:r>
          </w:p>
        </w:tc>
      </w:tr>
      <w:tr>
        <w:trPr/>
        <w:tc>
          <w:tcPr>
            <w:tcW w:w="2965" w:type="dxa"/>
            <w:tcBorders/>
            <w:vAlign w:val="center"/>
          </w:tcPr>
          <w:p>
            <w:pPr>
              <w:pStyle w:val="TableContents"/>
              <w:bidi w:val="0"/>
              <w:ind w:hanging="0" w:left="0" w:right="0"/>
              <w:jc w:val="left"/>
              <w:rPr/>
            </w:pPr>
            <w:r>
              <w:rPr/>
              <w:t>Kompletní logo v tisku</w:t>
            </w:r>
          </w:p>
        </w:tc>
        <w:tc>
          <w:tcPr>
            <w:tcW w:w="3416" w:type="dxa"/>
            <w:tcBorders/>
            <w:vAlign w:val="center"/>
          </w:tcPr>
          <w:p>
            <w:pPr>
              <w:pStyle w:val="TableContents"/>
              <w:bidi w:val="0"/>
              <w:jc w:val="right"/>
              <w:rPr/>
            </w:pPr>
            <w:r>
              <w:rPr/>
              <w:t>32 mm šířky</w:t>
            </w:r>
          </w:p>
        </w:tc>
      </w:tr>
      <w:tr>
        <w:trPr/>
        <w:tc>
          <w:tcPr>
            <w:tcW w:w="2965" w:type="dxa"/>
            <w:tcBorders/>
            <w:vAlign w:val="center"/>
          </w:tcPr>
          <w:p>
            <w:pPr>
              <w:pStyle w:val="TableContents"/>
              <w:bidi w:val="0"/>
              <w:ind w:hanging="0" w:left="0" w:right="0"/>
              <w:jc w:val="left"/>
              <w:rPr/>
            </w:pPr>
            <w:r>
              <w:rPr/>
              <w:t>Symbol na obrazovce</w:t>
            </w:r>
          </w:p>
        </w:tc>
        <w:tc>
          <w:tcPr>
            <w:tcW w:w="3416" w:type="dxa"/>
            <w:tcBorders/>
            <w:vAlign w:val="center"/>
          </w:tcPr>
          <w:p>
            <w:pPr>
              <w:pStyle w:val="TableContents"/>
              <w:bidi w:val="0"/>
              <w:jc w:val="right"/>
              <w:rPr/>
            </w:pPr>
            <w:r>
              <w:rPr/>
              <w:t>24 × 24 px</w:t>
            </w:r>
          </w:p>
        </w:tc>
      </w:tr>
      <w:tr>
        <w:trPr/>
        <w:tc>
          <w:tcPr>
            <w:tcW w:w="2965" w:type="dxa"/>
            <w:tcBorders/>
            <w:vAlign w:val="center"/>
          </w:tcPr>
          <w:p>
            <w:pPr>
              <w:pStyle w:val="TableContents"/>
              <w:bidi w:val="0"/>
              <w:ind w:hanging="0" w:left="0" w:right="0"/>
              <w:jc w:val="left"/>
              <w:rPr/>
            </w:pPr>
            <w:r>
              <w:rPr/>
              <w:t>Symbol v tisku</w:t>
            </w:r>
          </w:p>
        </w:tc>
        <w:tc>
          <w:tcPr>
            <w:tcW w:w="3416" w:type="dxa"/>
            <w:tcBorders/>
            <w:vAlign w:val="center"/>
          </w:tcPr>
          <w:p>
            <w:pPr>
              <w:pStyle w:val="TableContents"/>
              <w:bidi w:val="0"/>
              <w:jc w:val="right"/>
              <w:rPr/>
            </w:pPr>
            <w:r>
              <w:rPr/>
              <w:t>8 × 8 mm</w:t>
            </w:r>
          </w:p>
        </w:tc>
      </w:tr>
      <w:tr>
        <w:trPr/>
        <w:tc>
          <w:tcPr>
            <w:tcW w:w="2965" w:type="dxa"/>
            <w:tcBorders/>
            <w:vAlign w:val="center"/>
          </w:tcPr>
          <w:p>
            <w:pPr>
              <w:pStyle w:val="TableContents"/>
              <w:bidi w:val="0"/>
              <w:ind w:hanging="0" w:left="0" w:right="0"/>
              <w:jc w:val="left"/>
              <w:rPr/>
            </w:pPr>
            <w:r>
              <w:rPr/>
              <w:t>Wordmark na obrazovce</w:t>
            </w:r>
          </w:p>
        </w:tc>
        <w:tc>
          <w:tcPr>
            <w:tcW w:w="3416" w:type="dxa"/>
            <w:tcBorders/>
            <w:vAlign w:val="center"/>
          </w:tcPr>
          <w:p>
            <w:pPr>
              <w:pStyle w:val="TableContents"/>
              <w:bidi w:val="0"/>
              <w:jc w:val="right"/>
              <w:rPr/>
            </w:pPr>
            <w:r>
              <w:rPr/>
              <w:t>96 px šířky</w:t>
            </w:r>
          </w:p>
        </w:tc>
      </w:tr>
    </w:tbl>
    <w:p>
      <w:pPr>
        <w:pStyle w:val="BodyText"/>
        <w:bidi w:val="0"/>
        <w:jc w:val="left"/>
        <w:rPr/>
      </w:pPr>
      <w:r>
        <w:rPr/>
        <w:t>Pokud jemné části symbolu mizí, přejít na wordmark nebo jednobarevnou variantu. Čitelnost má přednost před zachováním gradientu.</w:t>
      </w:r>
    </w:p>
    <w:p>
      <w:pPr>
        <w:pStyle w:val="Heading3"/>
        <w:bidi w:val="0"/>
        <w:ind w:hanging="0" w:left="0" w:right="0"/>
        <w:jc w:val="left"/>
        <w:rPr/>
      </w:pPr>
      <w:bookmarkStart w:id="7" w:name="3-4-pozadi"/>
      <w:bookmarkEnd w:id="7"/>
      <w:r>
        <w:rPr/>
        <w:t>3.4 Pozadí</w:t>
      </w:r>
    </w:p>
    <w:p>
      <w:pPr>
        <w:pStyle w:val="BodyText"/>
        <w:numPr>
          <w:ilvl w:val="0"/>
          <w:numId w:val="5"/>
        </w:numPr>
        <w:tabs>
          <w:tab w:val="clear" w:pos="709"/>
          <w:tab w:val="left" w:pos="709" w:leader="none"/>
        </w:tabs>
        <w:bidi w:val="0"/>
        <w:spacing w:before="0" w:after="0"/>
        <w:ind w:hanging="283" w:left="709"/>
        <w:jc w:val="left"/>
        <w:rPr/>
      </w:pPr>
      <w:r>
        <w:rPr/>
        <w:t xml:space="preserve">Na světlém klidném pozadí použít barevnou nebo tmavou variantu. </w:t>
      </w:r>
    </w:p>
    <w:p>
      <w:pPr>
        <w:pStyle w:val="BodyText"/>
        <w:numPr>
          <w:ilvl w:val="0"/>
          <w:numId w:val="5"/>
        </w:numPr>
        <w:tabs>
          <w:tab w:val="clear" w:pos="709"/>
          <w:tab w:val="left" w:pos="709" w:leader="none"/>
        </w:tabs>
        <w:bidi w:val="0"/>
        <w:spacing w:before="0" w:after="0"/>
        <w:ind w:hanging="283" w:left="709"/>
        <w:jc w:val="left"/>
        <w:rPr/>
      </w:pPr>
      <w:r>
        <w:rPr/>
        <w:t xml:space="preserve">Na tmavém pozadí použít světlou variantu. </w:t>
      </w:r>
    </w:p>
    <w:p>
      <w:pPr>
        <w:pStyle w:val="BodyText"/>
        <w:numPr>
          <w:ilvl w:val="0"/>
          <w:numId w:val="5"/>
        </w:numPr>
        <w:tabs>
          <w:tab w:val="clear" w:pos="709"/>
          <w:tab w:val="left" w:pos="709" w:leader="none"/>
        </w:tabs>
        <w:bidi w:val="0"/>
        <w:spacing w:before="0" w:after="0"/>
        <w:ind w:hanging="283" w:left="709"/>
        <w:jc w:val="left"/>
        <w:rPr/>
      </w:pPr>
      <w:r>
        <w:rPr/>
        <w:t xml:space="preserve">Na fotografii použít jen tehdy, když logo má souvislou klidnou plochu a dostatečný kontrast. </w:t>
      </w:r>
    </w:p>
    <w:p>
      <w:pPr>
        <w:pStyle w:val="BodyText"/>
        <w:numPr>
          <w:ilvl w:val="0"/>
          <w:numId w:val="5"/>
        </w:numPr>
        <w:tabs>
          <w:tab w:val="clear" w:pos="709"/>
          <w:tab w:val="left" w:pos="709" w:leader="none"/>
        </w:tabs>
        <w:bidi w:val="0"/>
        <w:ind w:hanging="283" w:left="709"/>
        <w:jc w:val="left"/>
        <w:rPr/>
      </w:pPr>
      <w:r>
        <w:rPr/>
        <w:t xml:space="preserve">Nevkládat barevné logo na barvu, která mění vnímaný odstín nebo snižuje čitelnost. </w:t>
      </w:r>
    </w:p>
    <w:p>
      <w:pPr>
        <w:pStyle w:val="Heading3"/>
        <w:bidi w:val="0"/>
        <w:ind w:hanging="0" w:left="0" w:right="0"/>
        <w:jc w:val="left"/>
        <w:rPr/>
      </w:pPr>
      <w:bookmarkStart w:id="8" w:name="3-5-zakazane-upravy"/>
      <w:bookmarkEnd w:id="8"/>
      <w:r>
        <w:rPr/>
        <w:t>3.5 Zakázané úpravy</w:t>
      </w:r>
    </w:p>
    <w:p>
      <w:pPr>
        <w:pStyle w:val="BodyText"/>
        <w:bidi w:val="0"/>
        <w:jc w:val="left"/>
        <w:rPr/>
      </w:pPr>
      <w:r>
        <w:rPr/>
        <w:t>Logo ani jeho části:</w:t>
      </w:r>
    </w:p>
    <w:p>
      <w:pPr>
        <w:pStyle w:val="BodyText"/>
        <w:numPr>
          <w:ilvl w:val="0"/>
          <w:numId w:val="6"/>
        </w:numPr>
        <w:tabs>
          <w:tab w:val="clear" w:pos="709"/>
          <w:tab w:val="left" w:pos="709" w:leader="none"/>
        </w:tabs>
        <w:bidi w:val="0"/>
        <w:spacing w:before="0" w:after="0"/>
        <w:ind w:hanging="283" w:left="709"/>
        <w:jc w:val="left"/>
        <w:rPr/>
      </w:pPr>
      <w:r>
        <w:rPr/>
        <w:t xml:space="preserve">nedeformovat, nenaklánět, neotáčet a nepřeskládávat; </w:t>
      </w:r>
    </w:p>
    <w:p>
      <w:pPr>
        <w:pStyle w:val="BodyText"/>
        <w:numPr>
          <w:ilvl w:val="0"/>
          <w:numId w:val="6"/>
        </w:numPr>
        <w:tabs>
          <w:tab w:val="clear" w:pos="709"/>
          <w:tab w:val="left" w:pos="709" w:leader="none"/>
        </w:tabs>
        <w:bidi w:val="0"/>
        <w:spacing w:before="0" w:after="0"/>
        <w:ind w:hanging="283" w:left="709"/>
        <w:jc w:val="left"/>
        <w:rPr/>
      </w:pPr>
      <w:r>
        <w:rPr/>
        <w:t xml:space="preserve">nepřebarvovat mimo schválené varianty; </w:t>
      </w:r>
    </w:p>
    <w:p>
      <w:pPr>
        <w:pStyle w:val="BodyText"/>
        <w:numPr>
          <w:ilvl w:val="0"/>
          <w:numId w:val="6"/>
        </w:numPr>
        <w:tabs>
          <w:tab w:val="clear" w:pos="709"/>
          <w:tab w:val="left" w:pos="709" w:leader="none"/>
        </w:tabs>
        <w:bidi w:val="0"/>
        <w:spacing w:before="0" w:after="0"/>
        <w:ind w:hanging="283" w:left="709"/>
        <w:jc w:val="left"/>
        <w:rPr/>
      </w:pPr>
      <w:r>
        <w:rPr/>
        <w:t xml:space="preserve">nedoplňovat stín, obrys, záři, 3D efekt nebo animaci bez funkčního důvodu; </w:t>
      </w:r>
    </w:p>
    <w:p>
      <w:pPr>
        <w:pStyle w:val="BodyText"/>
        <w:numPr>
          <w:ilvl w:val="0"/>
          <w:numId w:val="6"/>
        </w:numPr>
        <w:tabs>
          <w:tab w:val="clear" w:pos="709"/>
          <w:tab w:val="left" w:pos="709" w:leader="none"/>
        </w:tabs>
        <w:bidi w:val="0"/>
        <w:spacing w:before="0" w:after="0"/>
        <w:ind w:hanging="283" w:left="709"/>
        <w:jc w:val="left"/>
        <w:rPr/>
      </w:pPr>
      <w:r>
        <w:rPr/>
        <w:t xml:space="preserve">nevkládat do kruhu, štítku nebo rámečku, který není součástí kompozice; </w:t>
      </w:r>
    </w:p>
    <w:p>
      <w:pPr>
        <w:pStyle w:val="BodyText"/>
        <w:numPr>
          <w:ilvl w:val="0"/>
          <w:numId w:val="6"/>
        </w:numPr>
        <w:tabs>
          <w:tab w:val="clear" w:pos="709"/>
          <w:tab w:val="left" w:pos="709" w:leader="none"/>
        </w:tabs>
        <w:bidi w:val="0"/>
        <w:spacing w:before="0" w:after="0"/>
        <w:ind w:hanging="283" w:left="709"/>
        <w:jc w:val="left"/>
        <w:rPr/>
      </w:pPr>
      <w:r>
        <w:rPr/>
        <w:t xml:space="preserve">neměnit rozestup symbolu a wordmarku; </w:t>
      </w:r>
    </w:p>
    <w:p>
      <w:pPr>
        <w:pStyle w:val="BodyText"/>
        <w:numPr>
          <w:ilvl w:val="0"/>
          <w:numId w:val="6"/>
        </w:numPr>
        <w:tabs>
          <w:tab w:val="clear" w:pos="709"/>
          <w:tab w:val="left" w:pos="709" w:leader="none"/>
        </w:tabs>
        <w:bidi w:val="0"/>
        <w:ind w:hanging="283" w:left="709"/>
        <w:jc w:val="left"/>
        <w:rPr/>
      </w:pPr>
      <w:r>
        <w:rPr/>
        <w:t xml:space="preserve">nepoužívat jako dekorativní vzorek. </w:t>
      </w:r>
    </w:p>
    <w:p>
      <w:pPr>
        <w:pStyle w:val="Heading2"/>
        <w:bidi w:val="0"/>
        <w:ind w:hanging="0" w:left="0" w:right="0"/>
        <w:jc w:val="left"/>
        <w:rPr/>
      </w:pPr>
      <w:bookmarkStart w:id="9" w:name="4-barevny-system"/>
      <w:bookmarkEnd w:id="9"/>
      <w:r>
        <w:rPr/>
        <w:t>4. Barevný systém</w:t>
      </w:r>
    </w:p>
    <w:p>
      <w:pPr>
        <w:pStyle w:val="Heading3"/>
        <w:bidi w:val="0"/>
        <w:ind w:hanging="0" w:left="0" w:right="0"/>
        <w:jc w:val="left"/>
        <w:rPr/>
      </w:pPr>
      <w:bookmarkStart w:id="10" w:name="4-1-zakladni-barvy-a-puvod"/>
      <w:bookmarkEnd w:id="10"/>
      <w:r>
        <w:rPr/>
        <w:t>4.1 Základní barvy a původ</w:t>
      </w:r>
    </w:p>
    <w:p>
      <w:pPr>
        <w:pStyle w:val="BodyText"/>
        <w:bidi w:val="0"/>
        <w:jc w:val="left"/>
        <w:rPr/>
      </w:pPr>
      <w:r>
        <w:rPr>
          <w:rStyle w:val="Strong"/>
        </w:rPr>
        <w:t>Kanonický logo asset:</w:t>
      </w:r>
      <w:r>
        <w:rPr/>
        <w:t xml:space="preserve"> wordmark </w:t>
      </w:r>
      <w:r>
        <w:rPr>
          <w:rStyle w:val="SourceText"/>
        </w:rPr>
        <w:t>#4A044E</w:t>
      </w:r>
      <w:r>
        <w:rPr/>
        <w:t xml:space="preserve">, gradient symbolu </w:t>
      </w:r>
      <w:r>
        <w:rPr>
          <w:rStyle w:val="SourceText"/>
        </w:rPr>
        <w:t>#C026D3 → #4A044E</w:t>
      </w:r>
      <w:r>
        <w:rPr/>
        <w:t xml:space="preserve">. </w:t>
      </w:r>
      <w:r>
        <w:rPr>
          <w:rStyle w:val="Strong"/>
        </w:rPr>
        <w:t>Současné UI a dokumentové kotvy:</w:t>
      </w:r>
      <w:r>
        <w:rPr/>
        <w:t xml:space="preserve"> </w:t>
      </w:r>
      <w:r>
        <w:rPr>
          <w:rStyle w:val="SourceText"/>
        </w:rPr>
        <w:t>#4A044E</w:t>
      </w:r>
      <w:r>
        <w:rPr/>
        <w:t xml:space="preserve">, </w:t>
      </w:r>
      <w:r>
        <w:rPr>
          <w:rStyle w:val="SourceText"/>
        </w:rPr>
        <w:t>#A01DAF</w:t>
      </w:r>
      <w:r>
        <w:rPr/>
        <w:t xml:space="preserve"> a </w:t>
      </w:r>
      <w:r>
        <w:rPr>
          <w:rStyle w:val="SourceText"/>
        </w:rPr>
        <w:t>#007AA8</w:t>
      </w:r>
      <w:r>
        <w:rPr/>
        <w:t>. Warm neutrals níže jsou barvy současné implementace a dokumentového systému; nejsou vydávány za přesné hodnoty doložené původním PDF. Původní manuál zachycuje také modrou rodinu, ale její úplná kanonická gradientní specifikace ani zdrojové SVG nejsou v balíčku doloženy.</w:t>
      </w:r>
    </w:p>
    <w:tbl>
      <w:tblPr>
        <w:tblW w:w="10092" w:type="dxa"/>
        <w:jc w:val="left"/>
        <w:tblInd w:w="28" w:type="dxa"/>
        <w:tblLayout w:type="fixed"/>
        <w:tblCellMar>
          <w:top w:w="28" w:type="dxa"/>
          <w:left w:w="28" w:type="dxa"/>
          <w:bottom w:w="28" w:type="dxa"/>
          <w:right w:w="28" w:type="dxa"/>
        </w:tblCellMar>
      </w:tblPr>
      <w:tblGrid>
        <w:gridCol w:w="1410"/>
        <w:gridCol w:w="1263"/>
        <w:gridCol w:w="1114"/>
        <w:gridCol w:w="6305"/>
      </w:tblGrid>
      <w:tr>
        <w:trPr>
          <w:tblHeader w:val="true"/>
        </w:trPr>
        <w:tc>
          <w:tcPr>
            <w:tcW w:w="1410" w:type="dxa"/>
            <w:tcBorders/>
            <w:vAlign w:val="center"/>
          </w:tcPr>
          <w:p>
            <w:pPr>
              <w:pStyle w:val="TableHeading"/>
              <w:suppressLineNumbers/>
              <w:bidi w:val="0"/>
              <w:jc w:val="center"/>
              <w:rPr/>
            </w:pPr>
            <w:r>
              <w:rPr/>
              <w:t>Role</w:t>
            </w:r>
          </w:p>
        </w:tc>
        <w:tc>
          <w:tcPr>
            <w:tcW w:w="1263" w:type="dxa"/>
            <w:tcBorders/>
            <w:vAlign w:val="center"/>
          </w:tcPr>
          <w:p>
            <w:pPr>
              <w:pStyle w:val="TableHeading"/>
              <w:suppressLineNumbers/>
              <w:bidi w:val="0"/>
              <w:jc w:val="center"/>
              <w:rPr/>
            </w:pPr>
            <w:r>
              <w:rPr/>
              <w:t>Barva</w:t>
            </w:r>
          </w:p>
        </w:tc>
        <w:tc>
          <w:tcPr>
            <w:tcW w:w="1114" w:type="dxa"/>
            <w:tcBorders/>
            <w:vAlign w:val="center"/>
          </w:tcPr>
          <w:p>
            <w:pPr>
              <w:pStyle w:val="TableHeading"/>
              <w:suppressLineNumbers/>
              <w:bidi w:val="0"/>
              <w:jc w:val="center"/>
              <w:rPr/>
            </w:pPr>
            <w:r>
              <w:rPr/>
              <w:t>HEX</w:t>
            </w:r>
          </w:p>
        </w:tc>
        <w:tc>
          <w:tcPr>
            <w:tcW w:w="6305" w:type="dxa"/>
            <w:tcBorders/>
            <w:vAlign w:val="center"/>
          </w:tcPr>
          <w:p>
            <w:pPr>
              <w:pStyle w:val="TableHeading"/>
              <w:suppressLineNumbers/>
              <w:bidi w:val="0"/>
              <w:jc w:val="center"/>
              <w:rPr/>
            </w:pPr>
            <w:r>
              <w:rPr/>
              <w:t>Použití</w:t>
            </w:r>
          </w:p>
        </w:tc>
      </w:tr>
      <w:tr>
        <w:trPr/>
        <w:tc>
          <w:tcPr>
            <w:tcW w:w="1410" w:type="dxa"/>
            <w:tcBorders/>
            <w:vAlign w:val="center"/>
          </w:tcPr>
          <w:p>
            <w:pPr>
              <w:pStyle w:val="TableContents"/>
              <w:widowControl w:val="false"/>
              <w:suppressLineNumbers/>
              <w:bidi w:val="0"/>
              <w:jc w:val="left"/>
              <w:rPr/>
            </w:pPr>
            <w:r>
              <w:rPr/>
              <w:t>Hlavní tmavá</w:t>
            </w:r>
          </w:p>
        </w:tc>
        <w:tc>
          <w:tcPr>
            <w:tcW w:w="1263" w:type="dxa"/>
            <w:tcBorders/>
            <w:vAlign w:val="center"/>
          </w:tcPr>
          <w:p>
            <w:pPr>
              <w:pStyle w:val="TableContents"/>
              <w:widowControl w:val="false"/>
              <w:suppressLineNumbers/>
              <w:bidi w:val="0"/>
              <w:jc w:val="left"/>
              <w:rPr/>
            </w:pPr>
            <w:r>
              <w:rPr/>
              <w:t>Plum</w:t>
            </w:r>
          </w:p>
        </w:tc>
        <w:tc>
          <w:tcPr>
            <w:tcW w:w="1114" w:type="dxa"/>
            <w:tcBorders/>
            <w:vAlign w:val="center"/>
          </w:tcPr>
          <w:p>
            <w:pPr>
              <w:pStyle w:val="TableContents"/>
              <w:widowControl w:val="false"/>
              <w:suppressLineNumbers/>
              <w:bidi w:val="0"/>
              <w:jc w:val="left"/>
              <w:rPr/>
            </w:pPr>
            <w:r>
              <w:rPr>
                <w:rStyle w:val="SourceText"/>
              </w:rPr>
              <w:t>#4A044E</w:t>
            </w:r>
          </w:p>
        </w:tc>
        <w:tc>
          <w:tcPr>
            <w:tcW w:w="6305" w:type="dxa"/>
            <w:tcBorders/>
            <w:vAlign w:val="center"/>
          </w:tcPr>
          <w:p>
            <w:pPr>
              <w:pStyle w:val="TableContents"/>
              <w:widowControl w:val="false"/>
              <w:suppressLineNumbers/>
              <w:bidi w:val="0"/>
              <w:jc w:val="left"/>
              <w:rPr/>
            </w:pPr>
            <w:r>
              <w:rPr/>
              <w:t>nadpisy, primární tlačítka ve světlém režimu, titulní plochy</w:t>
            </w:r>
          </w:p>
        </w:tc>
      </w:tr>
      <w:tr>
        <w:trPr/>
        <w:tc>
          <w:tcPr>
            <w:tcW w:w="1410" w:type="dxa"/>
            <w:tcBorders/>
            <w:vAlign w:val="center"/>
          </w:tcPr>
          <w:p>
            <w:pPr>
              <w:pStyle w:val="TableContents"/>
              <w:widowControl w:val="false"/>
              <w:suppressLineNumbers/>
              <w:bidi w:val="0"/>
              <w:jc w:val="left"/>
              <w:rPr/>
            </w:pPr>
            <w:r>
              <w:rPr/>
              <w:t>Akcent</w:t>
            </w:r>
          </w:p>
        </w:tc>
        <w:tc>
          <w:tcPr>
            <w:tcW w:w="1263" w:type="dxa"/>
            <w:tcBorders/>
            <w:vAlign w:val="center"/>
          </w:tcPr>
          <w:p>
            <w:pPr>
              <w:pStyle w:val="TableContents"/>
              <w:widowControl w:val="false"/>
              <w:suppressLineNumbers/>
              <w:bidi w:val="0"/>
              <w:jc w:val="left"/>
              <w:rPr/>
            </w:pPr>
            <w:r>
              <w:rPr/>
              <w:t>Magenta</w:t>
            </w:r>
          </w:p>
        </w:tc>
        <w:tc>
          <w:tcPr>
            <w:tcW w:w="1114" w:type="dxa"/>
            <w:tcBorders/>
            <w:vAlign w:val="center"/>
          </w:tcPr>
          <w:p>
            <w:pPr>
              <w:pStyle w:val="TableContents"/>
              <w:widowControl w:val="false"/>
              <w:suppressLineNumbers/>
              <w:bidi w:val="0"/>
              <w:jc w:val="left"/>
              <w:rPr/>
            </w:pPr>
            <w:r>
              <w:rPr>
                <w:rStyle w:val="SourceText"/>
              </w:rPr>
              <w:t>#A01DAF</w:t>
            </w:r>
          </w:p>
        </w:tc>
        <w:tc>
          <w:tcPr>
            <w:tcW w:w="6305" w:type="dxa"/>
            <w:tcBorders/>
            <w:vAlign w:val="center"/>
          </w:tcPr>
          <w:p>
            <w:pPr>
              <w:pStyle w:val="TableContents"/>
              <w:widowControl w:val="false"/>
              <w:suppressLineNumbers/>
              <w:bidi w:val="0"/>
              <w:jc w:val="left"/>
              <w:rPr/>
            </w:pPr>
            <w:r>
              <w:rPr/>
              <w:t>zvýraznění, aktivní stav, grafický akcent; ne dlouhé texty</w:t>
            </w:r>
          </w:p>
        </w:tc>
      </w:tr>
      <w:tr>
        <w:trPr/>
        <w:tc>
          <w:tcPr>
            <w:tcW w:w="1410" w:type="dxa"/>
            <w:tcBorders/>
            <w:vAlign w:val="center"/>
          </w:tcPr>
          <w:p>
            <w:pPr>
              <w:pStyle w:val="TableContents"/>
              <w:widowControl w:val="false"/>
              <w:suppressLineNumbers/>
              <w:bidi w:val="0"/>
              <w:jc w:val="left"/>
              <w:rPr/>
            </w:pPr>
            <w:r>
              <w:rPr/>
              <w:t>Sekundární</w:t>
            </w:r>
          </w:p>
        </w:tc>
        <w:tc>
          <w:tcPr>
            <w:tcW w:w="1263" w:type="dxa"/>
            <w:tcBorders/>
            <w:vAlign w:val="center"/>
          </w:tcPr>
          <w:p>
            <w:pPr>
              <w:pStyle w:val="TableContents"/>
              <w:widowControl w:val="false"/>
              <w:suppressLineNumbers/>
              <w:bidi w:val="0"/>
              <w:jc w:val="left"/>
              <w:rPr/>
            </w:pPr>
            <w:r>
              <w:rPr/>
              <w:t>Blue</w:t>
            </w:r>
          </w:p>
        </w:tc>
        <w:tc>
          <w:tcPr>
            <w:tcW w:w="1114" w:type="dxa"/>
            <w:tcBorders/>
            <w:vAlign w:val="center"/>
          </w:tcPr>
          <w:p>
            <w:pPr>
              <w:pStyle w:val="TableContents"/>
              <w:widowControl w:val="false"/>
              <w:suppressLineNumbers/>
              <w:bidi w:val="0"/>
              <w:jc w:val="left"/>
              <w:rPr/>
            </w:pPr>
            <w:r>
              <w:rPr>
                <w:rStyle w:val="SourceText"/>
              </w:rPr>
              <w:t>#007AA8</w:t>
            </w:r>
          </w:p>
        </w:tc>
        <w:tc>
          <w:tcPr>
            <w:tcW w:w="6305" w:type="dxa"/>
            <w:tcBorders/>
            <w:vAlign w:val="center"/>
          </w:tcPr>
          <w:p>
            <w:pPr>
              <w:pStyle w:val="TableContents"/>
              <w:widowControl w:val="false"/>
              <w:suppressLineNumbers/>
              <w:bidi w:val="0"/>
              <w:jc w:val="left"/>
              <w:rPr/>
            </w:pPr>
            <w:r>
              <w:rPr/>
              <w:t>odkazy, datová nebo navigační odlišnost, sekundární grafický rukopis</w:t>
            </w:r>
          </w:p>
        </w:tc>
      </w:tr>
      <w:tr>
        <w:trPr/>
        <w:tc>
          <w:tcPr>
            <w:tcW w:w="1410" w:type="dxa"/>
            <w:tcBorders/>
            <w:vAlign w:val="center"/>
          </w:tcPr>
          <w:p>
            <w:pPr>
              <w:pStyle w:val="TableContents"/>
              <w:widowControl w:val="false"/>
              <w:suppressLineNumbers/>
              <w:bidi w:val="0"/>
              <w:jc w:val="left"/>
              <w:rPr/>
            </w:pPr>
            <w:r>
              <w:rPr/>
              <w:t>Ink</w:t>
            </w:r>
          </w:p>
        </w:tc>
        <w:tc>
          <w:tcPr>
            <w:tcW w:w="1263" w:type="dxa"/>
            <w:tcBorders/>
            <w:vAlign w:val="center"/>
          </w:tcPr>
          <w:p>
            <w:pPr>
              <w:pStyle w:val="TableContents"/>
              <w:widowControl w:val="false"/>
              <w:suppressLineNumbers/>
              <w:bidi w:val="0"/>
              <w:jc w:val="left"/>
              <w:rPr/>
            </w:pPr>
            <w:r>
              <w:rPr/>
              <w:t>Dark plum</w:t>
            </w:r>
          </w:p>
        </w:tc>
        <w:tc>
          <w:tcPr>
            <w:tcW w:w="1114" w:type="dxa"/>
            <w:tcBorders/>
            <w:vAlign w:val="center"/>
          </w:tcPr>
          <w:p>
            <w:pPr>
              <w:pStyle w:val="TableContents"/>
              <w:widowControl w:val="false"/>
              <w:suppressLineNumbers/>
              <w:bidi w:val="0"/>
              <w:jc w:val="left"/>
              <w:rPr/>
            </w:pPr>
            <w:r>
              <w:rPr>
                <w:rStyle w:val="SourceText"/>
              </w:rPr>
              <w:t>#241528</w:t>
            </w:r>
          </w:p>
        </w:tc>
        <w:tc>
          <w:tcPr>
            <w:tcW w:w="6305" w:type="dxa"/>
            <w:tcBorders/>
            <w:vAlign w:val="center"/>
          </w:tcPr>
          <w:p>
            <w:pPr>
              <w:pStyle w:val="TableContents"/>
              <w:widowControl w:val="false"/>
              <w:suppressLineNumbers/>
              <w:bidi w:val="0"/>
              <w:jc w:val="left"/>
              <w:rPr/>
            </w:pPr>
            <w:r>
              <w:rPr/>
              <w:t>běžný text na světlém podkladu</w:t>
            </w:r>
          </w:p>
        </w:tc>
      </w:tr>
      <w:tr>
        <w:trPr/>
        <w:tc>
          <w:tcPr>
            <w:tcW w:w="1410" w:type="dxa"/>
            <w:tcBorders/>
            <w:vAlign w:val="center"/>
          </w:tcPr>
          <w:p>
            <w:pPr>
              <w:pStyle w:val="TableContents"/>
              <w:widowControl w:val="false"/>
              <w:suppressLineNumbers/>
              <w:bidi w:val="0"/>
              <w:jc w:val="left"/>
              <w:rPr/>
            </w:pPr>
            <w:r>
              <w:rPr/>
              <w:t>Warm canvas</w:t>
            </w:r>
          </w:p>
        </w:tc>
        <w:tc>
          <w:tcPr>
            <w:tcW w:w="1263" w:type="dxa"/>
            <w:tcBorders/>
            <w:vAlign w:val="center"/>
          </w:tcPr>
          <w:p>
            <w:pPr>
              <w:pStyle w:val="TableContents"/>
              <w:widowControl w:val="false"/>
              <w:suppressLineNumbers/>
              <w:bidi w:val="0"/>
              <w:jc w:val="left"/>
              <w:rPr/>
            </w:pPr>
            <w:r>
              <w:rPr/>
              <w:t>Warm white</w:t>
            </w:r>
          </w:p>
        </w:tc>
        <w:tc>
          <w:tcPr>
            <w:tcW w:w="1114" w:type="dxa"/>
            <w:tcBorders/>
            <w:vAlign w:val="center"/>
          </w:tcPr>
          <w:p>
            <w:pPr>
              <w:pStyle w:val="TableContents"/>
              <w:widowControl w:val="false"/>
              <w:suppressLineNumbers/>
              <w:bidi w:val="0"/>
              <w:jc w:val="left"/>
              <w:rPr/>
            </w:pPr>
            <w:r>
              <w:rPr>
                <w:rStyle w:val="SourceText"/>
              </w:rPr>
              <w:t>#FAF7F2</w:t>
            </w:r>
          </w:p>
        </w:tc>
        <w:tc>
          <w:tcPr>
            <w:tcW w:w="6305" w:type="dxa"/>
            <w:tcBorders/>
            <w:vAlign w:val="center"/>
          </w:tcPr>
          <w:p>
            <w:pPr>
              <w:pStyle w:val="TableContents"/>
              <w:widowControl w:val="false"/>
              <w:suppressLineNumbers/>
              <w:bidi w:val="0"/>
              <w:jc w:val="left"/>
              <w:rPr/>
            </w:pPr>
            <w:r>
              <w:rPr/>
              <w:t>hlavní světlý podklad</w:t>
            </w:r>
          </w:p>
        </w:tc>
      </w:tr>
      <w:tr>
        <w:trPr/>
        <w:tc>
          <w:tcPr>
            <w:tcW w:w="1410" w:type="dxa"/>
            <w:tcBorders/>
            <w:vAlign w:val="center"/>
          </w:tcPr>
          <w:p>
            <w:pPr>
              <w:pStyle w:val="TableContents"/>
              <w:widowControl w:val="false"/>
              <w:suppressLineNumbers/>
              <w:bidi w:val="0"/>
              <w:jc w:val="left"/>
              <w:rPr/>
            </w:pPr>
            <w:r>
              <w:rPr/>
              <w:t>Soft panel</w:t>
            </w:r>
          </w:p>
        </w:tc>
        <w:tc>
          <w:tcPr>
            <w:tcW w:w="1263" w:type="dxa"/>
            <w:tcBorders/>
            <w:vAlign w:val="center"/>
          </w:tcPr>
          <w:p>
            <w:pPr>
              <w:pStyle w:val="TableContents"/>
              <w:widowControl w:val="false"/>
              <w:suppressLineNumbers/>
              <w:bidi w:val="0"/>
              <w:jc w:val="left"/>
              <w:rPr/>
            </w:pPr>
            <w:r>
              <w:rPr/>
              <w:t>Warm panel</w:t>
            </w:r>
          </w:p>
        </w:tc>
        <w:tc>
          <w:tcPr>
            <w:tcW w:w="1114" w:type="dxa"/>
            <w:tcBorders/>
            <w:vAlign w:val="center"/>
          </w:tcPr>
          <w:p>
            <w:pPr>
              <w:pStyle w:val="TableContents"/>
              <w:widowControl w:val="false"/>
              <w:suppressLineNumbers/>
              <w:bidi w:val="0"/>
              <w:jc w:val="left"/>
              <w:rPr/>
            </w:pPr>
            <w:r>
              <w:rPr>
                <w:rStyle w:val="SourceText"/>
              </w:rPr>
              <w:t>#F2EDE6</w:t>
            </w:r>
          </w:p>
        </w:tc>
        <w:tc>
          <w:tcPr>
            <w:tcW w:w="6305" w:type="dxa"/>
            <w:tcBorders/>
            <w:vAlign w:val="center"/>
          </w:tcPr>
          <w:p>
            <w:pPr>
              <w:pStyle w:val="TableContents"/>
              <w:widowControl w:val="false"/>
              <w:suppressLineNumbers/>
              <w:bidi w:val="0"/>
              <w:jc w:val="left"/>
              <w:rPr/>
            </w:pPr>
            <w:r>
              <w:rPr/>
              <w:t>karty a oddělené plochy</w:t>
            </w:r>
          </w:p>
        </w:tc>
      </w:tr>
      <w:tr>
        <w:trPr/>
        <w:tc>
          <w:tcPr>
            <w:tcW w:w="1410" w:type="dxa"/>
            <w:tcBorders/>
            <w:vAlign w:val="center"/>
          </w:tcPr>
          <w:p>
            <w:pPr>
              <w:pStyle w:val="TableContents"/>
              <w:widowControl w:val="false"/>
              <w:suppressLineNumbers/>
              <w:bidi w:val="0"/>
              <w:jc w:val="left"/>
              <w:rPr/>
            </w:pPr>
            <w:r>
              <w:rPr/>
              <w:t>Line</w:t>
            </w:r>
          </w:p>
        </w:tc>
        <w:tc>
          <w:tcPr>
            <w:tcW w:w="1263" w:type="dxa"/>
            <w:tcBorders/>
            <w:vAlign w:val="center"/>
          </w:tcPr>
          <w:p>
            <w:pPr>
              <w:pStyle w:val="TableContents"/>
              <w:widowControl w:val="false"/>
              <w:suppressLineNumbers/>
              <w:bidi w:val="0"/>
              <w:jc w:val="left"/>
              <w:rPr/>
            </w:pPr>
            <w:r>
              <w:rPr/>
              <w:t>Warm line</w:t>
            </w:r>
          </w:p>
        </w:tc>
        <w:tc>
          <w:tcPr>
            <w:tcW w:w="1114" w:type="dxa"/>
            <w:tcBorders/>
            <w:vAlign w:val="center"/>
          </w:tcPr>
          <w:p>
            <w:pPr>
              <w:pStyle w:val="TableContents"/>
              <w:widowControl w:val="false"/>
              <w:suppressLineNumbers/>
              <w:bidi w:val="0"/>
              <w:jc w:val="left"/>
              <w:rPr/>
            </w:pPr>
            <w:r>
              <w:rPr>
                <w:rStyle w:val="SourceText"/>
              </w:rPr>
              <w:t>#E5DED6</w:t>
            </w:r>
          </w:p>
        </w:tc>
        <w:tc>
          <w:tcPr>
            <w:tcW w:w="6305" w:type="dxa"/>
            <w:tcBorders/>
            <w:vAlign w:val="center"/>
          </w:tcPr>
          <w:p>
            <w:pPr>
              <w:pStyle w:val="TableContents"/>
              <w:widowControl w:val="false"/>
              <w:suppressLineNumbers/>
              <w:bidi w:val="0"/>
              <w:jc w:val="left"/>
              <w:rPr/>
            </w:pPr>
            <w:r>
              <w:rPr/>
              <w:t>jemné oddělovače</w:t>
            </w:r>
          </w:p>
        </w:tc>
      </w:tr>
      <w:tr>
        <w:trPr/>
        <w:tc>
          <w:tcPr>
            <w:tcW w:w="1410" w:type="dxa"/>
            <w:tcBorders/>
            <w:vAlign w:val="center"/>
          </w:tcPr>
          <w:p>
            <w:pPr>
              <w:pStyle w:val="TableContents"/>
              <w:widowControl w:val="false"/>
              <w:suppressLineNumbers/>
              <w:bidi w:val="0"/>
              <w:jc w:val="left"/>
              <w:rPr/>
            </w:pPr>
            <w:r>
              <w:rPr/>
              <w:t>White</w:t>
            </w:r>
          </w:p>
        </w:tc>
        <w:tc>
          <w:tcPr>
            <w:tcW w:w="1263" w:type="dxa"/>
            <w:tcBorders/>
            <w:vAlign w:val="center"/>
          </w:tcPr>
          <w:p>
            <w:pPr>
              <w:pStyle w:val="TableContents"/>
              <w:widowControl w:val="false"/>
              <w:suppressLineNumbers/>
              <w:bidi w:val="0"/>
              <w:jc w:val="left"/>
              <w:rPr/>
            </w:pPr>
            <w:r>
              <w:rPr/>
              <w:t>White</w:t>
            </w:r>
          </w:p>
        </w:tc>
        <w:tc>
          <w:tcPr>
            <w:tcW w:w="1114" w:type="dxa"/>
            <w:tcBorders/>
            <w:vAlign w:val="center"/>
          </w:tcPr>
          <w:p>
            <w:pPr>
              <w:pStyle w:val="TableContents"/>
              <w:widowControl w:val="false"/>
              <w:suppressLineNumbers/>
              <w:bidi w:val="0"/>
              <w:jc w:val="left"/>
              <w:rPr/>
            </w:pPr>
            <w:r>
              <w:rPr>
                <w:rStyle w:val="SourceText"/>
              </w:rPr>
              <w:t>#FFFFFF</w:t>
            </w:r>
          </w:p>
        </w:tc>
        <w:tc>
          <w:tcPr>
            <w:tcW w:w="6305" w:type="dxa"/>
            <w:tcBorders/>
            <w:vAlign w:val="center"/>
          </w:tcPr>
          <w:p>
            <w:pPr>
              <w:pStyle w:val="TableContents"/>
              <w:widowControl w:val="false"/>
              <w:suppressLineNumbers/>
              <w:bidi w:val="0"/>
              <w:jc w:val="left"/>
              <w:rPr/>
            </w:pPr>
            <w:r>
              <w:rPr/>
              <w:t>text na tmavé ploše, čisté karty</w:t>
            </w:r>
          </w:p>
        </w:tc>
      </w:tr>
    </w:tbl>
    <w:p>
      <w:pPr>
        <w:pStyle w:val="Heading3"/>
        <w:bidi w:val="0"/>
        <w:ind w:hanging="0" w:left="0" w:right="0"/>
        <w:jc w:val="left"/>
        <w:rPr/>
      </w:pPr>
      <w:bookmarkStart w:id="11" w:name="4-2-digitalni-navaznost"/>
      <w:bookmarkEnd w:id="11"/>
      <w:r>
        <w:rPr/>
        <w:t>4.2 Digitální návaznost</w:t>
      </w:r>
    </w:p>
    <w:p>
      <w:pPr>
        <w:pStyle w:val="BodyText"/>
        <w:bidi w:val="0"/>
        <w:jc w:val="left"/>
        <w:rPr/>
      </w:pPr>
      <w:r>
        <w:rPr/>
        <w:t xml:space="preserve">Současný produkt používá interakční rampu ve fialovém odstínu kolem hue 324. Přesné odstíny pro hover, active, disabled a dark mode jsou implementační tokeny, ne nové značkové barvy. Výchozí kotvy zůstávají </w:t>
      </w:r>
      <w:r>
        <w:rPr>
          <w:rStyle w:val="SourceText"/>
        </w:rPr>
        <w:t>#4A044E</w:t>
      </w:r>
      <w:r>
        <w:rPr/>
        <w:t xml:space="preserve">, </w:t>
      </w:r>
      <w:r>
        <w:rPr>
          <w:rStyle w:val="SourceText"/>
        </w:rPr>
        <w:t>#A01DAF</w:t>
      </w:r>
      <w:r>
        <w:rPr/>
        <w:t xml:space="preserve"> a </w:t>
      </w:r>
      <w:r>
        <w:rPr>
          <w:rStyle w:val="SourceText"/>
        </w:rPr>
        <w:t>#007AA8</w:t>
      </w:r>
      <w:r>
        <w:rPr/>
        <w:t>.</w:t>
      </w:r>
    </w:p>
    <w:p>
      <w:pPr>
        <w:pStyle w:val="BodyText"/>
        <w:bidi w:val="0"/>
        <w:jc w:val="left"/>
        <w:rPr/>
      </w:pPr>
      <w:r>
        <w:rPr/>
        <w:t>Dark mode musí zachovat rozpoznatelný odstín, ale upravit světlost pro čitelnost. Není chybou použít světlejší magentu na tmavém podkladu, pokud jde o přístupnou systémovou variantu stejné barvy.</w:t>
      </w:r>
    </w:p>
    <w:p>
      <w:pPr>
        <w:pStyle w:val="Heading3"/>
        <w:bidi w:val="0"/>
        <w:ind w:hanging="0" w:left="0" w:right="0"/>
        <w:jc w:val="left"/>
        <w:rPr/>
      </w:pPr>
      <w:bookmarkStart w:id="12" w:name="4-3-doporucena-realizacni-voditka"/>
      <w:bookmarkEnd w:id="12"/>
      <w:r>
        <w:rPr/>
        <w:t>4.3 Doporučená realizační vodítka</w:t>
      </w:r>
    </w:p>
    <w:p>
      <w:pPr>
        <w:pStyle w:val="BodyText"/>
        <w:bidi w:val="0"/>
        <w:jc w:val="left"/>
        <w:rPr/>
      </w:pPr>
      <w:r>
        <w:rPr/>
        <w:t>Následující poměry byly doplněny v této verzi jako doporučení; nejde o pravidla převzatá z původního PDF.</w:t>
      </w:r>
    </w:p>
    <w:p>
      <w:pPr>
        <w:pStyle w:val="BodyText"/>
        <w:numPr>
          <w:ilvl w:val="0"/>
          <w:numId w:val="7"/>
        </w:numPr>
        <w:tabs>
          <w:tab w:val="clear" w:pos="709"/>
          <w:tab w:val="left" w:pos="709" w:leader="none"/>
        </w:tabs>
        <w:bidi w:val="0"/>
        <w:spacing w:before="0" w:after="0"/>
        <w:ind w:hanging="283" w:left="709"/>
        <w:jc w:val="left"/>
        <w:rPr/>
      </w:pPr>
      <w:r>
        <w:rPr/>
        <w:t xml:space="preserve">70–85 % plochy: neutrální světlý nebo tmavý podklad. </w:t>
      </w:r>
    </w:p>
    <w:p>
      <w:pPr>
        <w:pStyle w:val="BodyText"/>
        <w:numPr>
          <w:ilvl w:val="0"/>
          <w:numId w:val="7"/>
        </w:numPr>
        <w:tabs>
          <w:tab w:val="clear" w:pos="709"/>
          <w:tab w:val="left" w:pos="709" w:leader="none"/>
        </w:tabs>
        <w:bidi w:val="0"/>
        <w:spacing w:before="0" w:after="0"/>
        <w:ind w:hanging="283" w:left="709"/>
        <w:jc w:val="left"/>
        <w:rPr/>
      </w:pPr>
      <w:r>
        <w:rPr/>
        <w:t xml:space="preserve">10–25 %: plum jako nosná barva. </w:t>
      </w:r>
    </w:p>
    <w:p>
      <w:pPr>
        <w:pStyle w:val="BodyText"/>
        <w:numPr>
          <w:ilvl w:val="0"/>
          <w:numId w:val="7"/>
        </w:numPr>
        <w:tabs>
          <w:tab w:val="clear" w:pos="709"/>
          <w:tab w:val="left" w:pos="709" w:leader="none"/>
        </w:tabs>
        <w:bidi w:val="0"/>
        <w:spacing w:before="0" w:after="0"/>
        <w:ind w:hanging="283" w:left="709"/>
        <w:jc w:val="left"/>
        <w:rPr/>
      </w:pPr>
      <w:r>
        <w:rPr/>
        <w:t xml:space="preserve">do 10 %: magenta jako akcent. </w:t>
      </w:r>
    </w:p>
    <w:p>
      <w:pPr>
        <w:pStyle w:val="BodyText"/>
        <w:numPr>
          <w:ilvl w:val="0"/>
          <w:numId w:val="7"/>
        </w:numPr>
        <w:tabs>
          <w:tab w:val="clear" w:pos="709"/>
          <w:tab w:val="left" w:pos="709" w:leader="none"/>
        </w:tabs>
        <w:bidi w:val="0"/>
        <w:ind w:hanging="283" w:left="709"/>
        <w:jc w:val="left"/>
        <w:rPr/>
      </w:pPr>
      <w:r>
        <w:rPr/>
        <w:t xml:space="preserve">blue používat pro odlišnou informační vrstvu, ne současně s magentou jako dvě soupeřící CTA barvy. </w:t>
      </w:r>
    </w:p>
    <w:p>
      <w:pPr>
        <w:pStyle w:val="Heading3"/>
        <w:bidi w:val="0"/>
        <w:ind w:hanging="0" w:left="0" w:right="0"/>
        <w:jc w:val="left"/>
        <w:rPr/>
      </w:pPr>
      <w:bookmarkStart w:id="13" w:name="4-4-pristupnost"/>
      <w:bookmarkEnd w:id="13"/>
      <w:r>
        <w:rPr/>
        <w:t>4.4 Přístupnost</w:t>
      </w:r>
    </w:p>
    <w:p>
      <w:pPr>
        <w:pStyle w:val="BodyText"/>
        <w:numPr>
          <w:ilvl w:val="0"/>
          <w:numId w:val="8"/>
        </w:numPr>
        <w:tabs>
          <w:tab w:val="clear" w:pos="709"/>
          <w:tab w:val="left" w:pos="709" w:leader="none"/>
        </w:tabs>
        <w:bidi w:val="0"/>
        <w:spacing w:before="0" w:after="0"/>
        <w:ind w:hanging="283" w:left="709"/>
        <w:jc w:val="left"/>
        <w:rPr/>
      </w:pPr>
      <w:r>
        <w:rPr/>
        <w:t xml:space="preserve">Publikované materiály musí splnit nejméně WCAG 2.1 AA; AAA uvádět jen u konkrétně změřené kombinace. </w:t>
      </w:r>
    </w:p>
    <w:p>
      <w:pPr>
        <w:pStyle w:val="BodyText"/>
        <w:numPr>
          <w:ilvl w:val="0"/>
          <w:numId w:val="8"/>
        </w:numPr>
        <w:tabs>
          <w:tab w:val="clear" w:pos="709"/>
          <w:tab w:val="left" w:pos="709" w:leader="none"/>
        </w:tabs>
        <w:bidi w:val="0"/>
        <w:spacing w:before="0" w:after="0"/>
        <w:ind w:hanging="283" w:left="709"/>
        <w:jc w:val="left"/>
        <w:rPr/>
      </w:pPr>
      <w:r>
        <w:rPr/>
        <w:t xml:space="preserve">Běžný text: kontrast nejméně 4,5 : 1; velký text, hranice ovládacích prvků a focus indikátor: nejméně 3 : 1. </w:t>
      </w:r>
    </w:p>
    <w:p>
      <w:pPr>
        <w:pStyle w:val="BodyText"/>
        <w:numPr>
          <w:ilvl w:val="0"/>
          <w:numId w:val="8"/>
        </w:numPr>
        <w:tabs>
          <w:tab w:val="clear" w:pos="709"/>
          <w:tab w:val="left" w:pos="709" w:leader="none"/>
        </w:tabs>
        <w:bidi w:val="0"/>
        <w:spacing w:before="0" w:after="0"/>
        <w:ind w:hanging="283" w:left="709"/>
        <w:jc w:val="left"/>
        <w:rPr/>
      </w:pPr>
      <w:r>
        <w:rPr/>
        <w:t xml:space="preserve">Zachovat viditelný focus klávesnice a význam nesdělovat pouze barvou. </w:t>
      </w:r>
    </w:p>
    <w:p>
      <w:pPr>
        <w:pStyle w:val="BodyText"/>
        <w:numPr>
          <w:ilvl w:val="0"/>
          <w:numId w:val="8"/>
        </w:numPr>
        <w:tabs>
          <w:tab w:val="clear" w:pos="709"/>
          <w:tab w:val="left" w:pos="709" w:leader="none"/>
        </w:tabs>
        <w:bidi w:val="0"/>
        <w:spacing w:before="0" w:after="0"/>
        <w:ind w:hanging="283" w:left="709"/>
        <w:jc w:val="left"/>
        <w:rPr/>
      </w:pPr>
      <w:r>
        <w:rPr/>
        <w:t xml:space="preserve">Evidenční screenshoty opatřit popisným alternativním textem; dekorativní prvky nezaměňovat za důkaz. </w:t>
      </w:r>
    </w:p>
    <w:p>
      <w:pPr>
        <w:pStyle w:val="BodyText"/>
        <w:numPr>
          <w:ilvl w:val="0"/>
          <w:numId w:val="8"/>
        </w:numPr>
        <w:tabs>
          <w:tab w:val="clear" w:pos="709"/>
          <w:tab w:val="left" w:pos="709" w:leader="none"/>
        </w:tabs>
        <w:bidi w:val="0"/>
        <w:ind w:hanging="283" w:left="709"/>
        <w:jc w:val="left"/>
        <w:rPr/>
      </w:pPr>
      <w:r>
        <w:rPr/>
        <w:t xml:space="preserve">Respektovat </w:t>
      </w:r>
      <w:r>
        <w:rPr>
          <w:rStyle w:val="SourceText"/>
        </w:rPr>
        <w:t>prefers-reduced-motion</w:t>
      </w:r>
      <w:r>
        <w:rPr/>
        <w:t xml:space="preserve"> a ověřit každou kombinaci light/dark loga s podkladem. </w:t>
      </w:r>
    </w:p>
    <w:p>
      <w:pPr>
        <w:pStyle w:val="Heading2"/>
        <w:bidi w:val="0"/>
        <w:ind w:hanging="0" w:left="0" w:right="0"/>
        <w:jc w:val="left"/>
        <w:rPr/>
      </w:pPr>
      <w:bookmarkStart w:id="14" w:name="5-typografie"/>
      <w:bookmarkEnd w:id="14"/>
      <w:r>
        <w:rPr/>
        <w:t>5. Typografie</w:t>
      </w:r>
    </w:p>
    <w:p>
      <w:pPr>
        <w:pStyle w:val="Heading3"/>
        <w:bidi w:val="0"/>
        <w:ind w:hanging="0" w:left="0" w:right="0"/>
        <w:jc w:val="left"/>
        <w:rPr/>
      </w:pPr>
      <w:bookmarkStart w:id="15" w:name="5-1-primarni-pismo"/>
      <w:bookmarkEnd w:id="15"/>
      <w:r>
        <w:rPr/>
        <w:t>5.1 Primární písmo</w:t>
      </w:r>
    </w:p>
    <w:p>
      <w:pPr>
        <w:pStyle w:val="BodyText"/>
        <w:bidi w:val="0"/>
        <w:jc w:val="left"/>
        <w:rPr/>
      </w:pPr>
      <w:r>
        <w:rPr>
          <w:rStyle w:val="Strong"/>
        </w:rPr>
        <w:t>Geist</w:t>
      </w:r>
      <w:r>
        <w:rPr/>
        <w:t xml:space="preserve"> je základní firemní a produktové písmo. Použití:</w:t>
      </w:r>
    </w:p>
    <w:p>
      <w:pPr>
        <w:pStyle w:val="BodyText"/>
        <w:numPr>
          <w:ilvl w:val="0"/>
          <w:numId w:val="9"/>
        </w:numPr>
        <w:tabs>
          <w:tab w:val="clear" w:pos="709"/>
          <w:tab w:val="left" w:pos="709" w:leader="none"/>
        </w:tabs>
        <w:bidi w:val="0"/>
        <w:spacing w:before="0" w:after="0"/>
        <w:ind w:hanging="283" w:left="709"/>
        <w:jc w:val="left"/>
        <w:rPr/>
      </w:pPr>
      <w:r>
        <w:rPr/>
        <w:t xml:space="preserve">nadpisy: Geist Semibold nebo Black; </w:t>
      </w:r>
    </w:p>
    <w:p>
      <w:pPr>
        <w:pStyle w:val="BodyText"/>
        <w:numPr>
          <w:ilvl w:val="0"/>
          <w:numId w:val="9"/>
        </w:numPr>
        <w:tabs>
          <w:tab w:val="clear" w:pos="709"/>
          <w:tab w:val="left" w:pos="709" w:leader="none"/>
        </w:tabs>
        <w:bidi w:val="0"/>
        <w:spacing w:before="0" w:after="0"/>
        <w:ind w:hanging="283" w:left="709"/>
        <w:jc w:val="left"/>
        <w:rPr/>
      </w:pPr>
      <w:r>
        <w:rPr/>
        <w:t xml:space="preserve">běžný text: Geist Regular; </w:t>
      </w:r>
    </w:p>
    <w:p>
      <w:pPr>
        <w:pStyle w:val="BodyText"/>
        <w:numPr>
          <w:ilvl w:val="0"/>
          <w:numId w:val="9"/>
        </w:numPr>
        <w:tabs>
          <w:tab w:val="clear" w:pos="709"/>
          <w:tab w:val="left" w:pos="709" w:leader="none"/>
        </w:tabs>
        <w:bidi w:val="0"/>
        <w:spacing w:before="0" w:after="0"/>
        <w:ind w:hanging="283" w:left="709"/>
        <w:jc w:val="left"/>
        <w:rPr/>
      </w:pPr>
      <w:r>
        <w:rPr/>
        <w:t xml:space="preserve">popisky a UI: Geist Medium/Semibold; </w:t>
      </w:r>
    </w:p>
    <w:p>
      <w:pPr>
        <w:pStyle w:val="BodyText"/>
        <w:numPr>
          <w:ilvl w:val="0"/>
          <w:numId w:val="9"/>
        </w:numPr>
        <w:tabs>
          <w:tab w:val="clear" w:pos="709"/>
          <w:tab w:val="left" w:pos="709" w:leader="none"/>
        </w:tabs>
        <w:bidi w:val="0"/>
        <w:ind w:hanging="283" w:left="709"/>
        <w:jc w:val="left"/>
        <w:rPr/>
      </w:pPr>
      <w:r>
        <w:rPr/>
        <w:t xml:space="preserve">technické údaje: Geist Mono, pokud je dostupné. </w:t>
      </w:r>
    </w:p>
    <w:p>
      <w:pPr>
        <w:pStyle w:val="BodyText"/>
        <w:bidi w:val="0"/>
        <w:jc w:val="left"/>
        <w:rPr/>
      </w:pPr>
      <w:r>
        <w:rPr>
          <w:rStyle w:val="Strong"/>
        </w:rPr>
        <w:t>Inter</w:t>
      </w:r>
      <w:r>
        <w:rPr/>
        <w:t xml:space="preserve"> je doporučená náhrada pro prostředí, kde Geist není dostupný. Není druhým paralelním firemním písmem.</w:t>
      </w:r>
    </w:p>
    <w:p>
      <w:pPr>
        <w:pStyle w:val="Heading3"/>
        <w:bidi w:val="0"/>
        <w:ind w:hanging="0" w:left="0" w:right="0"/>
        <w:jc w:val="left"/>
        <w:rPr/>
      </w:pPr>
      <w:bookmarkStart w:id="16" w:name="5-2-sazba"/>
      <w:bookmarkEnd w:id="16"/>
      <w:r>
        <w:rPr/>
        <w:t>5.2 Sazba</w:t>
      </w:r>
    </w:p>
    <w:p>
      <w:pPr>
        <w:pStyle w:val="BodyText"/>
        <w:bidi w:val="0"/>
        <w:jc w:val="left"/>
        <w:rPr/>
      </w:pPr>
      <w:r>
        <w:rPr/>
        <w:t>Následující pravidla jsou současná realizační doporučení, nikoli přepis původního Design Manualu.</w:t>
      </w:r>
    </w:p>
    <w:p>
      <w:pPr>
        <w:pStyle w:val="BodyText"/>
        <w:numPr>
          <w:ilvl w:val="0"/>
          <w:numId w:val="10"/>
        </w:numPr>
        <w:tabs>
          <w:tab w:val="clear" w:pos="709"/>
          <w:tab w:val="left" w:pos="709" w:leader="none"/>
        </w:tabs>
        <w:bidi w:val="0"/>
        <w:spacing w:before="0" w:after="0"/>
        <w:ind w:hanging="283" w:left="709"/>
        <w:jc w:val="left"/>
        <w:rPr/>
      </w:pPr>
      <w:r>
        <w:rPr/>
        <w:t xml:space="preserve">Nadpisy krátké, větné, bez verzálek přes celé řádky. </w:t>
      </w:r>
    </w:p>
    <w:p>
      <w:pPr>
        <w:pStyle w:val="BodyText"/>
        <w:numPr>
          <w:ilvl w:val="0"/>
          <w:numId w:val="10"/>
        </w:numPr>
        <w:tabs>
          <w:tab w:val="clear" w:pos="709"/>
          <w:tab w:val="left" w:pos="709" w:leader="none"/>
        </w:tabs>
        <w:bidi w:val="0"/>
        <w:spacing w:before="0" w:after="0"/>
        <w:ind w:hanging="283" w:left="709"/>
        <w:jc w:val="left"/>
        <w:rPr/>
      </w:pPr>
      <w:r>
        <w:rPr/>
        <w:t xml:space="preserve">Běžný text optimálně 55–80 znaků na řádek. </w:t>
      </w:r>
    </w:p>
    <w:p>
      <w:pPr>
        <w:pStyle w:val="BodyText"/>
        <w:numPr>
          <w:ilvl w:val="0"/>
          <w:numId w:val="10"/>
        </w:numPr>
        <w:tabs>
          <w:tab w:val="clear" w:pos="709"/>
          <w:tab w:val="left" w:pos="709" w:leader="none"/>
        </w:tabs>
        <w:bidi w:val="0"/>
        <w:spacing w:before="0" w:after="0"/>
        <w:ind w:hanging="283" w:left="709"/>
        <w:jc w:val="left"/>
        <w:rPr/>
      </w:pPr>
      <w:r>
        <w:rPr/>
        <w:t xml:space="preserve">Delší dokumenty používat jasnou hierarchii H1–H4 a dostatek vertikálního prostoru. </w:t>
      </w:r>
    </w:p>
    <w:p>
      <w:pPr>
        <w:pStyle w:val="BodyText"/>
        <w:numPr>
          <w:ilvl w:val="0"/>
          <w:numId w:val="10"/>
        </w:numPr>
        <w:tabs>
          <w:tab w:val="clear" w:pos="709"/>
          <w:tab w:val="left" w:pos="709" w:leader="none"/>
        </w:tabs>
        <w:bidi w:val="0"/>
        <w:spacing w:before="0" w:after="0"/>
        <w:ind w:hanging="283" w:left="709"/>
        <w:jc w:val="left"/>
        <w:rPr/>
      </w:pPr>
      <w:r>
        <w:rPr/>
        <w:t xml:space="preserve">Kapitálky jen pro drobné orientační štítky; zvýšit proklad. </w:t>
      </w:r>
    </w:p>
    <w:p>
      <w:pPr>
        <w:pStyle w:val="BodyText"/>
        <w:numPr>
          <w:ilvl w:val="0"/>
          <w:numId w:val="10"/>
        </w:numPr>
        <w:tabs>
          <w:tab w:val="clear" w:pos="709"/>
          <w:tab w:val="left" w:pos="709" w:leader="none"/>
        </w:tabs>
        <w:bidi w:val="0"/>
        <w:ind w:hanging="283" w:left="709"/>
        <w:jc w:val="left"/>
        <w:rPr/>
      </w:pPr>
      <w:r>
        <w:rPr/>
        <w:t xml:space="preserve">Nedoplňovat další dekorativní font. </w:t>
      </w:r>
    </w:p>
    <w:p>
      <w:pPr>
        <w:pStyle w:val="Heading2"/>
        <w:bidi w:val="0"/>
        <w:ind w:hanging="0" w:left="0" w:right="0"/>
        <w:jc w:val="left"/>
        <w:rPr/>
      </w:pPr>
      <w:bookmarkStart w:id="17" w:name="6-obrazovy-styl"/>
      <w:bookmarkEnd w:id="17"/>
      <w:r>
        <w:rPr/>
        <w:t>6. Obrazový styl</w:t>
      </w:r>
    </w:p>
    <w:p>
      <w:pPr>
        <w:pStyle w:val="Heading3"/>
        <w:bidi w:val="0"/>
        <w:ind w:hanging="0" w:left="0" w:right="0"/>
        <w:jc w:val="left"/>
        <w:rPr/>
      </w:pPr>
      <w:bookmarkStart w:id="18" w:name="6-1-primarni-obrazovy-dukaz"/>
      <w:bookmarkEnd w:id="18"/>
      <w:r>
        <w:rPr/>
        <w:t>6.1 Primární obrazový důkaz</w:t>
      </w:r>
    </w:p>
    <w:p>
      <w:pPr>
        <w:pStyle w:val="BodyText"/>
        <w:bidi w:val="0"/>
        <w:jc w:val="left"/>
        <w:rPr/>
      </w:pPr>
      <w:r>
        <w:rPr/>
        <w:t xml:space="preserve">Nejsilnější vizuál Coursition je </w:t>
      </w:r>
      <w:r>
        <w:rPr>
          <w:rStyle w:val="Strong"/>
        </w:rPr>
        <w:t>skutečný produktový výstup</w:t>
      </w:r>
      <w:r>
        <w:rPr/>
        <w:t>: zdroj, cíl, aktivita, obsah a náhled. Preferovat:</w:t>
      </w:r>
    </w:p>
    <w:p>
      <w:pPr>
        <w:pStyle w:val="BodyText"/>
        <w:numPr>
          <w:ilvl w:val="0"/>
          <w:numId w:val="11"/>
        </w:numPr>
        <w:tabs>
          <w:tab w:val="clear" w:pos="709"/>
          <w:tab w:val="left" w:pos="709" w:leader="none"/>
        </w:tabs>
        <w:bidi w:val="0"/>
        <w:spacing w:before="0" w:after="0"/>
        <w:ind w:hanging="283" w:left="709"/>
        <w:jc w:val="left"/>
        <w:rPr/>
      </w:pPr>
      <w:r>
        <w:rPr/>
        <w:t xml:space="preserve">čisté produktové screenshoty ve světlém nebo tmavém režimu; </w:t>
      </w:r>
    </w:p>
    <w:p>
      <w:pPr>
        <w:pStyle w:val="BodyText"/>
        <w:numPr>
          <w:ilvl w:val="0"/>
          <w:numId w:val="11"/>
        </w:numPr>
        <w:tabs>
          <w:tab w:val="clear" w:pos="709"/>
          <w:tab w:val="left" w:pos="709" w:leader="none"/>
        </w:tabs>
        <w:bidi w:val="0"/>
        <w:spacing w:before="0" w:after="0"/>
        <w:ind w:hanging="283" w:left="709"/>
        <w:jc w:val="left"/>
        <w:rPr/>
      </w:pPr>
      <w:r>
        <w:rPr/>
        <w:t xml:space="preserve">detail, který přímo dokládá tvrzení vedle něj; </w:t>
      </w:r>
    </w:p>
    <w:p>
      <w:pPr>
        <w:pStyle w:val="BodyText"/>
        <w:numPr>
          <w:ilvl w:val="0"/>
          <w:numId w:val="11"/>
        </w:numPr>
        <w:tabs>
          <w:tab w:val="clear" w:pos="709"/>
          <w:tab w:val="left" w:pos="709" w:leader="none"/>
        </w:tabs>
        <w:bidi w:val="0"/>
        <w:spacing w:before="0" w:after="0"/>
        <w:ind w:hanging="283" w:left="709"/>
        <w:jc w:val="left"/>
        <w:rPr/>
      </w:pPr>
      <w:r>
        <w:rPr/>
        <w:t xml:space="preserve">sestavu „vstup → propojený první návrh → kontrola a oprava autora“; </w:t>
      </w:r>
    </w:p>
    <w:p>
      <w:pPr>
        <w:pStyle w:val="BodyText"/>
        <w:numPr>
          <w:ilvl w:val="0"/>
          <w:numId w:val="11"/>
        </w:numPr>
        <w:tabs>
          <w:tab w:val="clear" w:pos="709"/>
          <w:tab w:val="left" w:pos="709" w:leader="none"/>
        </w:tabs>
        <w:bidi w:val="0"/>
        <w:ind w:hanging="283" w:left="709"/>
        <w:jc w:val="left"/>
        <w:rPr/>
      </w:pPr>
      <w:r>
        <w:rPr/>
        <w:t xml:space="preserve">českou a anglickou variantu jen tam, kde sdělení odpovídá danému trhu. </w:t>
      </w:r>
    </w:p>
    <w:p>
      <w:pPr>
        <w:pStyle w:val="BodyText"/>
        <w:bidi w:val="0"/>
        <w:jc w:val="left"/>
        <w:rPr/>
      </w:pPr>
      <w:r>
        <w:rPr/>
        <w:t>Screenshot nesmí být dekorace bez vysvětlení. Musí být čitelné, co dokládá.</w:t>
      </w:r>
    </w:p>
    <w:p>
      <w:pPr>
        <w:pStyle w:val="Heading3"/>
        <w:bidi w:val="0"/>
        <w:ind w:hanging="0" w:left="0" w:right="0"/>
        <w:jc w:val="left"/>
        <w:rPr/>
      </w:pPr>
      <w:bookmarkStart w:id="19" w:name="6-2-fotografie-a-ilustrace"/>
      <w:bookmarkEnd w:id="19"/>
      <w:r>
        <w:rPr/>
        <w:t>6.2 Fotografie a ilustrace</w:t>
      </w:r>
    </w:p>
    <w:p>
      <w:pPr>
        <w:pStyle w:val="BodyText"/>
        <w:numPr>
          <w:ilvl w:val="0"/>
          <w:numId w:val="12"/>
        </w:numPr>
        <w:tabs>
          <w:tab w:val="clear" w:pos="709"/>
          <w:tab w:val="left" w:pos="709" w:leader="none"/>
        </w:tabs>
        <w:bidi w:val="0"/>
        <w:spacing w:before="0" w:after="0"/>
        <w:ind w:hanging="283" w:left="709"/>
        <w:jc w:val="left"/>
        <w:rPr/>
      </w:pPr>
      <w:r>
        <w:rPr/>
        <w:t xml:space="preserve">Fotografie používat pro lidi, prostředí práce a kontext použití, ne jako náhradu za chybějící produktový důkaz. </w:t>
      </w:r>
    </w:p>
    <w:p>
      <w:pPr>
        <w:pStyle w:val="BodyText"/>
        <w:numPr>
          <w:ilvl w:val="0"/>
          <w:numId w:val="12"/>
        </w:numPr>
        <w:tabs>
          <w:tab w:val="clear" w:pos="709"/>
          <w:tab w:val="left" w:pos="709" w:leader="none"/>
        </w:tabs>
        <w:bidi w:val="0"/>
        <w:spacing w:before="0" w:after="0"/>
        <w:ind w:hanging="283" w:left="709"/>
        <w:jc w:val="left"/>
        <w:rPr/>
      </w:pPr>
      <w:r>
        <w:rPr/>
        <w:t xml:space="preserve">Vyhnout se generickým fotografiím usmívajících se týmů, robotům, hologramům a „AI mozku“. </w:t>
      </w:r>
    </w:p>
    <w:p>
      <w:pPr>
        <w:pStyle w:val="BodyText"/>
        <w:numPr>
          <w:ilvl w:val="0"/>
          <w:numId w:val="12"/>
        </w:numPr>
        <w:tabs>
          <w:tab w:val="clear" w:pos="709"/>
          <w:tab w:val="left" w:pos="709" w:leader="none"/>
        </w:tabs>
        <w:bidi w:val="0"/>
        <w:spacing w:before="0" w:after="0"/>
        <w:ind w:hanging="283" w:left="709"/>
        <w:jc w:val="left"/>
        <w:rPr/>
      </w:pPr>
      <w:r>
        <w:rPr/>
        <w:t xml:space="preserve">Ilustrace mají vysvětlovat tok nebo vztah. Nepřidávat abstraktní technologické ornamenty. </w:t>
      </w:r>
    </w:p>
    <w:p>
      <w:pPr>
        <w:pStyle w:val="BodyText"/>
        <w:numPr>
          <w:ilvl w:val="0"/>
          <w:numId w:val="12"/>
        </w:numPr>
        <w:tabs>
          <w:tab w:val="clear" w:pos="709"/>
          <w:tab w:val="left" w:pos="709" w:leader="none"/>
        </w:tabs>
        <w:bidi w:val="0"/>
        <w:ind w:hanging="283" w:left="709"/>
        <w:jc w:val="left"/>
        <w:rPr/>
      </w:pPr>
      <w:r>
        <w:rPr/>
        <w:t xml:space="preserve">Gradient je součást loga. Mimo logo jej používat střídmě; současná landing page stojí na typografii, reálných obrazovkách a velkých jednobarevných plochách, s jedním omezeným radiálním světelným akcentem v hero sekci. </w:t>
      </w:r>
    </w:p>
    <w:p>
      <w:pPr>
        <w:pStyle w:val="Heading2"/>
        <w:bidi w:val="0"/>
        <w:ind w:hanging="0" w:left="0" w:right="0"/>
        <w:jc w:val="left"/>
        <w:rPr/>
      </w:pPr>
      <w:bookmarkStart w:id="20" w:name="7-layout-a-graficke-prvky"/>
      <w:bookmarkEnd w:id="20"/>
      <w:r>
        <w:rPr/>
        <w:t>7. Layout a grafické prvky</w:t>
      </w:r>
    </w:p>
    <w:p>
      <w:pPr>
        <w:pStyle w:val="BodyText"/>
        <w:numPr>
          <w:ilvl w:val="0"/>
          <w:numId w:val="13"/>
        </w:numPr>
        <w:tabs>
          <w:tab w:val="clear" w:pos="709"/>
          <w:tab w:val="left" w:pos="709" w:leader="none"/>
        </w:tabs>
        <w:bidi w:val="0"/>
        <w:spacing w:before="0" w:after="0"/>
        <w:ind w:hanging="283" w:left="709"/>
        <w:jc w:val="left"/>
        <w:rPr/>
      </w:pPr>
      <w:r>
        <w:rPr/>
        <w:t xml:space="preserve">Velká typografická hierarchie, klidné okraje, omezený počet karet. </w:t>
      </w:r>
    </w:p>
    <w:p>
      <w:pPr>
        <w:pStyle w:val="BodyText"/>
        <w:numPr>
          <w:ilvl w:val="0"/>
          <w:numId w:val="13"/>
        </w:numPr>
        <w:tabs>
          <w:tab w:val="clear" w:pos="709"/>
          <w:tab w:val="left" w:pos="709" w:leader="none"/>
        </w:tabs>
        <w:bidi w:val="0"/>
        <w:spacing w:before="0" w:after="0"/>
        <w:ind w:hanging="283" w:left="709"/>
        <w:jc w:val="left"/>
        <w:rPr/>
      </w:pPr>
      <w:r>
        <w:rPr/>
        <w:t xml:space="preserve">Jeden hlavní argument na sekci nebo stránku. </w:t>
      </w:r>
    </w:p>
    <w:p>
      <w:pPr>
        <w:pStyle w:val="BodyText"/>
        <w:numPr>
          <w:ilvl w:val="0"/>
          <w:numId w:val="13"/>
        </w:numPr>
        <w:tabs>
          <w:tab w:val="clear" w:pos="709"/>
          <w:tab w:val="left" w:pos="709" w:leader="none"/>
        </w:tabs>
        <w:bidi w:val="0"/>
        <w:spacing w:before="0" w:after="0"/>
        <w:ind w:hanging="283" w:left="709"/>
        <w:jc w:val="left"/>
        <w:rPr/>
      </w:pPr>
      <w:r>
        <w:rPr/>
        <w:t xml:space="preserve">Jemné linky oddělují obsah; těžké rámečky jen pro prvky, které skutečně tvoří kontejner. </w:t>
      </w:r>
    </w:p>
    <w:p>
      <w:pPr>
        <w:pStyle w:val="BodyText"/>
        <w:numPr>
          <w:ilvl w:val="0"/>
          <w:numId w:val="13"/>
        </w:numPr>
        <w:tabs>
          <w:tab w:val="clear" w:pos="709"/>
          <w:tab w:val="left" w:pos="709" w:leader="none"/>
        </w:tabs>
        <w:bidi w:val="0"/>
        <w:spacing w:before="0" w:after="0"/>
        <w:ind w:hanging="283" w:left="709"/>
        <w:jc w:val="left"/>
        <w:rPr/>
      </w:pPr>
      <w:r>
        <w:rPr/>
        <w:t xml:space="preserve">Zaoblení používat konzistentně a střídmě. </w:t>
      </w:r>
    </w:p>
    <w:p>
      <w:pPr>
        <w:pStyle w:val="BodyText"/>
        <w:numPr>
          <w:ilvl w:val="0"/>
          <w:numId w:val="13"/>
        </w:numPr>
        <w:tabs>
          <w:tab w:val="clear" w:pos="709"/>
          <w:tab w:val="left" w:pos="709" w:leader="none"/>
        </w:tabs>
        <w:bidi w:val="0"/>
        <w:spacing w:before="0" w:after="0"/>
        <w:ind w:hanging="283" w:left="709"/>
        <w:jc w:val="left"/>
        <w:rPr/>
      </w:pPr>
      <w:r>
        <w:rPr/>
        <w:t xml:space="preserve">CTA musí být vizuálně jednoznačné: jedna primární akce, nejvýše jedna sekundární. </w:t>
      </w:r>
    </w:p>
    <w:p>
      <w:pPr>
        <w:pStyle w:val="BodyText"/>
        <w:numPr>
          <w:ilvl w:val="0"/>
          <w:numId w:val="13"/>
        </w:numPr>
        <w:tabs>
          <w:tab w:val="clear" w:pos="709"/>
          <w:tab w:val="left" w:pos="709" w:leader="none"/>
        </w:tabs>
        <w:bidi w:val="0"/>
        <w:ind w:hanging="283" w:left="709"/>
        <w:jc w:val="left"/>
        <w:rPr/>
      </w:pPr>
      <w:r>
        <w:rPr/>
        <w:t xml:space="preserve">Ikony mají významovou funkci a společnou tloušťku tahu. </w:t>
      </w:r>
    </w:p>
    <w:p>
      <w:pPr>
        <w:pStyle w:val="Heading2"/>
        <w:bidi w:val="0"/>
        <w:ind w:hanging="0" w:left="0" w:right="0"/>
        <w:jc w:val="left"/>
        <w:rPr/>
      </w:pPr>
      <w:bookmarkStart w:id="21" w:name="8-navaznost-na-landing-page"/>
      <w:bookmarkEnd w:id="21"/>
      <w:r>
        <w:rPr/>
        <w:t>8. Návaznost na landing page</w:t>
      </w:r>
    </w:p>
    <w:p>
      <w:pPr>
        <w:pStyle w:val="BodyText"/>
        <w:bidi w:val="0"/>
        <w:jc w:val="left"/>
        <w:rPr/>
      </w:pPr>
      <w:r>
        <w:rPr/>
        <w:t>Současná implementace landing page viditelně používá:</w:t>
      </w:r>
    </w:p>
    <w:p>
      <w:pPr>
        <w:pStyle w:val="BodyText"/>
        <w:numPr>
          <w:ilvl w:val="0"/>
          <w:numId w:val="14"/>
        </w:numPr>
        <w:tabs>
          <w:tab w:val="clear" w:pos="709"/>
          <w:tab w:val="left" w:pos="709" w:leader="none"/>
        </w:tabs>
        <w:bidi w:val="0"/>
        <w:spacing w:before="0" w:after="0"/>
        <w:ind w:hanging="283" w:left="709"/>
        <w:jc w:val="left"/>
        <w:rPr/>
      </w:pPr>
      <w:r>
        <w:rPr/>
        <w:t xml:space="preserve">plum, magentu a neutrální plochy; blue je rezervovaný sekundární CSS token bez viditelné role v aktuální kompozici; </w:t>
      </w:r>
    </w:p>
    <w:p>
      <w:pPr>
        <w:pStyle w:val="BodyText"/>
        <w:numPr>
          <w:ilvl w:val="0"/>
          <w:numId w:val="14"/>
        </w:numPr>
        <w:tabs>
          <w:tab w:val="clear" w:pos="709"/>
          <w:tab w:val="left" w:pos="709" w:leader="none"/>
        </w:tabs>
        <w:bidi w:val="0"/>
        <w:spacing w:before="0" w:after="0"/>
        <w:ind w:hanging="283" w:left="709"/>
        <w:jc w:val="left"/>
        <w:rPr/>
      </w:pPr>
      <w:r>
        <w:rPr/>
        <w:t xml:space="preserve">Geist/Inter; </w:t>
      </w:r>
    </w:p>
    <w:p>
      <w:pPr>
        <w:pStyle w:val="BodyText"/>
        <w:numPr>
          <w:ilvl w:val="0"/>
          <w:numId w:val="14"/>
        </w:numPr>
        <w:tabs>
          <w:tab w:val="clear" w:pos="709"/>
          <w:tab w:val="left" w:pos="709" w:leader="none"/>
        </w:tabs>
        <w:bidi w:val="0"/>
        <w:spacing w:before="0" w:after="0"/>
        <w:ind w:hanging="283" w:left="709"/>
        <w:jc w:val="left"/>
        <w:rPr/>
      </w:pPr>
      <w:r>
        <w:rPr/>
        <w:t xml:space="preserve">výrazný typografický úvod; </w:t>
      </w:r>
    </w:p>
    <w:p>
      <w:pPr>
        <w:pStyle w:val="BodyText"/>
        <w:numPr>
          <w:ilvl w:val="0"/>
          <w:numId w:val="14"/>
        </w:numPr>
        <w:tabs>
          <w:tab w:val="clear" w:pos="709"/>
          <w:tab w:val="left" w:pos="709" w:leader="none"/>
        </w:tabs>
        <w:bidi w:val="0"/>
        <w:spacing w:before="0" w:after="0"/>
        <w:ind w:hanging="283" w:left="709"/>
        <w:jc w:val="left"/>
        <w:rPr/>
      </w:pPr>
      <w:r>
        <w:rPr/>
        <w:t xml:space="preserve">produktové obrazovky místo generických ilustrací; </w:t>
      </w:r>
    </w:p>
    <w:p>
      <w:pPr>
        <w:pStyle w:val="BodyText"/>
        <w:numPr>
          <w:ilvl w:val="0"/>
          <w:numId w:val="14"/>
        </w:numPr>
        <w:tabs>
          <w:tab w:val="clear" w:pos="709"/>
          <w:tab w:val="left" w:pos="709" w:leader="none"/>
        </w:tabs>
        <w:bidi w:val="0"/>
        <w:spacing w:before="0" w:after="0"/>
        <w:ind w:hanging="283" w:left="709"/>
        <w:jc w:val="left"/>
        <w:rPr/>
      </w:pPr>
      <w:r>
        <w:rPr/>
        <w:t xml:space="preserve">světlý a tmavý režim; </w:t>
      </w:r>
    </w:p>
    <w:p>
      <w:pPr>
        <w:pStyle w:val="BodyText"/>
        <w:numPr>
          <w:ilvl w:val="0"/>
          <w:numId w:val="14"/>
        </w:numPr>
        <w:tabs>
          <w:tab w:val="clear" w:pos="709"/>
          <w:tab w:val="left" w:pos="709" w:leader="none"/>
        </w:tabs>
        <w:bidi w:val="0"/>
        <w:spacing w:before="0" w:after="0"/>
        <w:ind w:hanging="283" w:left="709"/>
        <w:jc w:val="left"/>
        <w:rPr/>
      </w:pPr>
      <w:r>
        <w:rPr/>
        <w:t xml:space="preserve">závěrečnou plnou plum plochu; </w:t>
      </w:r>
    </w:p>
    <w:p>
      <w:pPr>
        <w:pStyle w:val="BodyText"/>
        <w:numPr>
          <w:ilvl w:val="0"/>
          <w:numId w:val="14"/>
        </w:numPr>
        <w:tabs>
          <w:tab w:val="clear" w:pos="709"/>
          <w:tab w:val="left" w:pos="709" w:leader="none"/>
        </w:tabs>
        <w:bidi w:val="0"/>
        <w:ind w:hanging="283" w:left="709"/>
        <w:jc w:val="left"/>
        <w:rPr/>
      </w:pPr>
      <w:r>
        <w:rPr/>
        <w:t xml:space="preserve">sdělení o práci z existujících podkladů a kontrole autora. </w:t>
      </w:r>
    </w:p>
    <w:p>
      <w:pPr>
        <w:pStyle w:val="BodyText"/>
        <w:bidi w:val="0"/>
        <w:jc w:val="left"/>
        <w:rPr/>
      </w:pPr>
      <w:r>
        <w:rPr/>
        <w:t>Tento směr je v souladu s manuálem. Při další iteraci zachovat systém, ale konkrétní webovou copy a layout měnit pouze v rámci samostatné produktové/landing-page práce. Tento balíček zdrojový kód neupravuje.</w:t>
      </w:r>
    </w:p>
    <w:p>
      <w:pPr>
        <w:pStyle w:val="BodyText"/>
        <w:bidi w:val="0"/>
        <w:jc w:val="left"/>
        <w:rPr/>
      </w:pPr>
      <w:r>
        <w:rPr>
          <w:rStyle w:val="Strong"/>
        </w:rPr>
        <w:t>Poznámka k evidenci:</w:t>
      </w:r>
      <w:r>
        <w:rPr/>
        <w:t xml:space="preserve"> archivní screenshoty redesignu zachycují starší copy „Přestaňte skládat kurz ručně. Začněte návrhem.“ Aktuální lokalizační zdroj používá „Nejtěžší na kurzu je prázdná stránka. Vy začínáte až za ní.“ Při rozporu je autoritativní současný zdroj a reprodukovatelný build.</w:t>
      </w:r>
    </w:p>
    <w:p>
      <w:pPr>
        <w:pStyle w:val="Heading2"/>
        <w:bidi w:val="0"/>
        <w:ind w:hanging="0" w:left="0" w:right="0"/>
        <w:jc w:val="left"/>
        <w:rPr/>
      </w:pPr>
      <w:bookmarkStart w:id="22" w:name="9-navaznost-na-aplikaci"/>
      <w:bookmarkEnd w:id="22"/>
      <w:r>
        <w:rPr/>
        <w:t>9. Návaznost na aplikaci</w:t>
      </w:r>
    </w:p>
    <w:p>
      <w:pPr>
        <w:pStyle w:val="BodyText"/>
        <w:bidi w:val="0"/>
        <w:jc w:val="left"/>
        <w:rPr/>
      </w:pPr>
      <w:r>
        <w:rPr/>
        <w:t>Aplikace má navazovat stejnými principy, ne nutně stejným marketingovým layoutem:</w:t>
      </w:r>
    </w:p>
    <w:p>
      <w:pPr>
        <w:pStyle w:val="BodyText"/>
        <w:numPr>
          <w:ilvl w:val="0"/>
          <w:numId w:val="15"/>
        </w:numPr>
        <w:tabs>
          <w:tab w:val="clear" w:pos="709"/>
          <w:tab w:val="left" w:pos="709" w:leader="none"/>
        </w:tabs>
        <w:bidi w:val="0"/>
        <w:spacing w:before="0" w:after="0"/>
        <w:ind w:hanging="283" w:left="709"/>
        <w:jc w:val="left"/>
        <w:rPr/>
      </w:pPr>
      <w:r>
        <w:rPr/>
        <w:t xml:space="preserve">stejné písmo a barevná rodina; </w:t>
      </w:r>
    </w:p>
    <w:p>
      <w:pPr>
        <w:pStyle w:val="BodyText"/>
        <w:numPr>
          <w:ilvl w:val="0"/>
          <w:numId w:val="15"/>
        </w:numPr>
        <w:tabs>
          <w:tab w:val="clear" w:pos="709"/>
          <w:tab w:val="left" w:pos="709" w:leader="none"/>
        </w:tabs>
        <w:bidi w:val="0"/>
        <w:spacing w:before="0" w:after="0"/>
        <w:ind w:hanging="283" w:left="709"/>
        <w:jc w:val="left"/>
        <w:rPr/>
      </w:pPr>
      <w:r>
        <w:rPr/>
        <w:t xml:space="preserve">stejné významy primární a sekundární akce; </w:t>
      </w:r>
    </w:p>
    <w:p>
      <w:pPr>
        <w:pStyle w:val="BodyText"/>
        <w:numPr>
          <w:ilvl w:val="0"/>
          <w:numId w:val="15"/>
        </w:numPr>
        <w:tabs>
          <w:tab w:val="clear" w:pos="709"/>
          <w:tab w:val="left" w:pos="709" w:leader="none"/>
        </w:tabs>
        <w:bidi w:val="0"/>
        <w:spacing w:before="0" w:after="0"/>
        <w:ind w:hanging="283" w:left="709"/>
        <w:jc w:val="left"/>
        <w:rPr/>
      </w:pPr>
      <w:r>
        <w:rPr/>
        <w:t xml:space="preserve">klidné plochy, čitelné stavy a zřetelná editovatelnost; </w:t>
      </w:r>
    </w:p>
    <w:p>
      <w:pPr>
        <w:pStyle w:val="BodyText"/>
        <w:numPr>
          <w:ilvl w:val="0"/>
          <w:numId w:val="15"/>
        </w:numPr>
        <w:tabs>
          <w:tab w:val="clear" w:pos="709"/>
          <w:tab w:val="left" w:pos="709" w:leader="none"/>
        </w:tabs>
        <w:bidi w:val="0"/>
        <w:spacing w:before="0" w:after="0"/>
        <w:ind w:hanging="283" w:left="709"/>
        <w:jc w:val="left"/>
        <w:rPr/>
      </w:pPr>
      <w:r>
        <w:rPr/>
        <w:t xml:space="preserve">skutečná data a stav procesu mají přednost před dekorací; </w:t>
      </w:r>
    </w:p>
    <w:p>
      <w:pPr>
        <w:pStyle w:val="BodyText"/>
        <w:numPr>
          <w:ilvl w:val="0"/>
          <w:numId w:val="15"/>
        </w:numPr>
        <w:tabs>
          <w:tab w:val="clear" w:pos="709"/>
          <w:tab w:val="left" w:pos="709" w:leader="none"/>
        </w:tabs>
        <w:bidi w:val="0"/>
        <w:ind w:hanging="283" w:left="709"/>
        <w:jc w:val="left"/>
        <w:rPr/>
      </w:pPr>
      <w:r>
        <w:rPr/>
        <w:t xml:space="preserve">upozornění na nejistotu nebo nutnost kontroly nesmí být skryté jen barvou. </w:t>
      </w:r>
    </w:p>
    <w:p>
      <w:pPr>
        <w:pStyle w:val="BodyText"/>
        <w:bidi w:val="0"/>
        <w:jc w:val="left"/>
        <w:rPr/>
      </w:pPr>
      <w:r>
        <w:rPr/>
        <w:t>Marketingová stránka může být výraznější. Produktové workflow musí zůstat soustředěné na úkol.</w:t>
      </w:r>
    </w:p>
    <w:p>
      <w:pPr>
        <w:pStyle w:val="Heading2"/>
        <w:bidi w:val="0"/>
        <w:ind w:hanging="0" w:left="0" w:right="0"/>
        <w:jc w:val="left"/>
        <w:rPr/>
      </w:pPr>
      <w:bookmarkStart w:id="23" w:name="10-spravne-a-chybne-pouziti"/>
      <w:bookmarkEnd w:id="23"/>
      <w:r>
        <w:rPr/>
        <w:t>10. Správné a chybné použití</w:t>
      </w:r>
    </w:p>
    <w:tbl>
      <w:tblPr>
        <w:tblW w:w="10092" w:type="dxa"/>
        <w:jc w:val="left"/>
        <w:tblInd w:w="28" w:type="dxa"/>
        <w:tblLayout w:type="fixed"/>
        <w:tblCellMar>
          <w:top w:w="28" w:type="dxa"/>
          <w:left w:w="28" w:type="dxa"/>
          <w:bottom w:w="28" w:type="dxa"/>
          <w:right w:w="28" w:type="dxa"/>
        </w:tblCellMar>
      </w:tblPr>
      <w:tblGrid>
        <w:gridCol w:w="1608"/>
        <w:gridCol w:w="3728"/>
        <w:gridCol w:w="4756"/>
      </w:tblGrid>
      <w:tr>
        <w:trPr>
          <w:tblHeader w:val="true"/>
        </w:trPr>
        <w:tc>
          <w:tcPr>
            <w:tcW w:w="1608" w:type="dxa"/>
            <w:tcBorders/>
            <w:vAlign w:val="center"/>
          </w:tcPr>
          <w:p>
            <w:pPr>
              <w:pStyle w:val="TableHeading"/>
              <w:suppressLineNumbers/>
              <w:bidi w:val="0"/>
              <w:jc w:val="center"/>
              <w:rPr/>
            </w:pPr>
            <w:r>
              <w:rPr/>
              <w:t>Situace</w:t>
            </w:r>
          </w:p>
        </w:tc>
        <w:tc>
          <w:tcPr>
            <w:tcW w:w="3728" w:type="dxa"/>
            <w:tcBorders/>
            <w:vAlign w:val="center"/>
          </w:tcPr>
          <w:p>
            <w:pPr>
              <w:pStyle w:val="TableHeading"/>
              <w:suppressLineNumbers/>
              <w:bidi w:val="0"/>
              <w:jc w:val="center"/>
              <w:rPr/>
            </w:pPr>
            <w:r>
              <w:rPr/>
              <w:t>Správně</w:t>
            </w:r>
          </w:p>
        </w:tc>
        <w:tc>
          <w:tcPr>
            <w:tcW w:w="4756" w:type="dxa"/>
            <w:tcBorders/>
            <w:vAlign w:val="center"/>
          </w:tcPr>
          <w:p>
            <w:pPr>
              <w:pStyle w:val="TableHeading"/>
              <w:suppressLineNumbers/>
              <w:bidi w:val="0"/>
              <w:jc w:val="center"/>
              <w:rPr/>
            </w:pPr>
            <w:r>
              <w:rPr/>
              <w:t>Chybně</w:t>
            </w:r>
          </w:p>
        </w:tc>
      </w:tr>
      <w:tr>
        <w:trPr/>
        <w:tc>
          <w:tcPr>
            <w:tcW w:w="1608" w:type="dxa"/>
            <w:tcBorders/>
            <w:vAlign w:val="center"/>
          </w:tcPr>
          <w:p>
            <w:pPr>
              <w:pStyle w:val="TableContents"/>
              <w:widowControl w:val="false"/>
              <w:suppressLineNumbers/>
              <w:bidi w:val="0"/>
              <w:jc w:val="left"/>
              <w:rPr/>
            </w:pPr>
            <w:r>
              <w:rPr/>
              <w:t>Hero webu</w:t>
            </w:r>
          </w:p>
        </w:tc>
        <w:tc>
          <w:tcPr>
            <w:tcW w:w="3728" w:type="dxa"/>
            <w:tcBorders/>
            <w:vAlign w:val="center"/>
          </w:tcPr>
          <w:p>
            <w:pPr>
              <w:pStyle w:val="TableContents"/>
              <w:widowControl w:val="false"/>
              <w:suppressLineNumbers/>
              <w:bidi w:val="0"/>
              <w:jc w:val="left"/>
              <w:rPr/>
            </w:pPr>
            <w:r>
              <w:rPr/>
              <w:t>Jeden konkrétní problém, reálný screenshot, jedna hlavní CTA</w:t>
            </w:r>
          </w:p>
        </w:tc>
        <w:tc>
          <w:tcPr>
            <w:tcW w:w="4756" w:type="dxa"/>
            <w:tcBorders/>
            <w:vAlign w:val="center"/>
          </w:tcPr>
          <w:p>
            <w:pPr>
              <w:pStyle w:val="TableContents"/>
              <w:widowControl w:val="false"/>
              <w:suppressLineNumbers/>
              <w:bidi w:val="0"/>
              <w:jc w:val="left"/>
              <w:rPr/>
            </w:pPr>
            <w:r>
              <w:rPr/>
              <w:t>Tři rovnocenné CTA, abstraktní AI ilustrace, seznam funkcí bez hierarchie</w:t>
            </w:r>
          </w:p>
        </w:tc>
      </w:tr>
      <w:tr>
        <w:trPr/>
        <w:tc>
          <w:tcPr>
            <w:tcW w:w="1608" w:type="dxa"/>
            <w:tcBorders/>
            <w:vAlign w:val="center"/>
          </w:tcPr>
          <w:p>
            <w:pPr>
              <w:pStyle w:val="TableContents"/>
              <w:widowControl w:val="false"/>
              <w:suppressLineNumbers/>
              <w:bidi w:val="0"/>
              <w:jc w:val="left"/>
              <w:rPr/>
            </w:pPr>
            <w:r>
              <w:rPr/>
              <w:t>Produktová ukázka</w:t>
            </w:r>
          </w:p>
        </w:tc>
        <w:tc>
          <w:tcPr>
            <w:tcW w:w="3728" w:type="dxa"/>
            <w:tcBorders/>
            <w:vAlign w:val="center"/>
          </w:tcPr>
          <w:p>
            <w:pPr>
              <w:pStyle w:val="TableContents"/>
              <w:widowControl w:val="false"/>
              <w:suppressLineNumbers/>
              <w:bidi w:val="0"/>
              <w:jc w:val="left"/>
              <w:rPr/>
            </w:pPr>
            <w:r>
              <w:rPr/>
              <w:t>Detail cíle vedle tvrzení o cílech</w:t>
            </w:r>
          </w:p>
        </w:tc>
        <w:tc>
          <w:tcPr>
            <w:tcW w:w="4756" w:type="dxa"/>
            <w:tcBorders/>
            <w:vAlign w:val="center"/>
          </w:tcPr>
          <w:p>
            <w:pPr>
              <w:pStyle w:val="TableContents"/>
              <w:widowControl w:val="false"/>
              <w:suppressLineNumbers/>
              <w:bidi w:val="0"/>
              <w:jc w:val="left"/>
              <w:rPr/>
            </w:pPr>
            <w:r>
              <w:rPr/>
              <w:t>Náhodný dashboard vedle tvrzení o automatizaci</w:t>
            </w:r>
          </w:p>
        </w:tc>
      </w:tr>
      <w:tr>
        <w:trPr/>
        <w:tc>
          <w:tcPr>
            <w:tcW w:w="1608" w:type="dxa"/>
            <w:tcBorders/>
            <w:vAlign w:val="center"/>
          </w:tcPr>
          <w:p>
            <w:pPr>
              <w:pStyle w:val="TableContents"/>
              <w:widowControl w:val="false"/>
              <w:suppressLineNumbers/>
              <w:bidi w:val="0"/>
              <w:jc w:val="left"/>
              <w:rPr/>
            </w:pPr>
            <w:r>
              <w:rPr/>
              <w:t>Logo</w:t>
            </w:r>
          </w:p>
        </w:tc>
        <w:tc>
          <w:tcPr>
            <w:tcW w:w="3728" w:type="dxa"/>
            <w:tcBorders/>
            <w:vAlign w:val="center"/>
          </w:tcPr>
          <w:p>
            <w:pPr>
              <w:pStyle w:val="TableContents"/>
              <w:widowControl w:val="false"/>
              <w:suppressLineNumbers/>
              <w:bidi w:val="0"/>
              <w:jc w:val="left"/>
              <w:rPr/>
            </w:pPr>
            <w:r>
              <w:rPr/>
              <w:t>Zdrojová varianta s ochrannou zónou</w:t>
            </w:r>
          </w:p>
        </w:tc>
        <w:tc>
          <w:tcPr>
            <w:tcW w:w="4756" w:type="dxa"/>
            <w:tcBorders/>
            <w:vAlign w:val="center"/>
          </w:tcPr>
          <w:p>
            <w:pPr>
              <w:pStyle w:val="TableContents"/>
              <w:widowControl w:val="false"/>
              <w:suppressLineNumbers/>
              <w:bidi w:val="0"/>
              <w:jc w:val="left"/>
              <w:rPr/>
            </w:pPr>
            <w:r>
              <w:rPr/>
              <w:t>Překreslený symbol, změněný gradient, stín</w:t>
            </w:r>
          </w:p>
        </w:tc>
      </w:tr>
      <w:tr>
        <w:trPr/>
        <w:tc>
          <w:tcPr>
            <w:tcW w:w="1608" w:type="dxa"/>
            <w:tcBorders/>
            <w:vAlign w:val="center"/>
          </w:tcPr>
          <w:p>
            <w:pPr>
              <w:pStyle w:val="TableContents"/>
              <w:widowControl w:val="false"/>
              <w:suppressLineNumbers/>
              <w:bidi w:val="0"/>
              <w:jc w:val="left"/>
              <w:rPr/>
            </w:pPr>
            <w:r>
              <w:rPr/>
              <w:t>Barvy</w:t>
            </w:r>
          </w:p>
        </w:tc>
        <w:tc>
          <w:tcPr>
            <w:tcW w:w="3728" w:type="dxa"/>
            <w:tcBorders/>
            <w:vAlign w:val="center"/>
          </w:tcPr>
          <w:p>
            <w:pPr>
              <w:pStyle w:val="TableContents"/>
              <w:widowControl w:val="false"/>
              <w:suppressLineNumbers/>
              <w:bidi w:val="0"/>
              <w:jc w:val="left"/>
              <w:rPr/>
            </w:pPr>
            <w:r>
              <w:rPr/>
              <w:t>Plum jako nosná, magenta jako akcent</w:t>
            </w:r>
          </w:p>
        </w:tc>
        <w:tc>
          <w:tcPr>
            <w:tcW w:w="4756" w:type="dxa"/>
            <w:tcBorders/>
            <w:vAlign w:val="center"/>
          </w:tcPr>
          <w:p>
            <w:pPr>
              <w:pStyle w:val="TableContents"/>
              <w:widowControl w:val="false"/>
              <w:suppressLineNumbers/>
              <w:bidi w:val="0"/>
              <w:jc w:val="left"/>
              <w:rPr/>
            </w:pPr>
            <w:r>
              <w:rPr/>
              <w:t>Magenta na velké ploše s dlouhým textem bez kontroly kontrastu</w:t>
            </w:r>
          </w:p>
        </w:tc>
      </w:tr>
      <w:tr>
        <w:trPr/>
        <w:tc>
          <w:tcPr>
            <w:tcW w:w="1608" w:type="dxa"/>
            <w:tcBorders/>
            <w:vAlign w:val="center"/>
          </w:tcPr>
          <w:p>
            <w:pPr>
              <w:pStyle w:val="TableContents"/>
              <w:widowControl w:val="false"/>
              <w:suppressLineNumbers/>
              <w:bidi w:val="0"/>
              <w:jc w:val="left"/>
              <w:rPr/>
            </w:pPr>
            <w:r>
              <w:rPr/>
              <w:t>Copy</w:t>
            </w:r>
          </w:p>
        </w:tc>
        <w:tc>
          <w:tcPr>
            <w:tcW w:w="3728" w:type="dxa"/>
            <w:tcBorders/>
            <w:vAlign w:val="center"/>
          </w:tcPr>
          <w:p>
            <w:pPr>
              <w:pStyle w:val="TableContents"/>
              <w:widowControl w:val="false"/>
              <w:suppressLineNumbers/>
              <w:bidi w:val="0"/>
              <w:jc w:val="left"/>
              <w:rPr/>
            </w:pPr>
            <w:r>
              <w:rPr/>
              <w:t>„</w:t>
            </w:r>
            <w:r>
              <w:rPr/>
              <w:t>Nahrajete soubor. Otevře se rozepsaný kurz.“</w:t>
            </w:r>
          </w:p>
        </w:tc>
        <w:tc>
          <w:tcPr>
            <w:tcW w:w="4756" w:type="dxa"/>
            <w:tcBorders/>
            <w:vAlign w:val="center"/>
          </w:tcPr>
          <w:p>
            <w:pPr>
              <w:pStyle w:val="TableContents"/>
              <w:widowControl w:val="false"/>
              <w:suppressLineNumbers/>
              <w:bidi w:val="0"/>
              <w:jc w:val="left"/>
              <w:rPr/>
            </w:pPr>
            <w:r>
              <w:rPr/>
              <w:t>„</w:t>
            </w:r>
            <w:r>
              <w:rPr/>
              <w:t>Revoluční AI transformuje vzdělávání jedním kliknutím.“</w:t>
            </w:r>
          </w:p>
        </w:tc>
      </w:tr>
      <w:tr>
        <w:trPr/>
        <w:tc>
          <w:tcPr>
            <w:tcW w:w="1608" w:type="dxa"/>
            <w:tcBorders/>
            <w:vAlign w:val="center"/>
          </w:tcPr>
          <w:p>
            <w:pPr>
              <w:pStyle w:val="TableContents"/>
              <w:widowControl w:val="false"/>
              <w:suppressLineNumbers/>
              <w:bidi w:val="0"/>
              <w:jc w:val="left"/>
              <w:rPr/>
            </w:pPr>
            <w:r>
              <w:rPr/>
              <w:t>Důkaz</w:t>
            </w:r>
          </w:p>
        </w:tc>
        <w:tc>
          <w:tcPr>
            <w:tcW w:w="3728" w:type="dxa"/>
            <w:tcBorders/>
            <w:vAlign w:val="center"/>
          </w:tcPr>
          <w:p>
            <w:pPr>
              <w:pStyle w:val="TableContents"/>
              <w:widowControl w:val="false"/>
              <w:suppressLineNumbers/>
              <w:bidi w:val="0"/>
              <w:jc w:val="left"/>
              <w:rPr/>
            </w:pPr>
            <w:r>
              <w:rPr/>
              <w:t>„</w:t>
            </w:r>
            <w:r>
              <w:rPr/>
              <w:t>0 prodejů; pilotní hypotézu je třeba znovu ověřit.“</w:t>
            </w:r>
          </w:p>
        </w:tc>
        <w:tc>
          <w:tcPr>
            <w:tcW w:w="4756" w:type="dxa"/>
            <w:tcBorders/>
            <w:vAlign w:val="center"/>
          </w:tcPr>
          <w:p>
            <w:pPr>
              <w:pStyle w:val="TableContents"/>
              <w:widowControl w:val="false"/>
              <w:suppressLineNumbers/>
              <w:bidi w:val="0"/>
              <w:jc w:val="left"/>
              <w:rPr/>
            </w:pPr>
            <w:r>
              <w:rPr/>
              <w:t>Fiktivní reference, anonymní případová studie nebo tvrzení „ověřeno zákazníky“</w:t>
            </w:r>
          </w:p>
        </w:tc>
      </w:tr>
    </w:tbl>
    <w:p>
      <w:pPr>
        <w:pStyle w:val="Heading2"/>
        <w:bidi w:val="0"/>
        <w:ind w:hanging="0" w:left="0" w:right="0"/>
        <w:jc w:val="left"/>
        <w:rPr/>
      </w:pPr>
      <w:bookmarkStart w:id="24" w:name="11-kontrolni-seznam-pred-publikaci"/>
      <w:bookmarkEnd w:id="24"/>
      <w:r>
        <w:rPr/>
        <w:t>11. Kontrolní seznam před publikací</w:t>
      </w:r>
    </w:p>
    <w:p>
      <w:pPr>
        <w:pStyle w:val="BodyText"/>
        <w:numPr>
          <w:ilvl w:val="0"/>
          <w:numId w:val="16"/>
        </w:numPr>
        <w:tabs>
          <w:tab w:val="clear" w:pos="709"/>
          <w:tab w:val="left" w:pos="709" w:leader="none"/>
        </w:tabs>
        <w:bidi w:val="0"/>
        <w:spacing w:before="0" w:after="0"/>
        <w:ind w:hanging="283" w:left="709"/>
        <w:jc w:val="left"/>
        <w:rPr/>
      </w:pPr>
      <w:r>
        <w:rPr/>
        <w:t xml:space="preserve">[ ] Je použit správný zdrojový soubor loga? </w:t>
      </w:r>
    </w:p>
    <w:p>
      <w:pPr>
        <w:pStyle w:val="BodyText"/>
        <w:numPr>
          <w:ilvl w:val="0"/>
          <w:numId w:val="16"/>
        </w:numPr>
        <w:tabs>
          <w:tab w:val="clear" w:pos="709"/>
          <w:tab w:val="left" w:pos="709" w:leader="none"/>
        </w:tabs>
        <w:bidi w:val="0"/>
        <w:spacing w:before="0" w:after="0"/>
        <w:ind w:hanging="283" w:left="709"/>
        <w:jc w:val="left"/>
        <w:rPr/>
      </w:pPr>
      <w:r>
        <w:rPr/>
        <w:t xml:space="preserve">[ ] Má logo ochrannou zónu a dostatečný kontrast? </w:t>
      </w:r>
    </w:p>
    <w:p>
      <w:pPr>
        <w:pStyle w:val="BodyText"/>
        <w:numPr>
          <w:ilvl w:val="0"/>
          <w:numId w:val="16"/>
        </w:numPr>
        <w:tabs>
          <w:tab w:val="clear" w:pos="709"/>
          <w:tab w:val="left" w:pos="709" w:leader="none"/>
        </w:tabs>
        <w:bidi w:val="0"/>
        <w:spacing w:before="0" w:after="0"/>
        <w:ind w:hanging="283" w:left="709"/>
        <w:jc w:val="left"/>
        <w:rPr/>
      </w:pPr>
      <w:r>
        <w:rPr/>
        <w:t xml:space="preserve">[ ] Používá materiál Geist nebo Inter jako náhradu? </w:t>
      </w:r>
    </w:p>
    <w:p>
      <w:pPr>
        <w:pStyle w:val="BodyText"/>
        <w:numPr>
          <w:ilvl w:val="0"/>
          <w:numId w:val="16"/>
        </w:numPr>
        <w:tabs>
          <w:tab w:val="clear" w:pos="709"/>
          <w:tab w:val="left" w:pos="709" w:leader="none"/>
        </w:tabs>
        <w:bidi w:val="0"/>
        <w:spacing w:before="0" w:after="0"/>
        <w:ind w:hanging="283" w:left="709"/>
        <w:jc w:val="left"/>
        <w:rPr/>
      </w:pPr>
      <w:r>
        <w:rPr/>
        <w:t xml:space="preserve">[ ] Má každá sekce jeden hlavní argument? </w:t>
      </w:r>
    </w:p>
    <w:p>
      <w:pPr>
        <w:pStyle w:val="BodyText"/>
        <w:numPr>
          <w:ilvl w:val="0"/>
          <w:numId w:val="16"/>
        </w:numPr>
        <w:tabs>
          <w:tab w:val="clear" w:pos="709"/>
          <w:tab w:val="left" w:pos="709" w:leader="none"/>
        </w:tabs>
        <w:bidi w:val="0"/>
        <w:spacing w:before="0" w:after="0"/>
        <w:ind w:hanging="283" w:left="709"/>
        <w:jc w:val="left"/>
        <w:rPr/>
      </w:pPr>
      <w:r>
        <w:rPr/>
        <w:t xml:space="preserve">[ ] Dokládá každý screenshot tvrzení vedle něj? </w:t>
      </w:r>
    </w:p>
    <w:p>
      <w:pPr>
        <w:pStyle w:val="BodyText"/>
        <w:numPr>
          <w:ilvl w:val="0"/>
          <w:numId w:val="16"/>
        </w:numPr>
        <w:tabs>
          <w:tab w:val="clear" w:pos="709"/>
          <w:tab w:val="left" w:pos="709" w:leader="none"/>
        </w:tabs>
        <w:bidi w:val="0"/>
        <w:spacing w:before="0" w:after="0"/>
        <w:ind w:hanging="283" w:left="709"/>
        <w:jc w:val="left"/>
        <w:rPr/>
      </w:pPr>
      <w:r>
        <w:rPr/>
        <w:t xml:space="preserve">[ ] Je primární CTA jen jedna? </w:t>
      </w:r>
    </w:p>
    <w:p>
      <w:pPr>
        <w:pStyle w:val="BodyText"/>
        <w:numPr>
          <w:ilvl w:val="0"/>
          <w:numId w:val="16"/>
        </w:numPr>
        <w:tabs>
          <w:tab w:val="clear" w:pos="709"/>
          <w:tab w:val="left" w:pos="709" w:leader="none"/>
        </w:tabs>
        <w:bidi w:val="0"/>
        <w:spacing w:before="0" w:after="0"/>
        <w:ind w:hanging="283" w:left="709"/>
        <w:jc w:val="left"/>
        <w:rPr/>
      </w:pPr>
      <w:r>
        <w:rPr/>
        <w:t xml:space="preserve">[ ] Nezaměňuje materiál Coursition za LMS nebo prodejce kurzů? </w:t>
      </w:r>
    </w:p>
    <w:p>
      <w:pPr>
        <w:pStyle w:val="BodyText"/>
        <w:numPr>
          <w:ilvl w:val="0"/>
          <w:numId w:val="16"/>
        </w:numPr>
        <w:tabs>
          <w:tab w:val="clear" w:pos="709"/>
          <w:tab w:val="left" w:pos="709" w:leader="none"/>
        </w:tabs>
        <w:bidi w:val="0"/>
        <w:spacing w:before="0" w:after="0"/>
        <w:ind w:hanging="283" w:left="709"/>
        <w:jc w:val="left"/>
        <w:rPr/>
      </w:pPr>
      <w:r>
        <w:rPr/>
        <w:t xml:space="preserve">[ ] Neobsahuje nepodložené metriky, zákazníky nebo partnerství? </w:t>
      </w:r>
    </w:p>
    <w:p>
      <w:pPr>
        <w:pStyle w:val="BodyText"/>
        <w:numPr>
          <w:ilvl w:val="0"/>
          <w:numId w:val="16"/>
        </w:numPr>
        <w:tabs>
          <w:tab w:val="clear" w:pos="709"/>
          <w:tab w:val="left" w:pos="709" w:leader="none"/>
        </w:tabs>
        <w:bidi w:val="0"/>
        <w:spacing w:before="0" w:after="0"/>
        <w:ind w:hanging="283" w:left="709"/>
        <w:jc w:val="left"/>
        <w:rPr/>
      </w:pPr>
      <w:r>
        <w:rPr/>
        <w:t xml:space="preserve">[ ] Je čitelný i bez barevného rozlišení? </w:t>
      </w:r>
    </w:p>
    <w:p>
      <w:pPr>
        <w:pStyle w:val="BodyText"/>
        <w:numPr>
          <w:ilvl w:val="0"/>
          <w:numId w:val="16"/>
        </w:numPr>
        <w:tabs>
          <w:tab w:val="clear" w:pos="709"/>
          <w:tab w:val="left" w:pos="709" w:leader="none"/>
        </w:tabs>
        <w:bidi w:val="0"/>
        <w:ind w:hanging="283" w:left="709"/>
        <w:jc w:val="left"/>
        <w:rPr/>
      </w:pPr>
      <w:r>
        <w:rPr/>
        <w:t xml:space="preserve">[ ] Je výsledek konzistentní se současnou landing page a aplikací? </w:t>
      </w:r>
    </w:p>
    <w:p>
      <w:pPr>
        <w:pStyle w:val="Heading2"/>
        <w:bidi w:val="0"/>
        <w:ind w:hanging="0" w:left="0" w:right="0"/>
        <w:jc w:val="left"/>
        <w:rPr/>
      </w:pPr>
      <w:bookmarkStart w:id="25" w:name="12-zdrojovy-registr"/>
      <w:bookmarkEnd w:id="25"/>
      <w:r>
        <w:rPr/>
        <w:t>12. Zdrojový registr</w:t>
      </w:r>
    </w:p>
    <w:p>
      <w:pPr>
        <w:pStyle w:val="BodyText"/>
        <w:numPr>
          <w:ilvl w:val="0"/>
          <w:numId w:val="17"/>
        </w:numPr>
        <w:tabs>
          <w:tab w:val="clear" w:pos="709"/>
          <w:tab w:val="left" w:pos="709" w:leader="none"/>
        </w:tabs>
        <w:bidi w:val="0"/>
        <w:spacing w:before="0" w:after="0"/>
        <w:ind w:hanging="283" w:left="709"/>
        <w:jc w:val="left"/>
        <w:rPr/>
      </w:pPr>
      <w:r>
        <w:rPr>
          <w:rStyle w:val="SourceText"/>
        </w:rPr>
        <w:t>původní Design Manual Coursition</w:t>
      </w:r>
      <w:r>
        <w:rPr/>
        <w:t xml:space="preserve"> — původní rodiny loga, procentní ochranné zóny, principy pozadí a zakázaného použití, Geist a vizuální barevné příklady; nedokládá všechny současné přesné hodnoty ani číselná minima. </w:t>
      </w:r>
    </w:p>
    <w:p>
      <w:pPr>
        <w:pStyle w:val="BodyText"/>
        <w:numPr>
          <w:ilvl w:val="0"/>
          <w:numId w:val="17"/>
        </w:numPr>
        <w:tabs>
          <w:tab w:val="clear" w:pos="709"/>
          <w:tab w:val="left" w:pos="709" w:leader="none"/>
        </w:tabs>
        <w:bidi w:val="0"/>
        <w:spacing w:before="0" w:after="0"/>
        <w:ind w:hanging="283" w:left="709"/>
        <w:jc w:val="left"/>
        <w:rPr/>
      </w:pPr>
      <w:r>
        <w:rPr>
          <w:rStyle w:val="SourceText"/>
        </w:rPr>
        <w:t>public/brand/coursition-logo-light.svg</w:t>
      </w:r>
      <w:r>
        <w:rPr/>
        <w:t xml:space="preserve"> — kanonické kompletní logo pro světlý podklad. </w:t>
      </w:r>
    </w:p>
    <w:p>
      <w:pPr>
        <w:pStyle w:val="BodyText"/>
        <w:numPr>
          <w:ilvl w:val="0"/>
          <w:numId w:val="17"/>
        </w:numPr>
        <w:tabs>
          <w:tab w:val="clear" w:pos="709"/>
          <w:tab w:val="left" w:pos="709" w:leader="none"/>
        </w:tabs>
        <w:bidi w:val="0"/>
        <w:spacing w:before="0" w:after="0"/>
        <w:ind w:hanging="283" w:left="709"/>
        <w:jc w:val="left"/>
        <w:rPr/>
      </w:pPr>
      <w:r>
        <w:rPr>
          <w:rStyle w:val="SourceText"/>
        </w:rPr>
        <w:t>public/brand/coursition-logo-dark.svg</w:t>
      </w:r>
      <w:r>
        <w:rPr/>
        <w:t xml:space="preserve"> — kanonická negativní varianta pro tmavý podklad. </w:t>
      </w:r>
    </w:p>
    <w:p>
      <w:pPr>
        <w:pStyle w:val="BodyText"/>
        <w:numPr>
          <w:ilvl w:val="0"/>
          <w:numId w:val="17"/>
        </w:numPr>
        <w:tabs>
          <w:tab w:val="clear" w:pos="709"/>
          <w:tab w:val="left" w:pos="709" w:leader="none"/>
        </w:tabs>
        <w:bidi w:val="0"/>
        <w:spacing w:before="0" w:after="0"/>
        <w:ind w:hanging="283" w:left="709"/>
        <w:jc w:val="left"/>
        <w:rPr/>
      </w:pPr>
      <w:r>
        <w:rPr>
          <w:rStyle w:val="SourceText"/>
        </w:rPr>
        <w:t>public/brand/coursition-favicon.svg</w:t>
      </w:r>
      <w:r>
        <w:rPr/>
        <w:t xml:space="preserve"> — kanonický symbol pro malé čtvercové použití. </w:t>
      </w:r>
    </w:p>
    <w:p>
      <w:pPr>
        <w:pStyle w:val="BodyText"/>
        <w:numPr>
          <w:ilvl w:val="0"/>
          <w:numId w:val="17"/>
        </w:numPr>
        <w:tabs>
          <w:tab w:val="clear" w:pos="709"/>
          <w:tab w:val="left" w:pos="709" w:leader="none"/>
        </w:tabs>
        <w:bidi w:val="0"/>
        <w:spacing w:before="0" w:after="0"/>
        <w:ind w:hanging="283" w:left="709"/>
        <w:jc w:val="left"/>
        <w:rPr/>
      </w:pPr>
      <w:r>
        <w:rPr>
          <w:rStyle w:val="SourceText"/>
        </w:rPr>
        <w:t>src/routes/coursition-theme.css</w:t>
      </w:r>
      <w:r>
        <w:rPr/>
        <w:t xml:space="preserve"> — současná produktová typografie, interakční barevná rampa, focus a přístupné varianty. </w:t>
      </w:r>
    </w:p>
    <w:p>
      <w:pPr>
        <w:pStyle w:val="BodyText"/>
        <w:numPr>
          <w:ilvl w:val="0"/>
          <w:numId w:val="17"/>
        </w:numPr>
        <w:tabs>
          <w:tab w:val="clear" w:pos="709"/>
          <w:tab w:val="left" w:pos="709" w:leader="none"/>
        </w:tabs>
        <w:bidi w:val="0"/>
        <w:spacing w:before="0" w:after="0"/>
        <w:ind w:hanging="283" w:left="709"/>
        <w:jc w:val="left"/>
        <w:rPr/>
      </w:pPr>
      <w:r>
        <w:rPr>
          <w:rStyle w:val="SourceText"/>
        </w:rPr>
        <w:t>src/routes/coursition-landing.css</w:t>
      </w:r>
      <w:r>
        <w:rPr/>
        <w:t xml:space="preserve"> — současné landing-page kotvy a layoutová pravidla. </w:t>
      </w:r>
    </w:p>
    <w:p>
      <w:pPr>
        <w:pStyle w:val="BodyText"/>
        <w:numPr>
          <w:ilvl w:val="0"/>
          <w:numId w:val="17"/>
        </w:numPr>
        <w:tabs>
          <w:tab w:val="clear" w:pos="709"/>
          <w:tab w:val="left" w:pos="709" w:leader="none"/>
        </w:tabs>
        <w:bidi w:val="0"/>
        <w:spacing w:before="0" w:after="0"/>
        <w:ind w:hanging="283" w:left="709"/>
        <w:jc w:val="left"/>
        <w:rPr/>
      </w:pPr>
      <w:r>
        <w:rPr>
          <w:rStyle w:val="SourceText"/>
        </w:rPr>
        <w:t>locales/cs/translation.json</w:t>
      </w:r>
      <w:r>
        <w:rPr/>
        <w:t xml:space="preserve"> — aktuální veřejná copy ve zdroji. </w:t>
      </w:r>
    </w:p>
    <w:p>
      <w:pPr>
        <w:pStyle w:val="BodyText"/>
        <w:numPr>
          <w:ilvl w:val="0"/>
          <w:numId w:val="17"/>
        </w:numPr>
        <w:tabs>
          <w:tab w:val="clear" w:pos="709"/>
          <w:tab w:val="left" w:pos="709" w:leader="none"/>
        </w:tabs>
        <w:bidi w:val="0"/>
        <w:spacing w:before="0" w:after="0"/>
        <w:ind w:hanging="283" w:left="709"/>
        <w:jc w:val="left"/>
        <w:rPr/>
      </w:pPr>
      <w:r>
        <w:rPr>
          <w:rStyle w:val="SourceText"/>
        </w:rPr>
        <w:t>public/landing/</w:t>
      </w:r>
      <w:r>
        <w:rPr/>
        <w:t xml:space="preserve"> — současné lokalizované produktové stilly pro CS/EN, desktop/telefon a světlý/tmavý režim. </w:t>
      </w:r>
    </w:p>
    <w:p>
      <w:pPr>
        <w:pStyle w:val="BodyText"/>
        <w:numPr>
          <w:ilvl w:val="0"/>
          <w:numId w:val="17"/>
        </w:numPr>
        <w:tabs>
          <w:tab w:val="clear" w:pos="709"/>
          <w:tab w:val="left" w:pos="709" w:leader="none"/>
        </w:tabs>
        <w:bidi w:val="0"/>
        <w:spacing w:before="0" w:after="0"/>
        <w:ind w:hanging="283" w:left="709"/>
        <w:jc w:val="left"/>
        <w:rPr/>
      </w:pPr>
      <w:r>
        <w:rPr>
          <w:rStyle w:val="SourceText"/>
        </w:rPr>
        <w:t>aktuální produktové screenshoty Coursition01-landing-cs-desktop.png</w:t>
      </w:r>
      <w:r>
        <w:rPr/>
        <w:t xml:space="preserve"> a </w:t>
      </w:r>
      <w:r>
        <w:rPr>
          <w:rStyle w:val="SourceText"/>
        </w:rPr>
        <w:t>10</w:t>
      </w:r>
      <w:r>
        <w:rPr/>
        <w:t>–</w:t>
      </w:r>
      <w:r>
        <w:rPr>
          <w:rStyle w:val="SourceText"/>
        </w:rPr>
        <w:t>14</w:t>
      </w:r>
      <w:r>
        <w:rPr/>
        <w:t xml:space="preserve"> — současné landing/application příklady dostupné k datu dokumentu. </w:t>
      </w:r>
    </w:p>
    <w:p>
      <w:pPr>
        <w:pStyle w:val="BodyText"/>
        <w:numPr>
          <w:ilvl w:val="0"/>
          <w:numId w:val="17"/>
        </w:numPr>
        <w:tabs>
          <w:tab w:val="clear" w:pos="709"/>
          <w:tab w:val="left" w:pos="709" w:leader="none"/>
        </w:tabs>
        <w:bidi w:val="0"/>
        <w:spacing w:before="0" w:after="0"/>
        <w:ind w:hanging="283" w:left="709"/>
        <w:jc w:val="left"/>
        <w:rPr/>
      </w:pPr>
      <w:r>
        <w:rPr>
          <w:rStyle w:val="SourceText"/>
        </w:rPr>
        <w:t>interní archiv produktových screenshotů</w:t>
      </w:r>
      <w:r>
        <w:rPr/>
        <w:t xml:space="preserve"> — archivní reprodukované stavy; mohou zaostávat za současným zdrojem. </w:t>
      </w:r>
    </w:p>
    <w:p>
      <w:pPr>
        <w:pStyle w:val="BodyText"/>
        <w:numPr>
          <w:ilvl w:val="0"/>
          <w:numId w:val="17"/>
        </w:numPr>
        <w:tabs>
          <w:tab w:val="clear" w:pos="709"/>
          <w:tab w:val="left" w:pos="709" w:leader="none"/>
        </w:tabs>
        <w:bidi w:val="0"/>
        <w:spacing w:before="0" w:after="0"/>
        <w:ind w:hanging="283" w:left="709"/>
        <w:jc w:val="left"/>
        <w:rPr/>
      </w:pPr>
      <w:r>
        <w:rPr>
          <w:rStyle w:val="SourceText"/>
        </w:rPr>
        <w:t>uživatelská metodika Coursition</w:t>
      </w:r>
      <w:r>
        <w:rPr/>
        <w:t xml:space="preserve"> — ověřený popis produktu a nutnosti odborné kontroly. </w:t>
      </w:r>
    </w:p>
    <w:p>
      <w:pPr>
        <w:pStyle w:val="BodyText"/>
        <w:numPr>
          <w:ilvl w:val="0"/>
          <w:numId w:val="17"/>
        </w:numPr>
        <w:tabs>
          <w:tab w:val="clear" w:pos="709"/>
          <w:tab w:val="left" w:pos="709" w:leader="none"/>
        </w:tabs>
        <w:bidi w:val="0"/>
        <w:spacing w:before="0" w:after="140"/>
        <w:ind w:hanging="283" w:left="709"/>
        <w:jc w:val="left"/>
        <w:rPr/>
      </w:pPr>
      <w:r>
        <w:rPr>
          <w:rStyle w:val="SourceText"/>
        </w:rPr>
        <w:t>SEO analýza a manuál Coursition</w:t>
      </w:r>
      <w:r>
        <w:rPr/>
        <w:t xml:space="preserve"> — tržní, jazykové a obsahové souvislosti. </w:t>
      </w:r>
    </w:p>
    <w:sectPr>
      <w:type w:val="nextPage"/>
      <w:pgSz w:w="11906" w:h="16838"/>
      <w:pgMar w:left="907" w:right="907" w:gutter="0" w:header="0" w:top="1134" w:footer="0" w:bottom="1247"/>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Mono">
    <w:altName w:val="Courier New"/>
    <w:charset w:val="01"/>
    <w:family w:val="modern"/>
    <w:pitch w:val="fixed"/>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lvl w:ilvl="0">
      <w:start w:val="1"/>
      <w:numFmt w:val="none"/>
      <w:pStyle w:val="Heading1"/>
      <w:suff w:val="nothing"/>
      <w:lvlText w:val=""/>
      <w:lvlJc w:val="left"/>
      <w:pPr>
        <w:tabs>
          <w:tab w:val="num" w:pos="0"/>
        </w:tabs>
        <w:ind w:left="0" w:hanging="0"/>
      </w:pPr>
    </w:lvl>
    <w:lvl w:ilvl="1">
      <w:start w:val="1"/>
      <w:numFmt w:val="none"/>
      <w:pStyle w:val="Heading2"/>
      <w:suff w:val="nothing"/>
      <w:lvlText w:val=""/>
      <w:lvlJc w:val="left"/>
      <w:pPr>
        <w:tabs>
          <w:tab w:val="num" w:pos="0"/>
        </w:tabs>
        <w:ind w:left="0" w:hanging="0"/>
      </w:pPr>
    </w:lvl>
    <w:lvl w:ilvl="2">
      <w:start w:val="1"/>
      <w:numFmt w:val="none"/>
      <w:pStyle w:val="Heading3"/>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Songti SC" w:cs="Arial Unicode MS"/>
      <w:color w:val="auto"/>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Songti SC" w:cs="Arial Unicode MS"/>
      <w:b/>
      <w:bCs/>
      <w:sz w:val="48"/>
      <w:szCs w:val="48"/>
    </w:rPr>
  </w:style>
  <w:style w:type="paragraph" w:styleId="Heading2">
    <w:name w:val="heading 2"/>
    <w:basedOn w:val="Heading"/>
    <w:next w:val="BodyText"/>
    <w:qFormat/>
    <w:pPr>
      <w:spacing w:before="200" w:after="120"/>
      <w:outlineLvl w:val="1"/>
    </w:pPr>
    <w:rPr>
      <w:rFonts w:ascii="Liberation Serif" w:hAnsi="Liberation Serif" w:eastAsia="Songti SC" w:cs="Arial Unicode MS"/>
      <w:b/>
      <w:bCs/>
      <w:sz w:val="36"/>
      <w:szCs w:val="36"/>
    </w:rPr>
  </w:style>
  <w:style w:type="paragraph" w:styleId="Heading3">
    <w:name w:val="heading 3"/>
    <w:basedOn w:val="Heading"/>
    <w:next w:val="BodyText"/>
    <w:qFormat/>
    <w:pPr>
      <w:spacing w:before="140" w:after="120"/>
      <w:outlineLvl w:val="2"/>
    </w:pPr>
    <w:rPr>
      <w:rFonts w:ascii="Liberation Serif" w:hAnsi="Liberation Serif" w:eastAsia="Songti SC" w:cs="Arial Unicode MS"/>
      <w:b/>
      <w:bCs/>
      <w:sz w:val="28"/>
      <w:szCs w:val="28"/>
    </w:rPr>
  </w:style>
  <w:style w:type="character" w:styleId="Strong">
    <w:name w:val="Strong"/>
    <w:qFormat/>
    <w:rPr>
      <w:b/>
      <w:bCs/>
    </w:rPr>
  </w:style>
  <w:style w:type="character" w:styleId="NumberingSymbols">
    <w:name w:val="Numbering Symbols"/>
    <w:qFormat/>
    <w:rPr/>
  </w:style>
  <w:style w:type="character" w:styleId="Hyperlink">
    <w:name w:val="Hyperlink"/>
    <w:rPr>
      <w:color w:val="000080"/>
      <w:u w:val="single"/>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Liberation Mono" w:cs="Liberation Mono"/>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lockQuotation">
    <w:name w:val="Block Quotation"/>
    <w:basedOn w:val="Normal"/>
    <w:qFormat/>
    <w:pPr>
      <w:spacing w:before="0" w:after="283"/>
      <w:ind w:hanging="0" w:left="567" w:right="567"/>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coursition-1.png"/><Relationship Id="rId3" Type="http://schemas.openxmlformats.org/officeDocument/2006/relationships/hyperlink" Target="http://coursition.com/" TargetMode="Externa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LibreOffice/26.2.5.2$MacOSX_AARCH64 LibreOffice_project/cd7284b4cbbfeb507e630c1aac019f4157393acb</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Brand a grafický manuál</dc:title>
</cp:coreProperties>
</file>

<file path=docProps/custom.xml><?xml version="1.0" encoding="utf-8"?>
<Properties xmlns="http://schemas.openxmlformats.org/officeDocument/2006/custom-properties" xmlns:vt="http://schemas.openxmlformats.org/officeDocument/2006/docPropsVTypes"/>
</file>