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bidi w:val="0"/>
        <w:jc w:val="left"/>
        <w:rPr/>
      </w:pPr>
      <w:r>
        <w:rPr/>
        <w:drawing>
          <wp:inline distT="0" distB="0" distL="0" distR="0">
            <wp:extent cx="21717000" cy="5657850"/>
            <wp:effectExtent l="0" t="0" r="0" b="0"/>
            <wp:docPr id="1" name="Image1" descr="Coursi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Coursition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717000" cy="56578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Heading1"/>
        <w:bidi w:val="0"/>
        <w:jc w:val="left"/>
        <w:rPr/>
      </w:pPr>
      <w:r>
        <w:rPr/>
        <w:t>Discovery a vnitřní analýza</w:t>
      </w:r>
    </w:p>
    <w:p>
      <w:pPr>
        <w:pStyle w:val="BodyText"/>
        <w:bidi w:val="0"/>
        <w:jc w:val="left"/>
        <w:rPr/>
      </w:pPr>
      <w:r>
        <w:rPr/>
        <w:t>Současná evidenční rekonstrukce</w:t>
      </w:r>
    </w:p>
    <w:p>
      <w:pPr>
        <w:pStyle w:val="BodyText"/>
        <w:bidi w:val="0"/>
        <w:jc w:val="left"/>
        <w:rPr/>
      </w:pPr>
      <w:r>
        <w:rPr>
          <w:rStyle w:val="Strong"/>
        </w:rPr>
        <w:t>Verze dokumentu:</w:t>
      </w:r>
      <w:r>
        <w:rPr/>
        <w:t xml:space="preserve"> 1.0</w:t>
      </w:r>
    </w:p>
    <w:p>
      <w:pPr>
        <w:pStyle w:val="BodyText"/>
        <w:bidi w:val="0"/>
        <w:jc w:val="left"/>
        <w:rPr/>
      </w:pPr>
      <w:r>
        <w:rPr>
          <w:rStyle w:val="Strong"/>
        </w:rPr>
        <w:t>Datum přípravy:</w:t>
      </w:r>
      <w:r>
        <w:rPr/>
        <w:t xml:space="preserve"> 27. 7. 2026</w:t>
      </w:r>
    </w:p>
    <w:p>
      <w:pPr>
        <w:pStyle w:val="BodyText"/>
        <w:bidi w:val="0"/>
        <w:jc w:val="left"/>
        <w:rPr/>
      </w:pPr>
      <w:r>
        <w:rPr>
          <w:rStyle w:val="Strong"/>
        </w:rPr>
        <w:t>Stav dokumentu:</w:t>
      </w:r>
      <w:r>
        <w:rPr/>
        <w:t xml:space="preserve"> současné interní podklady Coursition</w:t>
      </w:r>
    </w:p>
    <w:p>
      <w:pPr>
        <w:pStyle w:val="BodyText"/>
        <w:bidi w:val="0"/>
        <w:jc w:val="left"/>
        <w:rPr/>
      </w:pPr>
      <w:r>
        <w:rPr/>
        <w:t>Interní dokument Coursition. Doporučení a hypotézy nejsou historické výsledky. Produktové a AI výstupy vyžadují lidskou kontrolu.</w:t>
      </w:r>
    </w:p>
    <w:p>
      <w:pPr>
        <w:pStyle w:val="Heading2"/>
        <w:bidi w:val="0"/>
        <w:jc w:val="left"/>
        <w:rPr/>
      </w:pPr>
      <w:r>
        <w:rPr/>
        <w:t>Obsah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hyperlink w:anchor="1-manazerske-shrnuti">
        <w:r>
          <w:rPr>
            <w:rStyle w:val="Hyperlink"/>
          </w:rPr>
          <w:t>1. Manažerské shrnutí</w:t>
        </w:r>
      </w:hyperlink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hyperlink w:anchor="2-metoda-rekonstrukce">
        <w:r>
          <w:rPr>
            <w:rStyle w:val="Hyperlink"/>
          </w:rPr>
          <w:t>2. Metoda rekonstrukce</w:t>
        </w:r>
      </w:hyperlink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hyperlink w:anchor="3-potvrzene-skutecnosti">
        <w:r>
          <w:rPr>
            <w:rStyle w:val="Hyperlink"/>
          </w:rPr>
          <w:t>3. Potvrzené skutečnosti</w:t>
        </w:r>
      </w:hyperlink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hyperlink w:anchor="3-1-produkt">
        <w:r>
          <w:rPr>
            <w:rStyle w:val="Hyperlink"/>
          </w:rPr>
          <w:t>3.1 Produkt</w:t>
        </w:r>
      </w:hyperlink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hyperlink w:anchor="3-2-znacka-a-web">
        <w:r>
          <w:rPr>
            <w:rStyle w:val="Hyperlink"/>
          </w:rPr>
          <w:t>3.2 Značka a web</w:t>
        </w:r>
      </w:hyperlink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hyperlink w:anchor="3-3-obchod-a-organizace">
        <w:r>
          <w:rPr>
            <w:rStyle w:val="Hyperlink"/>
          </w:rPr>
          <w:t>3.3 Obchod a organizace</w:t>
        </w:r>
      </w:hyperlink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hyperlink w:anchor="4-soucasna-seo-evidence-o-trhu-a-poptavc">
        <w:r>
          <w:rPr>
            <w:rStyle w:val="Hyperlink"/>
          </w:rPr>
          <w:t>4. Současná SEO evidence o trhu a poptávce</w:t>
        </w:r>
      </w:hyperlink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hyperlink w:anchor="4-1-co-seo-skutecne-ukazuje">
        <w:r>
          <w:rPr>
            <w:rStyle w:val="Hyperlink"/>
          </w:rPr>
          <w:t>4.1 Co SEO skutečně ukazuje</w:t>
        </w:r>
      </w:hyperlink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hyperlink w:anchor="4-2-co-seo-neukazuje">
        <w:r>
          <w:rPr>
            <w:rStyle w:val="Hyperlink"/>
          </w:rPr>
          <w:t>4.2 Co SEO neukazuje</w:t>
        </w:r>
      </w:hyperlink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hyperlink w:anchor="5-silne-stranky">
        <w:r>
          <w:rPr>
            <w:rStyle w:val="Hyperlink"/>
          </w:rPr>
          <w:t>5. Silné stránky</w:t>
        </w:r>
      </w:hyperlink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hyperlink w:anchor="5-1-jasny-mechanismus-hodnoty">
        <w:r>
          <w:rPr>
            <w:rStyle w:val="Hyperlink"/>
          </w:rPr>
          <w:t>5.1 Jasný mechanismus hodnoty</w:t>
        </w:r>
      </w:hyperlink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hyperlink w:anchor="5-2-editovatelnost-a-kontrola-autora">
        <w:r>
          <w:rPr>
            <w:rStyle w:val="Hyperlink"/>
          </w:rPr>
          <w:t>5.2 Editovatelnost a kontrola autora</w:t>
        </w:r>
      </w:hyperlink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hyperlink w:anchor="5-3-existujici-vizualni-identita">
        <w:r>
          <w:rPr>
            <w:rStyle w:val="Hyperlink"/>
          </w:rPr>
          <w:t>5.3 Existující vizuální identita</w:t>
        </w:r>
      </w:hyperlink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hyperlink w:anchor="5-4-lokalizovany-produkt-a-web">
        <w:r>
          <w:rPr>
            <w:rStyle w:val="Hyperlink"/>
          </w:rPr>
          <w:t>5.4 Lokalizovaný produkt a web</w:t>
        </w:r>
      </w:hyperlink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hyperlink w:anchor="5-5-reprodukovatelne-podklady">
        <w:r>
          <w:rPr>
            <w:rStyle w:val="Hyperlink"/>
          </w:rPr>
          <w:t>5.5 Reprodukovatelné podklady</w:t>
        </w:r>
      </w:hyperlink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hyperlink w:anchor="6-slabe-stranky-a-omezeni">
        <w:r>
          <w:rPr>
            <w:rStyle w:val="Hyperlink"/>
          </w:rPr>
          <w:t>6. Slabé stránky a omezení</w:t>
        </w:r>
      </w:hyperlink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hyperlink w:anchor="6-1-nulova-komercni-validace">
        <w:r>
          <w:rPr>
            <w:rStyle w:val="Hyperlink"/>
          </w:rPr>
          <w:t>6.1 Nulová komerční validace</w:t>
        </w:r>
      </w:hyperlink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hyperlink w:anchor="6-2-chybejici-obchodni-kapacita">
        <w:r>
          <w:rPr>
            <w:rStyle w:val="Hyperlink"/>
          </w:rPr>
          <w:t>6.2 Chybějící obchodní kapacita</w:t>
        </w:r>
      </w:hyperlink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hyperlink w:anchor="6-3-mala-obsahova-vrstva-webu">
        <w:r>
          <w:rPr>
            <w:rStyle w:val="Hyperlink"/>
          </w:rPr>
          <w:t>6.3 Malá obsahová vrstva webu</w:t>
        </w:r>
      </w:hyperlink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hyperlink w:anchor="6-4-duvera-a-produktove-limity">
        <w:r>
          <w:rPr>
            <w:rStyle w:val="Hyperlink"/>
          </w:rPr>
          <w:t>6.4 Důvěra a produktové limity</w:t>
        </w:r>
      </w:hyperlink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hyperlink w:anchor="6-5-neznamy-duvod-neuspechu-pilotu">
        <w:r>
          <w:rPr>
            <w:rStyle w:val="Hyperlink"/>
          </w:rPr>
          <w:t>6.5 Neznámý důvod neúspěchu pilotu</w:t>
        </w:r>
      </w:hyperlink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hyperlink w:anchor="6-6-historicky-manual-byl-nedokonceny">
        <w:r>
          <w:rPr>
            <w:rStyle w:val="Hyperlink"/>
          </w:rPr>
          <w:t>6.6 Historický manuál byl nedokončený</w:t>
        </w:r>
      </w:hyperlink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hyperlink w:anchor="7-prilezitosti">
        <w:r>
          <w:rPr>
            <w:rStyle w:val="Hyperlink"/>
          </w:rPr>
          <w:t>7. Příležitosti</w:t>
        </w:r>
      </w:hyperlink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hyperlink w:anchor="8-hrozby">
        <w:r>
          <w:rPr>
            <w:rStyle w:val="Hyperlink"/>
          </w:rPr>
          <w:t>8. Hrozby</w:t>
        </w:r>
      </w:hyperlink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hyperlink w:anchor="9-zname-nezname">
        <w:r>
          <w:rPr>
            <w:rStyle w:val="Hyperlink"/>
          </w:rPr>
          <w:t>9. Známé neznámé</w:t>
        </w:r>
      </w:hyperlink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hyperlink w:anchor="10-co-bylo-z-analyzy-vylouceno">
        <w:r>
          <w:rPr>
            <w:rStyle w:val="Hyperlink"/>
          </w:rPr>
          <w:t>10. Co bylo z analýzy vyloučeno</w:t>
        </w:r>
      </w:hyperlink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hyperlink w:anchor="11-rozhodnuti-plynouci-z-analyzy">
        <w:r>
          <w:rPr>
            <w:rStyle w:val="Hyperlink"/>
          </w:rPr>
          <w:t>11. Rozhodnutí plynoucí z analýzy</w:t>
        </w:r>
      </w:hyperlink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hyperlink w:anchor="rozhodnuti-1-drzet-jednu-znackovou-osu">
        <w:r>
          <w:rPr>
            <w:rStyle w:val="Hyperlink"/>
          </w:rPr>
          <w:t>Rozhodnutí 1 — držet jednu značkovou osu</w:t>
        </w:r>
      </w:hyperlink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hyperlink w:anchor="rozhodnuti-2-nejprve-aktivace-a-placeny-">
        <w:r>
          <w:rPr>
            <w:rStyle w:val="Hyperlink"/>
          </w:rPr>
          <w:t>Rozhodnutí 2 — nejprve aktivace a placený use case</w:t>
        </w:r>
      </w:hyperlink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hyperlink w:anchor="rozhodnuti-3-dve-jazykove-strategie">
        <w:r>
          <w:rPr>
            <w:rStyle w:val="Hyperlink"/>
          </w:rPr>
          <w:t>Rozhodnutí 3 — dvě jazykové strategie</w:t>
        </w:r>
      </w:hyperlink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hyperlink w:anchor="rozhodnuti-4-dukaz-produktem-ne-referenc">
        <w:r>
          <w:rPr>
            <w:rStyle w:val="Hyperlink"/>
          </w:rPr>
          <w:t>Rozhodnutí 4 — důkaz produktem, ne referencí</w:t>
        </w:r>
      </w:hyperlink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hyperlink w:anchor="rozhodnuti-5-neskalovat-bez-vlastnika">
        <w:r>
          <w:rPr>
            <w:rStyle w:val="Hyperlink"/>
          </w:rPr>
          <w:t>Rozhodnutí 5 — neškálovat bez vlastníka</w:t>
        </w:r>
      </w:hyperlink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hyperlink w:anchor="12-otazky-pro-prevzeti-a-dalsi-rozhodnut">
        <w:r>
          <w:rPr>
            <w:rStyle w:val="Hyperlink"/>
          </w:rPr>
          <w:t>12. Otázky pro převzetí a další rozhodnutí</w:t>
        </w:r>
      </w:hyperlink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hyperlink w:anchor="13-zdrojovy-registr">
        <w:r>
          <w:rPr>
            <w:rStyle w:val="Hyperlink"/>
          </w:rPr>
          <w:t>13. Zdrojový registr</w:t>
        </w:r>
      </w:hyperlink>
    </w:p>
    <w:p>
      <w:pPr>
        <w:pStyle w:val="Heading1"/>
        <w:bidi w:val="0"/>
        <w:ind w:hanging="0" w:left="0" w:right="0"/>
        <w:jc w:val="left"/>
        <w:rPr/>
      </w:pPr>
      <w:bookmarkStart w:id="0" w:name="discovery-a-vnitrni-analyza"/>
      <w:bookmarkEnd w:id="0"/>
      <w:r>
        <w:rPr/>
        <w:t>Discovery a vnitřní analýza</w:t>
      </w:r>
    </w:p>
    <w:p>
      <w:pPr>
        <w:pStyle w:val="BodyText"/>
        <w:bidi w:val="0"/>
        <w:jc w:val="left"/>
        <w:rPr/>
      </w:pPr>
      <w:r>
        <w:rPr>
          <w:rStyle w:val="Strong"/>
        </w:rPr>
        <w:t>Produkt:</w:t>
      </w:r>
      <w:r>
        <w:rPr/>
        <w:t xml:space="preserve"> Coursition</w:t>
        <w:br/>
      </w:r>
      <w:r>
        <w:rPr>
          <w:rStyle w:val="Strong"/>
        </w:rPr>
        <w:t>Verze dokumentu:</w:t>
      </w:r>
      <w:r>
        <w:rPr/>
        <w:t xml:space="preserve"> 1.0</w:t>
        <w:br/>
      </w:r>
      <w:r>
        <w:rPr>
          <w:rStyle w:val="Strong"/>
        </w:rPr>
        <w:t>Datum přípravy dokumentu:</w:t>
      </w:r>
      <w:r>
        <w:rPr/>
        <w:t xml:space="preserve"> 27. 7. 2026</w:t>
        <w:br/>
      </w:r>
      <w:r>
        <w:rPr>
          <w:rStyle w:val="Strong"/>
        </w:rPr>
        <w:t>Typ dokumentu:</w:t>
      </w:r>
      <w:r>
        <w:rPr/>
        <w:t xml:space="preserve"> současná evidenční rekonstrukce</w:t>
      </w:r>
    </w:p>
    <w:p>
      <w:pPr>
        <w:pStyle w:val="BlockQuotation"/>
        <w:bidi w:val="0"/>
        <w:jc w:val="left"/>
        <w:rPr/>
      </w:pPr>
      <w:r>
        <w:rPr>
          <w:rStyle w:val="Strong"/>
        </w:rPr>
        <w:t>Důležité omezení:</w:t>
      </w:r>
      <w:r>
        <w:rPr/>
        <w:t xml:space="preserve"> původní záznam Discovery Session, seznam účastníků, zápis, citace ani schválení nejsou v dostupných podkladech. Tento dokument proto není historickým zápisem setkání. Rekonstruuje současný stav z ověřeného produktu, SEO balíčku, existující identity a potvrzených firemních vstupů.</w:t>
      </w:r>
    </w:p>
    <w:p>
      <w:pPr>
        <w:pStyle w:val="Heading2"/>
        <w:bidi w:val="0"/>
        <w:ind w:hanging="0" w:left="0" w:right="0"/>
        <w:jc w:val="left"/>
        <w:rPr/>
      </w:pPr>
      <w:bookmarkStart w:id="1" w:name="1-manazerske-shrnuti"/>
      <w:bookmarkEnd w:id="1"/>
      <w:r>
        <w:rPr/>
        <w:t>1. Manažerské shrnutí</w:t>
      </w:r>
    </w:p>
    <w:p>
      <w:pPr>
        <w:pStyle w:val="BodyText"/>
        <w:bidi w:val="0"/>
        <w:jc w:val="left"/>
        <w:rPr/>
      </w:pPr>
      <w:r>
        <w:rPr/>
        <w:t>Coursition je funkční produkt ve fázi obchodní validace. Z existujících podkladů připravuje propojený návrh kurzu vedený přes přípravu, vzdělávací cíle, aktivity, obsah a interní náhled. Přípravu, cíle a zadání aktivit lze upravovat přímo; obsah se opravuje přes vstupy a regeneraci. Autor musí výstup zkontrolovat a zůstává odpovědný za jeho použití.</w:t>
      </w:r>
    </w:p>
    <w:p>
      <w:pPr>
        <w:pStyle w:val="BodyText"/>
        <w:bidi w:val="0"/>
        <w:jc w:val="left"/>
        <w:rPr/>
      </w:pPr>
      <w:r>
        <w:rPr/>
        <w:t>Technická a vizuální základna existuje. Hlavní mezera není další obecný branding, ale důkaz trhu a opakovatelná cesta k hodnotě: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0 prodejů a 0 Kč produktových tržeb;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žádná uzavřená spolupráce;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první pilot nebyl úspěšný a další neproběhl;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žádní stálí zaměstnanci;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bez dedikované obchodní kapacity je B2B prodej pomalý;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přesná search volume nejsou k dispozici;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 xml:space="preserve">veřejný web má malou obsahovou vrstvu. </w:t>
      </w:r>
    </w:p>
    <w:p>
      <w:pPr>
        <w:pStyle w:val="BodyText"/>
        <w:bidi w:val="0"/>
        <w:jc w:val="left"/>
        <w:rPr/>
      </w:pPr>
      <w:r>
        <w:rPr/>
        <w:t>Z analýzy plyne: soustředit značku na práci „z podkladu do propojeného prvního návrhu pod kontrolou autora“, ověřovat úzké use cases a neškálovat komunikaci před prokázanou aktivací a ochotou platit.</w:t>
      </w:r>
    </w:p>
    <w:p>
      <w:pPr>
        <w:pStyle w:val="Heading2"/>
        <w:bidi w:val="0"/>
        <w:ind w:hanging="0" w:left="0" w:right="0"/>
        <w:jc w:val="left"/>
        <w:rPr/>
      </w:pPr>
      <w:bookmarkStart w:id="2" w:name="2-metoda-rekonstrukce"/>
      <w:bookmarkEnd w:id="2"/>
      <w:r>
        <w:rPr/>
        <w:t>2. Metoda rekonstrukce</w:t>
      </w:r>
    </w:p>
    <w:p>
      <w:pPr>
        <w:pStyle w:val="BodyText"/>
        <w:bidi w:val="0"/>
        <w:jc w:val="left"/>
        <w:rPr/>
      </w:pPr>
      <w:r>
        <w:rPr/>
        <w:t>Použité vrstvy evidence v pořadí důvěry: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současné reprodukovatelné chování aplikace a uživatelská metodika; 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současný landing-page zdroj a lokalizace; 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SEO analýza a surová strategická data; 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potvrzené vstupy od Petra; 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původní Design Manual a současné grafické podklady; 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 xml:space="preserve">starší screenshoty a prezentace pouze jako historický kontext. </w:t>
      </w:r>
    </w:p>
    <w:p>
      <w:pPr>
        <w:pStyle w:val="BodyText"/>
        <w:bidi w:val="0"/>
        <w:jc w:val="left"/>
        <w:rPr/>
      </w:pPr>
      <w:r>
        <w:rPr/>
        <w:t>Veřejné produkční nasazení nebylo tímto dokumentem potvrzeno. Produktové skutečnosti označené jako ověřené vycházejí z reprodukovatelného lokálního sestavení, současného zdroje a metodiky; dostupnost produkční domény je samostatná provozní otázka.</w:t>
      </w:r>
    </w:p>
    <w:p>
      <w:pPr>
        <w:pStyle w:val="BodyText"/>
        <w:bidi w:val="0"/>
        <w:jc w:val="left"/>
        <w:rPr/>
      </w:pPr>
      <w:r>
        <w:rPr/>
        <w:t>Při rozporu má přednost vyšší vrstva. Starší screenshot není důkazem současné copy, pokud se zdroj změnil.</w:t>
      </w:r>
    </w:p>
    <w:p>
      <w:pPr>
        <w:pStyle w:val="Heading2"/>
        <w:bidi w:val="0"/>
        <w:ind w:hanging="0" w:left="0" w:right="0"/>
        <w:jc w:val="left"/>
        <w:rPr/>
      </w:pPr>
      <w:bookmarkStart w:id="3" w:name="3-potvrzene-skutecnosti"/>
      <w:bookmarkEnd w:id="3"/>
      <w:r>
        <w:rPr/>
        <w:t>3. Potvrzené skutečnosti</w:t>
      </w:r>
    </w:p>
    <w:p>
      <w:pPr>
        <w:pStyle w:val="Heading3"/>
        <w:bidi w:val="0"/>
        <w:ind w:hanging="0" w:left="0" w:right="0"/>
        <w:jc w:val="left"/>
        <w:rPr/>
      </w:pPr>
      <w:bookmarkStart w:id="4" w:name="3-1-produkt"/>
      <w:bookmarkEnd w:id="4"/>
      <w:r>
        <w:rPr/>
        <w:t>3.1 Produkt</w:t>
      </w:r>
    </w:p>
    <w:tbl>
      <w:tblPr>
        <w:tblW w:w="10092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4752"/>
        <w:gridCol w:w="2622"/>
        <w:gridCol w:w="2718"/>
      </w:tblGrid>
      <w:tr>
        <w:trPr>
          <w:tblHeader w:val="true"/>
        </w:trPr>
        <w:tc>
          <w:tcPr>
            <w:tcW w:w="4752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Skutečnost</w:t>
            </w:r>
          </w:p>
        </w:tc>
        <w:tc>
          <w:tcPr>
            <w:tcW w:w="2622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Stav</w:t>
            </w:r>
          </w:p>
        </w:tc>
        <w:tc>
          <w:tcPr>
            <w:tcW w:w="2718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Zdroj</w:t>
            </w:r>
          </w:p>
        </w:tc>
      </w:tr>
      <w:tr>
        <w:trPr/>
        <w:tc>
          <w:tcPr>
            <w:tcW w:w="475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Coursition převádí poznámky, URL nebo soubor na strukturovaný návrh kurzu</w:t>
            </w:r>
          </w:p>
        </w:tc>
        <w:tc>
          <w:tcPr>
            <w:tcW w:w="262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ověřeno</w:t>
            </w:r>
          </w:p>
        </w:tc>
        <w:tc>
          <w:tcPr>
            <w:tcW w:w="271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uživatelská metodika, kap. 1 a workflow</w:t>
            </w:r>
          </w:p>
        </w:tc>
      </w:tr>
      <w:tr>
        <w:trPr/>
        <w:tc>
          <w:tcPr>
            <w:tcW w:w="475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Workflow obsahuje přípravu, cíle, aktivity, obsah a náhled</w:t>
            </w:r>
          </w:p>
        </w:tc>
        <w:tc>
          <w:tcPr>
            <w:tcW w:w="262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ověřeno</w:t>
            </w:r>
          </w:p>
        </w:tc>
        <w:tc>
          <w:tcPr>
            <w:tcW w:w="271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uživatelská metodika; současná aplikace</w:t>
            </w:r>
          </w:p>
        </w:tc>
      </w:tr>
      <w:tr>
        <w:trPr/>
        <w:tc>
          <w:tcPr>
            <w:tcW w:w="475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Návrhy lze upravovat</w:t>
            </w:r>
          </w:p>
        </w:tc>
        <w:tc>
          <w:tcPr>
            <w:tcW w:w="262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ověřeno</w:t>
            </w:r>
          </w:p>
        </w:tc>
        <w:tc>
          <w:tcPr>
            <w:tcW w:w="271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aplikace a metodika</w:t>
            </w:r>
          </w:p>
        </w:tc>
      </w:tr>
      <w:tr>
        <w:trPr/>
        <w:tc>
          <w:tcPr>
            <w:tcW w:w="475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Výstup AI vyžaduje kontrolu autora</w:t>
            </w:r>
          </w:p>
        </w:tc>
        <w:tc>
          <w:tcPr>
            <w:tcW w:w="262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ověřeno</w:t>
            </w:r>
          </w:p>
        </w:tc>
        <w:tc>
          <w:tcPr>
            <w:tcW w:w="271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uživatelská metodika</w:t>
            </w:r>
          </w:p>
        </w:tc>
      </w:tr>
      <w:tr>
        <w:trPr/>
        <w:tc>
          <w:tcPr>
            <w:tcW w:w="475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Rozhraní je česky a anglicky</w:t>
            </w:r>
          </w:p>
        </w:tc>
        <w:tc>
          <w:tcPr>
            <w:tcW w:w="262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ověřeno</w:t>
            </w:r>
          </w:p>
        </w:tc>
        <w:tc>
          <w:tcPr>
            <w:tcW w:w="271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lokalizace a metodika</w:t>
            </w:r>
          </w:p>
        </w:tc>
      </w:tr>
      <w:tr>
        <w:trPr/>
        <w:tc>
          <w:tcPr>
            <w:tcW w:w="475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Produkt není LMS ani tržiště hotových kurzů</w:t>
            </w:r>
          </w:p>
        </w:tc>
        <w:tc>
          <w:tcPr>
            <w:tcW w:w="262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vymezení podle současných schopností</w:t>
            </w:r>
          </w:p>
        </w:tc>
        <w:tc>
          <w:tcPr>
            <w:tcW w:w="271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SEO a metodika</w:t>
            </w:r>
          </w:p>
        </w:tc>
      </w:tr>
      <w:tr>
        <w:trPr/>
        <w:tc>
          <w:tcPr>
            <w:tcW w:w="475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SCORM/xAPI/LTI nelze nyní slibovat</w:t>
            </w:r>
          </w:p>
        </w:tc>
        <w:tc>
          <w:tcPr>
            <w:tcW w:w="262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neověřeno jako současná schopnost</w:t>
            </w:r>
          </w:p>
        </w:tc>
        <w:tc>
          <w:tcPr>
            <w:tcW w:w="271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SEO seznam „co necílit“</w:t>
            </w:r>
          </w:p>
        </w:tc>
      </w:tr>
    </w:tbl>
    <w:p>
      <w:pPr>
        <w:pStyle w:val="Heading3"/>
        <w:bidi w:val="0"/>
        <w:ind w:hanging="0" w:left="0" w:right="0"/>
        <w:jc w:val="left"/>
        <w:rPr/>
      </w:pPr>
      <w:bookmarkStart w:id="5" w:name="3-2-znacka-a-web"/>
      <w:bookmarkEnd w:id="5"/>
      <w:r>
        <w:rPr/>
        <w:t>3.2 Značka a web</w:t>
      </w:r>
    </w:p>
    <w:tbl>
      <w:tblPr>
        <w:tblW w:w="10092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4133"/>
        <w:gridCol w:w="2867"/>
        <w:gridCol w:w="3092"/>
      </w:tblGrid>
      <w:tr>
        <w:trPr>
          <w:tblHeader w:val="true"/>
        </w:trPr>
        <w:tc>
          <w:tcPr>
            <w:tcW w:w="4133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Skutečnost</w:t>
            </w:r>
          </w:p>
        </w:tc>
        <w:tc>
          <w:tcPr>
            <w:tcW w:w="2867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Stav</w:t>
            </w:r>
          </w:p>
        </w:tc>
        <w:tc>
          <w:tcPr>
            <w:tcW w:w="3092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Zdroj</w:t>
            </w:r>
          </w:p>
        </w:tc>
      </w:tr>
      <w:tr>
        <w:trPr/>
        <w:tc>
          <w:tcPr>
            <w:tcW w:w="413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Existuje symbol vlaštovky/papírového letadla, wordmark a kompletní logo</w:t>
            </w:r>
          </w:p>
        </w:tc>
        <w:tc>
          <w:tcPr>
            <w:tcW w:w="286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ověřeno</w:t>
            </w:r>
          </w:p>
        </w:tc>
        <w:tc>
          <w:tcPr>
            <w:tcW w:w="309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původní Design Manual, zdrojové SVG</w:t>
            </w:r>
          </w:p>
        </w:tc>
      </w:tr>
      <w:tr>
        <w:trPr/>
        <w:tc>
          <w:tcPr>
            <w:tcW w:w="413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 xml:space="preserve">Základní barvy jsou plum </w:t>
            </w:r>
            <w:r>
              <w:rPr>
                <w:rStyle w:val="SourceText"/>
              </w:rPr>
              <w:t>#4A044E</w:t>
            </w:r>
            <w:r>
              <w:rPr/>
              <w:t xml:space="preserve">, magenta </w:t>
            </w:r>
            <w:r>
              <w:rPr>
                <w:rStyle w:val="SourceText"/>
              </w:rPr>
              <w:t>#A01DAF</w:t>
            </w:r>
            <w:r>
              <w:rPr/>
              <w:t xml:space="preserve">, sekundární blue </w:t>
            </w:r>
            <w:r>
              <w:rPr>
                <w:rStyle w:val="SourceText"/>
              </w:rPr>
              <w:t>#007AA8</w:t>
            </w:r>
          </w:p>
        </w:tc>
        <w:tc>
          <w:tcPr>
            <w:tcW w:w="286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ověřeno</w:t>
            </w:r>
          </w:p>
        </w:tc>
        <w:tc>
          <w:tcPr>
            <w:tcW w:w="309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manuál a současné CSS</w:t>
            </w:r>
          </w:p>
        </w:tc>
      </w:tr>
      <w:tr>
        <w:trPr/>
        <w:tc>
          <w:tcPr>
            <w:tcW w:w="413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Primární písmo je Geist s náhradou Inter</w:t>
            </w:r>
          </w:p>
        </w:tc>
        <w:tc>
          <w:tcPr>
            <w:tcW w:w="286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ověřeno</w:t>
            </w:r>
          </w:p>
        </w:tc>
        <w:tc>
          <w:tcPr>
            <w:tcW w:w="309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manuál a současné CSS</w:t>
            </w:r>
          </w:p>
        </w:tc>
      </w:tr>
      <w:tr>
        <w:trPr/>
        <w:tc>
          <w:tcPr>
            <w:tcW w:w="413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Současná copy staví na prázdné stránce, prvním návrhu a kontrole autora</w:t>
            </w:r>
          </w:p>
        </w:tc>
        <w:tc>
          <w:tcPr>
            <w:tcW w:w="286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ověřeno ve zdroji</w:t>
            </w:r>
          </w:p>
        </w:tc>
        <w:tc>
          <w:tcPr>
            <w:tcW w:w="309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ourceText"/>
              </w:rPr>
              <w:t>locales/cs/translation.json</w:t>
            </w:r>
          </w:p>
        </w:tc>
      </w:tr>
      <w:tr>
        <w:trPr/>
        <w:tc>
          <w:tcPr>
            <w:tcW w:w="413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Veřejná obsahová vrstva je malá</w:t>
            </w:r>
          </w:p>
        </w:tc>
        <w:tc>
          <w:tcPr>
            <w:tcW w:w="286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doloženo SEO auditem dostupným k datu dokumentu</w:t>
            </w:r>
          </w:p>
        </w:tc>
        <w:tc>
          <w:tcPr>
            <w:tcW w:w="309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SEO analýza</w:t>
            </w:r>
          </w:p>
        </w:tc>
      </w:tr>
      <w:tr>
        <w:trPr/>
        <w:tc>
          <w:tcPr>
            <w:tcW w:w="413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Starší redesignové screenshoty mají jinou headline než současný zdroj</w:t>
            </w:r>
          </w:p>
        </w:tc>
        <w:tc>
          <w:tcPr>
            <w:tcW w:w="286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ověřeno porovnáním</w:t>
            </w:r>
          </w:p>
        </w:tc>
        <w:tc>
          <w:tcPr>
            <w:tcW w:w="309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screenshoty + lokalizace</w:t>
            </w:r>
          </w:p>
        </w:tc>
      </w:tr>
    </w:tbl>
    <w:p>
      <w:pPr>
        <w:pStyle w:val="Heading3"/>
        <w:bidi w:val="0"/>
        <w:ind w:hanging="0" w:left="0" w:right="0"/>
        <w:jc w:val="left"/>
        <w:rPr/>
      </w:pPr>
      <w:bookmarkStart w:id="6" w:name="3-3-obchod-a-organizace"/>
      <w:bookmarkEnd w:id="6"/>
      <w:r>
        <w:rPr/>
        <w:t>3.3 Obchod a organizace</w:t>
      </w:r>
    </w:p>
    <w:tbl>
      <w:tblPr>
        <w:tblW w:w="10092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2718"/>
        <w:gridCol w:w="5137"/>
        <w:gridCol w:w="2237"/>
      </w:tblGrid>
      <w:tr>
        <w:trPr>
          <w:tblHeader w:val="true"/>
        </w:trPr>
        <w:tc>
          <w:tcPr>
            <w:tcW w:w="2718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Skutečnost</w:t>
            </w:r>
          </w:p>
        </w:tc>
        <w:tc>
          <w:tcPr>
            <w:tcW w:w="5137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Stav</w:t>
            </w:r>
          </w:p>
        </w:tc>
        <w:tc>
          <w:tcPr>
            <w:tcW w:w="2237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Zdroj</w:t>
            </w:r>
          </w:p>
        </w:tc>
      </w:tr>
      <w:tr>
        <w:trPr/>
        <w:tc>
          <w:tcPr>
            <w:tcW w:w="271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Produktové tržby</w:t>
            </w:r>
          </w:p>
        </w:tc>
        <w:tc>
          <w:tcPr>
            <w:tcW w:w="513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trong"/>
              </w:rPr>
              <w:t>0 Kč</w:t>
            </w:r>
          </w:p>
        </w:tc>
        <w:tc>
          <w:tcPr>
            <w:tcW w:w="223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potvrzené vstupy od Petra</w:t>
            </w:r>
          </w:p>
        </w:tc>
      </w:tr>
      <w:tr>
        <w:trPr/>
        <w:tc>
          <w:tcPr>
            <w:tcW w:w="271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Dokončené prodeje</w:t>
            </w:r>
          </w:p>
        </w:tc>
        <w:tc>
          <w:tcPr>
            <w:tcW w:w="513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trong"/>
              </w:rPr>
              <w:t>0</w:t>
            </w:r>
          </w:p>
        </w:tc>
        <w:tc>
          <w:tcPr>
            <w:tcW w:w="223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potvrzené vstupy od Petra</w:t>
            </w:r>
          </w:p>
        </w:tc>
      </w:tr>
      <w:tr>
        <w:trPr/>
        <w:tc>
          <w:tcPr>
            <w:tcW w:w="271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Uzavřené partnerství/spolupráce</w:t>
            </w:r>
          </w:p>
        </w:tc>
        <w:tc>
          <w:tcPr>
            <w:tcW w:w="513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trong"/>
              </w:rPr>
              <w:t>žádné</w:t>
            </w:r>
          </w:p>
        </w:tc>
        <w:tc>
          <w:tcPr>
            <w:tcW w:w="223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potvrzené vstupy od Petra</w:t>
            </w:r>
          </w:p>
        </w:tc>
      </w:tr>
      <w:tr>
        <w:trPr/>
        <w:tc>
          <w:tcPr>
            <w:tcW w:w="271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První pilot</w:t>
            </w:r>
          </w:p>
        </w:tc>
        <w:tc>
          <w:tcPr>
            <w:tcW w:w="513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neúspěšný</w:t>
            </w:r>
          </w:p>
        </w:tc>
        <w:tc>
          <w:tcPr>
            <w:tcW w:w="223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potvrzené vstupy od Petra</w:t>
            </w:r>
          </w:p>
        </w:tc>
      </w:tr>
      <w:tr>
        <w:trPr/>
        <w:tc>
          <w:tcPr>
            <w:tcW w:w="271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Další pilot</w:t>
            </w:r>
          </w:p>
        </w:tc>
        <w:tc>
          <w:tcPr>
            <w:tcW w:w="513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neproběhl</w:t>
            </w:r>
          </w:p>
        </w:tc>
        <w:tc>
          <w:tcPr>
            <w:tcW w:w="223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potvrzené vstupy od Petra</w:t>
            </w:r>
          </w:p>
        </w:tc>
      </w:tr>
      <w:tr>
        <w:trPr/>
        <w:tc>
          <w:tcPr>
            <w:tcW w:w="271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Stálí interní zaměstnanci</w:t>
            </w:r>
          </w:p>
        </w:tc>
        <w:tc>
          <w:tcPr>
            <w:tcW w:w="513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0 na začátku i na konci</w:t>
            </w:r>
          </w:p>
        </w:tc>
        <w:tc>
          <w:tcPr>
            <w:tcW w:w="223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potvrzené vstupy od Petra</w:t>
            </w:r>
          </w:p>
        </w:tc>
      </w:tr>
      <w:tr>
        <w:trPr/>
        <w:tc>
          <w:tcPr>
            <w:tcW w:w="271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Vývoj</w:t>
            </w:r>
          </w:p>
        </w:tc>
        <w:tc>
          <w:tcPr>
            <w:tcW w:w="513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silně podporovaný AI, externí spolupracovníci podle potřeby</w:t>
            </w:r>
          </w:p>
        </w:tc>
        <w:tc>
          <w:tcPr>
            <w:tcW w:w="223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potvrzené vstupy od Petra</w:t>
            </w:r>
          </w:p>
        </w:tc>
      </w:tr>
      <w:tr>
        <w:trPr/>
        <w:tc>
          <w:tcPr>
            <w:tcW w:w="271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B2B nákup</w:t>
            </w:r>
          </w:p>
        </w:tc>
        <w:tc>
          <w:tcPr>
            <w:tcW w:w="513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pomalý a obtížný bez dedikovaného sales a kontaktů na HR/L&amp;D</w:t>
            </w:r>
          </w:p>
        </w:tc>
        <w:tc>
          <w:tcPr>
            <w:tcW w:w="223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potvrzené vstupy od Petra</w:t>
            </w:r>
          </w:p>
        </w:tc>
      </w:tr>
    </w:tbl>
    <w:p>
      <w:pPr>
        <w:pStyle w:val="Heading2"/>
        <w:bidi w:val="0"/>
        <w:ind w:hanging="0" w:left="0" w:right="0"/>
        <w:jc w:val="left"/>
        <w:rPr/>
      </w:pPr>
      <w:bookmarkStart w:id="7" w:name="4-soucasna-seo-evidence-o-trhu-a-poptavc"/>
      <w:bookmarkEnd w:id="7"/>
      <w:r>
        <w:rPr/>
        <w:t>4. Současná SEO evidence o trhu a poptávce</w:t>
      </w:r>
    </w:p>
    <w:p>
      <w:pPr>
        <w:pStyle w:val="BodyText"/>
        <w:bidi w:val="0"/>
        <w:jc w:val="left"/>
        <w:rPr/>
      </w:pPr>
      <w:r>
        <w:rPr/>
        <w:t>Tato část není novým průzkumem trhu. Shrnuje pouze současnou SEO/SERP evidence pro obsahovou prioritizaci. Historická tržní analýza byla podle potvrzených podkladů dokončena dříve; její lokální evidenční propojení zůstává samostatným úkolem.</w:t>
      </w:r>
    </w:p>
    <w:p>
      <w:pPr>
        <w:pStyle w:val="Heading3"/>
        <w:bidi w:val="0"/>
        <w:ind w:hanging="0" w:left="0" w:right="0"/>
        <w:jc w:val="left"/>
        <w:rPr/>
      </w:pPr>
      <w:bookmarkStart w:id="8" w:name="4-1-co-seo-skutecne-ukazuje"/>
      <w:bookmarkEnd w:id="8"/>
      <w:r>
        <w:rPr/>
        <w:t>4.1 Co SEO skutečně ukazuje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Technický základ webu je použitelný, ale chybí cílové obsahové stránky. 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Anglický source-to-course shluk má v jednom odebraném SERP vzorku relativně příznivé složení menších dodavatelů a konkrétních vstupních formátů. 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Česká obecná fráze „kurz“ je významově nejednoznačná. Pro produktový obsah je nutné „e-learning“, „školení zaměstnanců“ nebo konkrétní vstup. 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SEO balíček obsahuje audience questions, obsahová zadání a seznam témat, která nyní necílit. 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 xml:space="preserve">Přesná měsíční hledanost a Google Trends nejsou dostupné. Zjištění nejsou důkazem velikosti placeného trhu. </w:t>
      </w:r>
    </w:p>
    <w:p>
      <w:pPr>
        <w:pStyle w:val="Heading3"/>
        <w:bidi w:val="0"/>
        <w:ind w:hanging="0" w:left="0" w:right="0"/>
        <w:jc w:val="left"/>
        <w:rPr/>
      </w:pPr>
      <w:bookmarkStart w:id="9" w:name="4-2-co-seo-neukazuje"/>
      <w:bookmarkEnd w:id="9"/>
      <w:r>
        <w:rPr/>
        <w:t>4.2 Co SEO neukazuje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ochotu platit; 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aktivaci uvnitř produktu; 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délku obchodního cyklu konkrétního segmentu; 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cenu, kterou trh přijme; 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požadovanou míru podpory; 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retenci; 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 xml:space="preserve">důvod neúspěchu prvního pilotu. </w:t>
      </w:r>
    </w:p>
    <w:p>
      <w:pPr>
        <w:pStyle w:val="Heading2"/>
        <w:bidi w:val="0"/>
        <w:ind w:hanging="0" w:left="0" w:right="0"/>
        <w:jc w:val="left"/>
        <w:rPr/>
      </w:pPr>
      <w:bookmarkStart w:id="10" w:name="5-silne-stranky"/>
      <w:bookmarkEnd w:id="10"/>
      <w:r>
        <w:rPr/>
        <w:t>5. Silné stránky</w:t>
      </w:r>
    </w:p>
    <w:p>
      <w:pPr>
        <w:pStyle w:val="Heading3"/>
        <w:bidi w:val="0"/>
        <w:ind w:hanging="0" w:left="0" w:right="0"/>
        <w:jc w:val="left"/>
        <w:rPr/>
      </w:pPr>
      <w:bookmarkStart w:id="11" w:name="5-1-jasny-mechanismus-hodnoty"/>
      <w:bookmarkEnd w:id="11"/>
      <w:r>
        <w:rPr/>
        <w:t>5.1 Jasný mechanismus hodnoty</w:t>
      </w:r>
    </w:p>
    <w:p>
      <w:pPr>
        <w:pStyle w:val="BodyText"/>
        <w:bidi w:val="0"/>
        <w:jc w:val="left"/>
        <w:rPr/>
      </w:pPr>
      <w:r>
        <w:rPr/>
        <w:t>Vstupem jsou materiály, které už autor má. Výstupem není jen volný text, ale propojená struktura. Mechanismus lze ukázat obrazovkou a konkrétním příkladem.</w:t>
      </w:r>
    </w:p>
    <w:p>
      <w:pPr>
        <w:pStyle w:val="Heading3"/>
        <w:bidi w:val="0"/>
        <w:ind w:hanging="0" w:left="0" w:right="0"/>
        <w:jc w:val="left"/>
        <w:rPr/>
      </w:pPr>
      <w:bookmarkStart w:id="12" w:name="5-2-editovatelnost-a-kontrola-autora"/>
      <w:bookmarkEnd w:id="12"/>
      <w:r>
        <w:rPr/>
        <w:t>5.2 Editovatelnost a kontrola autora</w:t>
      </w:r>
    </w:p>
    <w:p>
      <w:pPr>
        <w:pStyle w:val="BodyText"/>
        <w:bidi w:val="0"/>
        <w:jc w:val="left"/>
        <w:rPr/>
      </w:pPr>
      <w:r>
        <w:rPr/>
        <w:t>Produktový příslib není „AI všechno udělá správně“, ale „autor nezačne od nuly“. To je důvěryhodnější a odpovídá skutečnému workflow.</w:t>
      </w:r>
    </w:p>
    <w:p>
      <w:pPr>
        <w:pStyle w:val="Heading3"/>
        <w:bidi w:val="0"/>
        <w:ind w:hanging="0" w:left="0" w:right="0"/>
        <w:jc w:val="left"/>
        <w:rPr/>
      </w:pPr>
      <w:bookmarkStart w:id="13" w:name="5-3-existujici-vizualni-identita"/>
      <w:bookmarkEnd w:id="13"/>
      <w:r>
        <w:rPr/>
        <w:t>5.3 Existující vizuální identita</w:t>
      </w:r>
    </w:p>
    <w:p>
      <w:pPr>
        <w:pStyle w:val="BodyText"/>
        <w:bidi w:val="0"/>
        <w:jc w:val="left"/>
        <w:rPr/>
      </w:pPr>
      <w:r>
        <w:rPr/>
        <w:t>Logo, typografie a barvy jsou rozpoznatelné a současný produkt je používá. Není nutná nová značka; je nutná důslednost.</w:t>
      </w:r>
    </w:p>
    <w:p>
      <w:pPr>
        <w:pStyle w:val="Heading3"/>
        <w:bidi w:val="0"/>
        <w:ind w:hanging="0" w:left="0" w:right="0"/>
        <w:jc w:val="left"/>
        <w:rPr/>
      </w:pPr>
      <w:bookmarkStart w:id="14" w:name="5-4-lokalizovany-produkt-a-web"/>
      <w:bookmarkEnd w:id="14"/>
      <w:r>
        <w:rPr/>
        <w:t>5.4 Lokalizovaný produkt a web</w:t>
      </w:r>
    </w:p>
    <w:p>
      <w:pPr>
        <w:pStyle w:val="BodyText"/>
        <w:bidi w:val="0"/>
        <w:jc w:val="left"/>
        <w:rPr/>
      </w:pPr>
      <w:r>
        <w:rPr/>
        <w:t>Čeština a angličtina umožňují testovat dvě rozdílné jazykové větve. SEO analýza ukazuje, že se nemají překládat mechanicky.</w:t>
      </w:r>
    </w:p>
    <w:p>
      <w:pPr>
        <w:pStyle w:val="Heading3"/>
        <w:bidi w:val="0"/>
        <w:ind w:hanging="0" w:left="0" w:right="0"/>
        <w:jc w:val="left"/>
        <w:rPr/>
      </w:pPr>
      <w:bookmarkStart w:id="15" w:name="5-5-reprodukovatelne-podklady"/>
      <w:bookmarkEnd w:id="15"/>
      <w:r>
        <w:rPr/>
        <w:t>5.5 Reprodukovatelné podklady</w:t>
      </w:r>
    </w:p>
    <w:p>
      <w:pPr>
        <w:pStyle w:val="BodyText"/>
        <w:bidi w:val="0"/>
        <w:jc w:val="left"/>
        <w:rPr/>
      </w:pPr>
      <w:r>
        <w:rPr/>
        <w:t>Existují metodiky, SEO data, zdrojové texty, screenshoty a dokumentové buildy. Strategická tvrzení lze průběžně ověřovat.</w:t>
      </w:r>
    </w:p>
    <w:p>
      <w:pPr>
        <w:pStyle w:val="Heading2"/>
        <w:bidi w:val="0"/>
        <w:ind w:hanging="0" w:left="0" w:right="0"/>
        <w:jc w:val="left"/>
        <w:rPr/>
      </w:pPr>
      <w:bookmarkStart w:id="16" w:name="6-slabe-stranky-a-omezeni"/>
      <w:bookmarkEnd w:id="16"/>
      <w:r>
        <w:rPr/>
        <w:t>6. Slabé stránky a omezení</w:t>
      </w:r>
    </w:p>
    <w:p>
      <w:pPr>
        <w:pStyle w:val="Heading3"/>
        <w:bidi w:val="0"/>
        <w:ind w:hanging="0" w:left="0" w:right="0"/>
        <w:jc w:val="left"/>
        <w:rPr/>
      </w:pPr>
      <w:bookmarkStart w:id="17" w:name="6-1-nulova-komercni-validace"/>
      <w:bookmarkEnd w:id="17"/>
      <w:r>
        <w:rPr/>
        <w:t>6.1 Nulová komerční validace</w:t>
      </w:r>
    </w:p>
    <w:p>
      <w:pPr>
        <w:pStyle w:val="BodyText"/>
        <w:bidi w:val="0"/>
        <w:jc w:val="left"/>
        <w:rPr/>
      </w:pPr>
      <w:r>
        <w:rPr/>
        <w:t>Bez prodeje a úspěšného pilotu nelze používat sociální důkaz, odhadovat konverze ani mluvit o product-market fit.</w:t>
      </w:r>
    </w:p>
    <w:p>
      <w:pPr>
        <w:pStyle w:val="Heading3"/>
        <w:bidi w:val="0"/>
        <w:ind w:hanging="0" w:left="0" w:right="0"/>
        <w:jc w:val="left"/>
        <w:rPr/>
      </w:pPr>
      <w:bookmarkStart w:id="18" w:name="6-2-chybejici-obchodni-kapacita"/>
      <w:bookmarkEnd w:id="18"/>
      <w:r>
        <w:rPr/>
        <w:t>6.2 Chybějící obchodní kapacita</w:t>
      </w:r>
    </w:p>
    <w:p>
      <w:pPr>
        <w:pStyle w:val="BodyText"/>
        <w:bidi w:val="0"/>
        <w:jc w:val="left"/>
        <w:rPr/>
      </w:pPr>
      <w:r>
        <w:rPr/>
        <w:t>B2B strategie bez konkrétního vlastníka sales může vytvořit dokumenty, ale ne důkaz. Odpovědnost musí být přidělena po rolích a kapacitě.</w:t>
      </w:r>
    </w:p>
    <w:p>
      <w:pPr>
        <w:pStyle w:val="Heading3"/>
        <w:bidi w:val="0"/>
        <w:ind w:hanging="0" w:left="0" w:right="0"/>
        <w:jc w:val="left"/>
        <w:rPr/>
      </w:pPr>
      <w:bookmarkStart w:id="19" w:name="6-3-mala-obsahova-vrstva-webu"/>
      <w:bookmarkEnd w:id="19"/>
      <w:r>
        <w:rPr/>
        <w:t>6.3 Malá obsahová vrstva webu</w:t>
      </w:r>
    </w:p>
    <w:p>
      <w:pPr>
        <w:pStyle w:val="BodyText"/>
        <w:bidi w:val="0"/>
        <w:jc w:val="left"/>
        <w:rPr/>
      </w:pPr>
      <w:r>
        <w:rPr/>
        <w:t>Technický web nestačí k zachycení konkrétních use cases. Reklama bez cílových stránek by posílala návštěvníky na příliš obecný vstup.</w:t>
      </w:r>
    </w:p>
    <w:p>
      <w:pPr>
        <w:pStyle w:val="Heading3"/>
        <w:bidi w:val="0"/>
        <w:ind w:hanging="0" w:left="0" w:right="0"/>
        <w:jc w:val="left"/>
        <w:rPr/>
      </w:pPr>
      <w:bookmarkStart w:id="20" w:name="6-4-duvera-a-produktove-limity"/>
      <w:bookmarkEnd w:id="20"/>
      <w:r>
        <w:rPr/>
        <w:t>6.4 Důvěra a produktové limity</w:t>
      </w:r>
    </w:p>
    <w:p>
      <w:pPr>
        <w:pStyle w:val="BodyText"/>
        <w:bidi w:val="0"/>
        <w:jc w:val="left"/>
        <w:rPr/>
      </w:pPr>
      <w:r>
        <w:rPr>
          <w:rStyle w:val="Strong"/>
        </w:rPr>
        <w:t>Hypotéza k ověření:</w:t>
      </w:r>
      <w:r>
        <w:rPr/>
        <w:t xml:space="preserve"> B2B nákup mohou blokovat požadavky na kvalitu, práci se zdroji, bezpečnost, export, integrace a odpovědnost. Ověřit v kvalifikačních rozhovorech a placené nabídce; do té doby je nevydávat za doložené námitky trhu.</w:t>
      </w:r>
    </w:p>
    <w:p>
      <w:pPr>
        <w:pStyle w:val="Heading3"/>
        <w:bidi w:val="0"/>
        <w:ind w:hanging="0" w:left="0" w:right="0"/>
        <w:jc w:val="left"/>
        <w:rPr/>
      </w:pPr>
      <w:bookmarkStart w:id="21" w:name="6-5-neznamy-duvod-neuspechu-pilotu"/>
      <w:bookmarkEnd w:id="21"/>
      <w:r>
        <w:rPr/>
        <w:t>6.5 Neznámý důvod neúspěchu pilotu</w:t>
      </w:r>
    </w:p>
    <w:p>
      <w:pPr>
        <w:pStyle w:val="BodyText"/>
        <w:bidi w:val="0"/>
        <w:jc w:val="left"/>
        <w:rPr/>
      </w:pPr>
      <w:r>
        <w:rPr/>
        <w:t>Dostupná evidence potvrzuje výsledek, ne root cause. Opakovat pilot stejným způsobem bez retrospektivy by bylo neřízené.</w:t>
      </w:r>
    </w:p>
    <w:p>
      <w:pPr>
        <w:pStyle w:val="Heading3"/>
        <w:bidi w:val="0"/>
        <w:ind w:hanging="0" w:left="0" w:right="0"/>
        <w:jc w:val="left"/>
        <w:rPr/>
      </w:pPr>
      <w:bookmarkStart w:id="22" w:name="6-6-historicky-manual-byl-nedokonceny"/>
      <w:bookmarkEnd w:id="22"/>
      <w:r>
        <w:rPr/>
        <w:t>6.6 Historický manuál byl nedokončený</w:t>
      </w:r>
    </w:p>
    <w:p>
      <w:pPr>
        <w:pStyle w:val="BodyText"/>
        <w:bidi w:val="0"/>
        <w:jc w:val="left"/>
        <w:rPr/>
      </w:pPr>
      <w:r>
        <w:rPr/>
        <w:t>Původní Design Manual obsahuje prázdná místa pro copy a vizuální aplikace. Tento balíček je doplňuje, ale nevytváří důkaz o původním procesu nebo schválení.</w:t>
      </w:r>
    </w:p>
    <w:p>
      <w:pPr>
        <w:pStyle w:val="Heading2"/>
        <w:bidi w:val="0"/>
        <w:ind w:hanging="0" w:left="0" w:right="0"/>
        <w:jc w:val="left"/>
        <w:rPr/>
      </w:pPr>
      <w:bookmarkStart w:id="23" w:name="7-prilezitosti"/>
      <w:bookmarkEnd w:id="23"/>
      <w:r>
        <w:rPr/>
        <w:t>7. Příležitosti</w:t>
      </w:r>
    </w:p>
    <w:p>
      <w:pPr>
        <w:pStyle w:val="BodyText"/>
        <w:bidi w:val="0"/>
        <w:jc w:val="left"/>
        <w:rPr/>
      </w:pPr>
      <w:r>
        <w:rPr/>
        <w:t xml:space="preserve">Všechny body jsou </w:t>
      </w:r>
      <w:r>
        <w:rPr>
          <w:rStyle w:val="Strong"/>
        </w:rPr>
        <w:t>strategické hypotézy</w:t>
      </w:r>
      <w:r>
        <w:rPr/>
        <w:t>: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Anglický source-to-course obsah pro konkrétní vstupy: PDF, slides, webinar, SOP/docs. 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Český obsah pro tvorbu e-learningu, onboarding a interní školení. 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Placený pilot na jednom omezeném interním materiálu. 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Self-service cesta pro lektory a experty s kratším rozhodováním. 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Produktové ukázky vstup/výstup jako náhrada chybějících zákaznických referencí. 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 xml:space="preserve">Transparentní komunikace kontroly zdrojové podloženosti. </w:t>
      </w:r>
    </w:p>
    <w:p>
      <w:pPr>
        <w:pStyle w:val="Heading2"/>
        <w:bidi w:val="0"/>
        <w:ind w:hanging="0" w:left="0" w:right="0"/>
        <w:jc w:val="left"/>
        <w:rPr/>
      </w:pPr>
      <w:bookmarkStart w:id="24" w:name="8-hrozby"/>
      <w:bookmarkEnd w:id="24"/>
      <w:r>
        <w:rPr/>
        <w:t>8. Hrozby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Kategorie mismatch:</w:t>
      </w:r>
      <w:r>
        <w:rPr/>
        <w:t xml:space="preserve"> návštěvník očekává LMS, HR software nebo SCORM export. 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Přehnaný slib AI:</w:t>
      </w:r>
      <w:r>
        <w:rPr/>
        <w:t xml:space="preserve"> první nepřesnost zničí důvěru, pokud komunikace slíbila bezchybnost. 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Enterprise rozptyl:</w:t>
      </w:r>
      <w:r>
        <w:rPr/>
        <w:t xml:space="preserve"> dlouhý nákupní cyklus spotřebuje omezenou kapacitu bez výsledku. 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Obsah bez distribuce:</w:t>
      </w:r>
      <w:r>
        <w:rPr/>
        <w:t xml:space="preserve"> vzniknou stránky, ale nikdo nevlastní měření a navazující akci. 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Falešná přesnost:</w:t>
      </w:r>
      <w:r>
        <w:rPr/>
        <w:t xml:space="preserve"> SEO odhady nebo doporučené prahy budou vydány za historická data. 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Paralelní nesoulad:</w:t>
      </w:r>
      <w:r>
        <w:rPr/>
        <w:t xml:space="preserve"> strategický dokument přepíše positioning rychleji než produkt a landing page. 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rStyle w:val="Strong"/>
        </w:rPr>
        <w:t>Supplier handoff gap:</w:t>
      </w:r>
      <w:r>
        <w:rPr/>
        <w:t xml:space="preserve"> výstup existuje, ale není jasné, kdo rozhoduje a udržuje jej. </w:t>
      </w:r>
    </w:p>
    <w:p>
      <w:pPr>
        <w:pStyle w:val="Heading2"/>
        <w:bidi w:val="0"/>
        <w:ind w:hanging="0" w:left="0" w:right="0"/>
        <w:jc w:val="left"/>
        <w:rPr/>
      </w:pPr>
      <w:bookmarkStart w:id="25" w:name="9-zname-nezname"/>
      <w:bookmarkEnd w:id="25"/>
      <w:r>
        <w:rPr/>
        <w:t>9. Známé neznámé</w:t>
      </w:r>
    </w:p>
    <w:tbl>
      <w:tblPr>
        <w:tblW w:w="10092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3429"/>
        <w:gridCol w:w="2599"/>
        <w:gridCol w:w="4064"/>
      </w:tblGrid>
      <w:tr>
        <w:trPr>
          <w:tblHeader w:val="true"/>
        </w:trPr>
        <w:tc>
          <w:tcPr>
            <w:tcW w:w="3429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Otázka</w:t>
            </w:r>
          </w:p>
        </w:tc>
        <w:tc>
          <w:tcPr>
            <w:tcW w:w="2599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Proč rozhoduje</w:t>
            </w:r>
          </w:p>
        </w:tc>
        <w:tc>
          <w:tcPr>
            <w:tcW w:w="4064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Jak ověřit</w:t>
            </w:r>
          </w:p>
        </w:tc>
      </w:tr>
      <w:tr>
        <w:trPr/>
        <w:tc>
          <w:tcPr>
            <w:tcW w:w="342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Proč první pilot selhal?</w:t>
            </w:r>
          </w:p>
        </w:tc>
        <w:tc>
          <w:tcPr>
            <w:tcW w:w="259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bez příčiny nelze navrhnout druhý</w:t>
            </w:r>
          </w:p>
        </w:tc>
        <w:tc>
          <w:tcPr>
            <w:tcW w:w="406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strukturovaná retrospektiva nad skutečným případem</w:t>
            </w:r>
          </w:p>
        </w:tc>
      </w:tr>
      <w:tr>
        <w:trPr/>
        <w:tc>
          <w:tcPr>
            <w:tcW w:w="342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Který krok nejčastěji zastaví autora?</w:t>
            </w:r>
          </w:p>
        </w:tc>
        <w:tc>
          <w:tcPr>
            <w:tcW w:w="259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určuje aktivaci a onboarding</w:t>
            </w:r>
          </w:p>
        </w:tc>
        <w:tc>
          <w:tcPr>
            <w:tcW w:w="406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instrumentace + pozorované průchody</w:t>
            </w:r>
          </w:p>
        </w:tc>
      </w:tr>
      <w:tr>
        <w:trPr/>
        <w:tc>
          <w:tcPr>
            <w:tcW w:w="342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Který segment má nejvyšší naléhavost?</w:t>
            </w:r>
          </w:p>
        </w:tc>
        <w:tc>
          <w:tcPr>
            <w:tcW w:w="259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určuje obchodní fokus</w:t>
            </w:r>
          </w:p>
        </w:tc>
        <w:tc>
          <w:tcPr>
            <w:tcW w:w="406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rozhovor nad konkrétním materiálem + placená nabídka</w:t>
            </w:r>
          </w:p>
        </w:tc>
      </w:tr>
      <w:tr>
        <w:trPr/>
        <w:tc>
          <w:tcPr>
            <w:tcW w:w="342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Jaká je přijímaná cena?</w:t>
            </w:r>
          </w:p>
        </w:tc>
        <w:tc>
          <w:tcPr>
            <w:tcW w:w="259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určuje model</w:t>
            </w:r>
          </w:p>
        </w:tc>
        <w:tc>
          <w:tcPr>
            <w:tcW w:w="406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nabídnout cenu, neměřit jen deklarovaný zájem</w:t>
            </w:r>
          </w:p>
        </w:tc>
      </w:tr>
      <w:tr>
        <w:trPr/>
        <w:tc>
          <w:tcPr>
            <w:tcW w:w="342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Kolik podpory vyžaduje první návrh?</w:t>
            </w:r>
          </w:p>
        </w:tc>
        <w:tc>
          <w:tcPr>
            <w:tcW w:w="259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určuje ekonomiku self-service</w:t>
            </w:r>
          </w:p>
        </w:tc>
        <w:tc>
          <w:tcPr>
            <w:tcW w:w="406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evidovat zásahy a čas podpory</w:t>
            </w:r>
          </w:p>
        </w:tc>
      </w:tr>
      <w:tr>
        <w:trPr/>
        <w:tc>
          <w:tcPr>
            <w:tcW w:w="342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Jaké exporty/integrace jsou skutečně nutné?</w:t>
            </w:r>
          </w:p>
        </w:tc>
        <w:tc>
          <w:tcPr>
            <w:tcW w:w="259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určuje roadmapu</w:t>
            </w:r>
          </w:p>
        </w:tc>
        <w:tc>
          <w:tcPr>
            <w:tcW w:w="406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kvalifikovat deal-breaker, ne wishlist</w:t>
            </w:r>
          </w:p>
        </w:tc>
      </w:tr>
      <w:tr>
        <w:trPr/>
        <w:tc>
          <w:tcPr>
            <w:tcW w:w="342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Je anglický source-to-course traffic kvalitní?</w:t>
            </w:r>
          </w:p>
        </w:tc>
        <w:tc>
          <w:tcPr>
            <w:tcW w:w="259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určuje obsahovou prioritu</w:t>
            </w:r>
          </w:p>
        </w:tc>
        <w:tc>
          <w:tcPr>
            <w:tcW w:w="406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publikovat stránky a měřit aktivaci podle zdroje</w:t>
            </w:r>
          </w:p>
        </w:tc>
      </w:tr>
      <w:tr>
        <w:trPr/>
        <w:tc>
          <w:tcPr>
            <w:tcW w:w="342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Kdo vlastní sales a marketing?</w:t>
            </w:r>
          </w:p>
        </w:tc>
        <w:tc>
          <w:tcPr>
            <w:tcW w:w="259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bez vlastníka není test</w:t>
            </w:r>
          </w:p>
        </w:tc>
        <w:tc>
          <w:tcPr>
            <w:tcW w:w="406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explicitně přidělit roli, čas a cíl</w:t>
            </w:r>
          </w:p>
        </w:tc>
      </w:tr>
    </w:tbl>
    <w:p>
      <w:pPr>
        <w:pStyle w:val="Heading2"/>
        <w:bidi w:val="0"/>
        <w:ind w:hanging="0" w:left="0" w:right="0"/>
        <w:jc w:val="left"/>
        <w:rPr/>
      </w:pPr>
      <w:bookmarkStart w:id="26" w:name="10-co-bylo-z-analyzy-vylouceno"/>
      <w:bookmarkEnd w:id="26"/>
      <w:r>
        <w:rPr/>
        <w:t>10. Co bylo z analýzy vyloučeno</w:t>
      </w:r>
    </w:p>
    <w:p>
      <w:pPr>
        <w:pStyle w:val="BodyText"/>
        <w:bidi w:val="0"/>
        <w:jc w:val="left"/>
        <w:rPr/>
      </w:pPr>
      <w:r>
        <w:rPr/>
        <w:t>Nebyla vytvořena ani domýšlena: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historická Discovery Session; 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jména účastníků, citace, závěry nebo schválení setkání; 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zákazníci, reference, prodeje nebo partnerství; 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příčina neúspěchu pilotu; 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přesná search volume; 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historické funnel metriky; 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konkrétní ROI nebo úspora času; 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schopnosti produktu, které nejsou ověřené; 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autorství nebo dodavatelská historie původního manuálu; 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změny aplikace nebo landing page; 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 xml:space="preserve">nový nebo náhradní průzkum trhu; současná SEO evidence slouží pouze k nové obsahové prioritizaci. </w:t>
      </w:r>
    </w:p>
    <w:p>
      <w:pPr>
        <w:pStyle w:val="Heading2"/>
        <w:bidi w:val="0"/>
        <w:ind w:hanging="0" w:left="0" w:right="0"/>
        <w:jc w:val="left"/>
        <w:rPr/>
      </w:pPr>
      <w:bookmarkStart w:id="27" w:name="11-rozhodnuti-plynouci-z-analyzy"/>
      <w:bookmarkEnd w:id="27"/>
      <w:r>
        <w:rPr/>
        <w:t>11. Rozhodnutí plynoucí z analýzy</w:t>
      </w:r>
    </w:p>
    <w:p>
      <w:pPr>
        <w:pStyle w:val="Heading3"/>
        <w:bidi w:val="0"/>
        <w:ind w:hanging="0" w:left="0" w:right="0"/>
        <w:jc w:val="left"/>
        <w:rPr/>
      </w:pPr>
      <w:bookmarkStart w:id="28" w:name="rozhodnuti-1-drzet-jednu-znackovou-osu"/>
      <w:bookmarkEnd w:id="28"/>
      <w:r>
        <w:rPr/>
        <w:t>Rozhodnutí 1 — držet jednu značkovou osu</w:t>
      </w:r>
    </w:p>
    <w:p>
      <w:pPr>
        <w:pStyle w:val="BodyText"/>
        <w:bidi w:val="0"/>
        <w:jc w:val="left"/>
        <w:rPr/>
      </w:pPr>
      <w:r>
        <w:rPr/>
        <w:t>Coursition = z podkladů do propojeného prvního návrhu pod kontrolou autora. Tuto osu používat v brandu, copy, marketingu a webové mapě.</w:t>
      </w:r>
    </w:p>
    <w:p>
      <w:pPr>
        <w:pStyle w:val="Heading3"/>
        <w:bidi w:val="0"/>
        <w:ind w:hanging="0" w:left="0" w:right="0"/>
        <w:jc w:val="left"/>
        <w:rPr/>
      </w:pPr>
      <w:bookmarkStart w:id="29" w:name="rozhodnuti-2-nejprve-aktivace-a-placeny-"/>
      <w:bookmarkEnd w:id="29"/>
      <w:r>
        <w:rPr/>
        <w:t>Rozhodnutí 2 — nejprve aktivace a placený use case</w:t>
      </w:r>
    </w:p>
    <w:p>
      <w:pPr>
        <w:pStyle w:val="BodyText"/>
        <w:bidi w:val="0"/>
        <w:jc w:val="left"/>
        <w:rPr/>
      </w:pPr>
      <w:r>
        <w:rPr/>
        <w:t>Měřit postup od zdroje k první úpravě. Nabízet omezený placený pilot. Nezaměňovat registraci za hodnotu.</w:t>
      </w:r>
    </w:p>
    <w:p>
      <w:pPr>
        <w:pStyle w:val="Heading3"/>
        <w:bidi w:val="0"/>
        <w:ind w:hanging="0" w:left="0" w:right="0"/>
        <w:jc w:val="left"/>
        <w:rPr/>
      </w:pPr>
      <w:bookmarkStart w:id="30" w:name="rozhodnuti-3-dve-jazykove-strategie"/>
      <w:bookmarkEnd w:id="30"/>
      <w:r>
        <w:rPr/>
        <w:t>Rozhodnutí 3 — dvě jazykové strategie</w:t>
      </w:r>
    </w:p>
    <w:p>
      <w:pPr>
        <w:pStyle w:val="BodyText"/>
        <w:bidi w:val="0"/>
        <w:jc w:val="left"/>
        <w:rPr/>
      </w:pPr>
      <w:r>
        <w:rPr/>
        <w:t>Anglicky konkrétní source-to-course formáty. Česky e-learning a konkrétní firemní situace. Nepřekládat stránky jedna ku jedné.</w:t>
      </w:r>
    </w:p>
    <w:p>
      <w:pPr>
        <w:pStyle w:val="Heading3"/>
        <w:bidi w:val="0"/>
        <w:ind w:hanging="0" w:left="0" w:right="0"/>
        <w:jc w:val="left"/>
        <w:rPr/>
      </w:pPr>
      <w:bookmarkStart w:id="31" w:name="rozhodnuti-4-dukaz-produktem-ne-referenc"/>
      <w:bookmarkEnd w:id="31"/>
      <w:r>
        <w:rPr/>
        <w:t>Rozhodnutí 4 — důkaz produktem, ne referencí</w:t>
      </w:r>
    </w:p>
    <w:p>
      <w:pPr>
        <w:pStyle w:val="BodyText"/>
        <w:bidi w:val="0"/>
        <w:jc w:val="left"/>
        <w:rPr/>
      </w:pPr>
      <w:r>
        <w:rPr/>
        <w:t>Dokud neexistují zákazníci, používat reálné ukázky vstupu a výstupu, metodiku a transparentní omezení.</w:t>
      </w:r>
    </w:p>
    <w:p>
      <w:pPr>
        <w:pStyle w:val="Heading3"/>
        <w:bidi w:val="0"/>
        <w:ind w:hanging="0" w:left="0" w:right="0"/>
        <w:jc w:val="left"/>
        <w:rPr/>
      </w:pPr>
      <w:bookmarkStart w:id="32" w:name="rozhodnuti-5-neskalovat-bez-vlastnika"/>
      <w:bookmarkEnd w:id="32"/>
      <w:r>
        <w:rPr/>
        <w:t>Rozhodnutí 5 — neškálovat bez vlastníka</w:t>
      </w:r>
    </w:p>
    <w:p>
      <w:pPr>
        <w:pStyle w:val="BodyText"/>
        <w:bidi w:val="0"/>
        <w:jc w:val="left"/>
        <w:rPr/>
      </w:pPr>
      <w:r>
        <w:rPr/>
        <w:t>Marketingový a obchodní plán platí pouze s přidělenou rolí a kapacitou. Pokud chybí, má být výsledkem rozhodnutí o pauze, ne další seznam aktivit.</w:t>
      </w:r>
    </w:p>
    <w:p>
      <w:pPr>
        <w:pStyle w:val="Heading2"/>
        <w:bidi w:val="0"/>
        <w:ind w:hanging="0" w:left="0" w:right="0"/>
        <w:jc w:val="left"/>
        <w:rPr/>
      </w:pPr>
      <w:bookmarkStart w:id="33" w:name="12-otazky-pro-prevzeti-a-dalsi-rozhodnut"/>
      <w:bookmarkEnd w:id="33"/>
      <w:r>
        <w:rPr/>
        <w:t>12. Otázky pro převzetí a další rozhodnutí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Kdo bude po dobu 90 dnů vlastníkem produktové aktivace, marketingu a obchodu? 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Lze rekonstruovat první pilot natolik, aby byla známa příčina selhání a změna pro další test? 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Který jeden materiál/use case bude použit pro první placenou nabídku? 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Jaké produktové limity se uvedou přímo v nabídce pilotu? 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Jaký rozpočet a čas jsou skutečně dostupné pro obsah a obchod? 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Kdo smí schvalovat veřejná tvrzení a použití vizuálů? 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 xml:space="preserve">Kdy se strategie znovu vyhodnotí podle reálných dat? </w:t>
      </w:r>
    </w:p>
    <w:p>
      <w:pPr>
        <w:pStyle w:val="Heading2"/>
        <w:bidi w:val="0"/>
        <w:ind w:hanging="0" w:left="0" w:right="0"/>
        <w:jc w:val="left"/>
        <w:rPr/>
      </w:pPr>
      <w:bookmarkStart w:id="34" w:name="13-zdrojovy-registr"/>
      <w:bookmarkEnd w:id="34"/>
      <w:r>
        <w:rPr/>
        <w:t>13. Zdrojový registr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ourceText"/>
        </w:rPr>
        <w:t>potvrzené interní vstupy vedení Coursition</w:t>
      </w:r>
      <w:r>
        <w:rPr/>
        <w:t xml:space="preserve"> 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ourceText"/>
        </w:rPr>
        <w:t>SEO analýza a manuál Coursition</w:t>
      </w:r>
      <w:r>
        <w:rPr/>
        <w:t xml:space="preserve"> 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ourceText"/>
        </w:rPr>
        <w:t>strategická data SEO: cluster verdicts</w:t>
      </w:r>
      <w:r>
        <w:rPr/>
        <w:t xml:space="preserve"> 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ourceText"/>
        </w:rPr>
        <w:t>strategická data SEO: do-not-target</w:t>
      </w:r>
      <w:r>
        <w:rPr/>
        <w:t xml:space="preserve"> 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ourceText"/>
        </w:rPr>
        <w:t>původní Design Manual Coursition</w:t>
      </w:r>
      <w:r>
        <w:rPr/>
        <w:t xml:space="preserve"> 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ourceText"/>
        </w:rPr>
        <w:t>uživatelská metodika Coursition</w:t>
      </w:r>
      <w:r>
        <w:rPr/>
        <w:t xml:space="preserve"> 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ourceText"/>
        </w:rPr>
        <w:t>locales/cs/translation.json</w:t>
      </w:r>
      <w:r>
        <w:rPr/>
        <w:t xml:space="preserve"> 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ourceText"/>
        </w:rPr>
        <w:t>src/features/coursition/coursition-landing-page.tsx</w:t>
      </w:r>
      <w:r>
        <w:rPr/>
        <w:t xml:space="preserve"> 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ourceText"/>
        </w:rPr>
        <w:t>src/routes/coursition-theme.css</w:t>
      </w:r>
      <w:r>
        <w:rPr/>
        <w:t xml:space="preserve"> 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ourceText"/>
        </w:rPr>
        <w:t>src/routes/coursition-landing.css</w:t>
      </w:r>
      <w:r>
        <w:rPr/>
        <w:t xml:space="preserve"> 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spacing w:before="0" w:after="140"/>
        <w:ind w:hanging="283" w:left="709"/>
        <w:jc w:val="left"/>
        <w:rPr/>
      </w:pPr>
      <w:r>
        <w:rPr>
          <w:rStyle w:val="SourceText"/>
        </w:rPr>
        <w:t>interní archiv produktových screenshotů</w:t>
      </w:r>
      <w:r>
        <w:rPr/>
        <w:t xml:space="preserve"> </w:t>
      </w:r>
    </w:p>
    <w:sectPr>
      <w:type w:val="nextPage"/>
      <w:pgSz w:w="11906" w:h="16838"/>
      <w:pgMar w:left="907" w:right="907" w:gutter="0" w:header="0" w:top="1134" w:footer="0" w:bottom="1247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Mono">
    <w:altName w:val="Courier New"/>
    <w:charset w:val="01"/>
    <w:family w:val="modern"/>
    <w:pitch w:val="fixed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7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10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1">
    <w:lvl w:ilvl="0">
      <w:start w:val="1"/>
      <w:numFmt w:val="none"/>
      <w:pStyle w:val="Heading1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pStyle w:val="Heading2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pStyle w:val="Heading3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adjustLineHeightInTable/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ngti SC" w:cs="Arial Unicode M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Songti SC" w:cs="Arial Unicode MS"/>
      <w:color w:val="auto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spacing w:before="240" w:after="120"/>
      <w:outlineLvl w:val="0"/>
    </w:pPr>
    <w:rPr>
      <w:rFonts w:ascii="Liberation Serif" w:hAnsi="Liberation Serif" w:eastAsia="Songti SC" w:cs="Arial Unicode MS"/>
      <w:b/>
      <w:bCs/>
      <w:sz w:val="48"/>
      <w:szCs w:val="48"/>
    </w:rPr>
  </w:style>
  <w:style w:type="paragraph" w:styleId="Heading2">
    <w:name w:val="heading 2"/>
    <w:basedOn w:val="Heading"/>
    <w:next w:val="BodyText"/>
    <w:qFormat/>
    <w:pPr>
      <w:spacing w:before="200" w:after="120"/>
      <w:outlineLvl w:val="1"/>
    </w:pPr>
    <w:rPr>
      <w:rFonts w:ascii="Liberation Serif" w:hAnsi="Liberation Serif" w:eastAsia="Songti SC" w:cs="Arial Unicode MS"/>
      <w:b/>
      <w:bCs/>
      <w:sz w:val="36"/>
      <w:szCs w:val="36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Songti SC" w:cs="Arial Unicode MS"/>
      <w:b/>
      <w:bCs/>
      <w:sz w:val="28"/>
      <w:szCs w:val="28"/>
    </w:rPr>
  </w:style>
  <w:style w:type="character" w:styleId="Strong">
    <w:name w:val="Strong"/>
    <w:qFormat/>
    <w:rPr>
      <w:b/>
      <w:bCs/>
    </w:rPr>
  </w:style>
  <w:style w:type="character" w:styleId="NumberingSymbols">
    <w:name w:val="Numbering Symbols"/>
    <w:qFormat/>
    <w:rPr/>
  </w:style>
  <w:style w:type="character" w:styleId="Hyperlink">
    <w:name w:val="Hyperlink"/>
    <w:rPr>
      <w:color w:val="000080"/>
      <w:u w:val="single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SourceText">
    <w:name w:val="Source Text"/>
    <w:qFormat/>
    <w:rPr>
      <w:rFonts w:ascii="Liberation Mono" w:hAnsi="Liberation Mono" w:eastAsia="Liberation Mono" w:cs="Liberation Mono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Arial Unicode MS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BlockQuotation">
    <w:name w:val="Block Quotation"/>
    <w:basedOn w:val="Normal"/>
    <w:qFormat/>
    <w:pPr>
      <w:spacing w:before="0" w:after="283"/>
      <w:ind w:hanging="0" w:left="567" w:right="567"/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coursition-1.png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LibreOffice/26.2.5.2$MacOSX_AARCH64 LibreOffice_project/cd7284b4cbbfeb507e630c1aac019f4157393acb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>Discovery a vnitřní analýza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