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21717000" cy="5657850"/>
            <wp:effectExtent l="0" t="0" r="0" b="0"/>
            <wp:docPr id="1" name="Image1" descr="Cours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oursition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0" cy="565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bidi w:val="0"/>
        <w:jc w:val="left"/>
        <w:rPr/>
      </w:pPr>
      <w:r>
        <w:rPr/>
        <w:t>Marketingová strategie</w:t>
      </w:r>
    </w:p>
    <w:p>
      <w:pPr>
        <w:pStyle w:val="BodyText"/>
        <w:bidi w:val="0"/>
        <w:jc w:val="left"/>
        <w:rPr/>
      </w:pPr>
      <w:r>
        <w:rPr/>
        <w:t>Doporučení pro validační fázi</w:t>
      </w:r>
    </w:p>
    <w:p>
      <w:pPr>
        <w:pStyle w:val="BodyText"/>
        <w:bidi w:val="0"/>
        <w:jc w:val="left"/>
        <w:rPr/>
      </w:pPr>
      <w:r>
        <w:rPr>
          <w:rStyle w:val="Strong"/>
        </w:rPr>
        <w:t>Verze dokumentu:</w:t>
      </w:r>
      <w:r>
        <w:rPr/>
        <w:t xml:space="preserve"> 1.0</w:t>
      </w:r>
    </w:p>
    <w:p>
      <w:pPr>
        <w:pStyle w:val="BodyText"/>
        <w:bidi w:val="0"/>
        <w:jc w:val="left"/>
        <w:rPr/>
      </w:pPr>
      <w:r>
        <w:rPr>
          <w:rStyle w:val="Strong"/>
        </w:rPr>
        <w:t>Datum přípravy:</w:t>
      </w:r>
      <w:r>
        <w:rPr/>
        <w:t xml:space="preserve"> 27. 7. 2026</w:t>
      </w:r>
    </w:p>
    <w:p>
      <w:pPr>
        <w:pStyle w:val="BodyText"/>
        <w:bidi w:val="0"/>
        <w:jc w:val="left"/>
        <w:rPr/>
      </w:pPr>
      <w:r>
        <w:rPr>
          <w:rStyle w:val="Strong"/>
        </w:rPr>
        <w:t>Stav dokumentu:</w:t>
      </w:r>
      <w:r>
        <w:rPr/>
        <w:t xml:space="preserve"> současné interní podklady Coursition</w:t>
      </w:r>
    </w:p>
    <w:p>
      <w:pPr>
        <w:pStyle w:val="BodyText"/>
        <w:bidi w:val="0"/>
        <w:jc w:val="left"/>
        <w:rPr/>
      </w:pPr>
      <w:r>
        <w:rPr/>
        <w:t>Interní dokument Coursition. Doporučení a hypotézy nejsou historické výsledky. Produktové a AI výstupy vyžadují lidskou kontrolu.</w:t>
      </w:r>
    </w:p>
    <w:p>
      <w:pPr>
        <w:pStyle w:val="Heading2"/>
        <w:bidi w:val="0"/>
        <w:jc w:val="left"/>
        <w:rPr/>
      </w:pPr>
      <w:r>
        <w:rPr/>
        <w:t>Obsah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-strategicky-cil">
        <w:r>
          <w:rPr>
            <w:rStyle w:val="Hyperlink"/>
          </w:rPr>
          <w:t>1. Strategický cíl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2-principy">
        <w:r>
          <w:rPr>
            <w:rStyle w:val="Hyperlink"/>
          </w:rPr>
          <w:t>2. Principy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3-validacni-vetve-a-use-cases">
        <w:r>
          <w:rPr>
            <w:rStyle w:val="Hyperlink"/>
          </w:rPr>
          <w:t>3. Validační větve a use cases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3-1-podminena-b2b-vetev-hr-a-learning-de">
        <w:r>
          <w:rPr>
            <w:rStyle w:val="Hyperlink"/>
          </w:rPr>
          <w:t>3.1 Podmíněná B2B větev — HR a Learning &amp; Development v menších a středních firmách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3-2-vychozi-nizkodotykova-vetev-nezavisl">
        <w:r>
          <w:rPr>
            <w:rStyle w:val="Hyperlink"/>
          </w:rPr>
          <w:t>3.2 Výchozí nízkodotyková větev — nezávislí lektoři a oboroví experti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3-3-pozastavena-vetev-vzdelavaci-agentur">
        <w:r>
          <w:rPr>
            <w:rStyle w:val="Hyperlink"/>
          </w:rPr>
          <w:t>3.3 Pozastavená větev — vzdělávací agentury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3-4-self-service-b2c-hypoteza">
        <w:r>
          <w:rPr>
            <w:rStyle w:val="Hyperlink"/>
          </w:rPr>
          <w:t>3.4 Self-service/B2C hypotéza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4-nabidka">
        <w:r>
          <w:rPr>
            <w:rStyle w:val="Hyperlink"/>
          </w:rPr>
          <w:t>4. Nabídka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4-1-b2b-placeny-pilot">
        <w:r>
          <w:rPr>
            <w:rStyle w:val="Hyperlink"/>
          </w:rPr>
          <w:t>4.1 B2B placený pilot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4-2-self-service-nabidka">
        <w:r>
          <w:rPr>
            <w:rStyle w:val="Hyperlink"/>
          </w:rPr>
          <w:t>4.2 Self-service nabídka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5-seo-a-obsahova-priorita">
        <w:r>
          <w:rPr>
            <w:rStyle w:val="Hyperlink"/>
          </w:rPr>
          <w:t>5. SEO a obsahová priorita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5-1-co-je-dolozeno">
        <w:r>
          <w:rPr>
            <w:rStyle w:val="Hyperlink"/>
          </w:rPr>
          <w:t>5.1 Co je doloženo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5-2-doporucene-obsahove-poradi">
        <w:r>
          <w:rPr>
            <w:rStyle w:val="Hyperlink"/>
          </w:rPr>
          <w:t>5.2 Doporučené obsahové pořadí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5-3-obsahove-formaty">
        <w:r>
          <w:rPr>
            <w:rStyle w:val="Hyperlink"/>
          </w:rPr>
          <w:t>5.3 Obsahové formáty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6-cesta-od-akvizice-ke-konverzi">
        <w:r>
          <w:rPr>
            <w:rStyle w:val="Hyperlink"/>
          </w:rPr>
          <w:t>6. Cesta od akvizice ke konverzi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7-mereni">
        <w:r>
          <w:rPr>
            <w:rStyle w:val="Hyperlink"/>
          </w:rPr>
          <w:t>7. Měření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7-1-produktove-signaly">
        <w:r>
          <w:rPr>
            <w:rStyle w:val="Hyperlink"/>
          </w:rPr>
          <w:t>7.1 Produktové signály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7-2-obchodni-signaly">
        <w:r>
          <w:rPr>
            <w:rStyle w:val="Hyperlink"/>
          </w:rPr>
          <w:t>7.2 Obchodní signály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7-3-seo-signaly">
        <w:r>
          <w:rPr>
            <w:rStyle w:val="Hyperlink"/>
          </w:rPr>
          <w:t>7.3 SEO signály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8-doporuceny-90denni-plan">
        <w:r>
          <w:rPr>
            <w:rStyle w:val="Hyperlink"/>
          </w:rPr>
          <w:t>8. Doporučený 90denní plán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brana-0-pred-dnem-1-existuje-kapacita-a-">
        <w:r>
          <w:rPr>
            <w:rStyle w:val="Hyperlink"/>
          </w:rPr>
          <w:t>Brána 0 — před dnem 1: existuje kapacita a bezpečný test?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brana-1-den-1-az-30-lze-merit-aktivaci-v">
        <w:r>
          <w:rPr>
            <w:rStyle w:val="Hyperlink"/>
          </w:rPr>
          <w:t>Brána 1 — den 1 až 30: lze měřit aktivaci v jedné větvi?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brana-2-den-31-az-60-existuje-ochota-zap">
        <w:r>
          <w:rPr>
            <w:rStyle w:val="Hyperlink"/>
          </w:rPr>
          <w:t>Brána 2 — den 31 až 60: existuje ochota zaplatit?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brana-3-den-61-az-90-je-cesta-opakovatel">
        <w:r>
          <w:rPr>
            <w:rStyle w:val="Hyperlink"/>
          </w:rPr>
          <w:t>Brána 3 — den 61 až 90: je cesta opakovatelná?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8-4-oddelene-scorecardy">
        <w:r>
          <w:rPr>
            <w:rStyle w:val="Hyperlink"/>
          </w:rPr>
          <w:t>8.4 Oddělené scorecardy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8-5-jednotkova-ekonomika-bez-vymyslenych">
        <w:r>
          <w:rPr>
            <w:rStyle w:val="Hyperlink"/>
          </w:rPr>
          <w:t>8.5 Jednotková ekonomika bez vymyšlených cílů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9-odpovednosti">
        <w:r>
          <w:rPr>
            <w:rStyle w:val="Hyperlink"/>
          </w:rPr>
          <w:t>9. Odpovědnosti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0-co-nyni-nedelat">
        <w:r>
          <w:rPr>
            <w:rStyle w:val="Hyperlink"/>
          </w:rPr>
          <w:t>10. Co nyní nedělat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1-rozhodovaci-tabule">
        <w:r>
          <w:rPr>
            <w:rStyle w:val="Hyperlink"/>
          </w:rPr>
          <w:t>11. Rozhodovací tabule</w:t>
        </w:r>
      </w:hyperlink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hyperlink w:anchor="12-zdrojovy-registr">
        <w:r>
          <w:rPr>
            <w:rStyle w:val="Hyperlink"/>
          </w:rPr>
          <w:t>12. Zdrojový registr</w:t>
        </w:r>
      </w:hyperlink>
    </w:p>
    <w:p>
      <w:pPr>
        <w:pStyle w:val="Heading1"/>
        <w:bidi w:val="0"/>
        <w:ind w:hanging="0" w:left="0" w:right="0"/>
        <w:jc w:val="left"/>
        <w:rPr/>
      </w:pPr>
      <w:bookmarkStart w:id="0" w:name="marketingova-strategie"/>
      <w:bookmarkEnd w:id="0"/>
      <w:r>
        <w:rPr/>
        <w:t>Marketingová strategie</w:t>
      </w:r>
    </w:p>
    <w:p>
      <w:pPr>
        <w:pStyle w:val="BodyText"/>
        <w:bidi w:val="0"/>
        <w:jc w:val="left"/>
        <w:rPr/>
      </w:pPr>
      <w:r>
        <w:rPr>
          <w:rStyle w:val="Strong"/>
        </w:rPr>
        <w:t>Produkt:</w:t>
      </w:r>
      <w:r>
        <w:rPr/>
        <w:t xml:space="preserve"> Coursition</w:t>
        <w:br/>
      </w:r>
      <w:r>
        <w:rPr>
          <w:rStyle w:val="Strong"/>
        </w:rPr>
        <w:t>Verze dokumentu:</w:t>
      </w:r>
      <w:r>
        <w:rPr/>
        <w:t xml:space="preserve"> 1.0</w:t>
        <w:br/>
      </w:r>
      <w:r>
        <w:rPr>
          <w:rStyle w:val="Strong"/>
        </w:rPr>
        <w:t>Datum:</w:t>
      </w:r>
      <w:r>
        <w:rPr/>
        <w:t xml:space="preserve"> 27. 7. 2026</w:t>
        <w:br/>
      </w:r>
      <w:r>
        <w:rPr>
          <w:rStyle w:val="Strong"/>
        </w:rPr>
        <w:t>Stav:</w:t>
      </w:r>
      <w:r>
        <w:rPr/>
        <w:t xml:space="preserve"> doporučení pro validační fázi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Současný obchodní stav:</w:t>
      </w:r>
      <w:r>
        <w:rPr/>
        <w:t xml:space="preserve"> 0 prodejů, 0 Kč produktových tržeb, žádná uzavřená spolupráce, neúspěšný první pilot, žádní stálí zaměstnanci. B2B nákup je bez dedikované obchodní kapacity pomalý. Coursition je ve fázi validace, nikoli škálování.</w:t>
      </w:r>
    </w:p>
    <w:p>
      <w:pPr>
        <w:pStyle w:val="Heading2"/>
        <w:bidi w:val="0"/>
        <w:ind w:hanging="0" w:left="0" w:right="0"/>
        <w:jc w:val="left"/>
        <w:rPr/>
      </w:pPr>
      <w:bookmarkStart w:id="1" w:name="1-strategicky-cil"/>
      <w:bookmarkEnd w:id="1"/>
      <w:r>
        <w:rPr/>
        <w:t>1. Strategický cíl</w:t>
      </w:r>
    </w:p>
    <w:p>
      <w:pPr>
        <w:pStyle w:val="BodyText"/>
        <w:bidi w:val="0"/>
        <w:jc w:val="left"/>
        <w:rPr/>
      </w:pPr>
      <w:r>
        <w:rPr/>
        <w:t>Během 90 dnů získat dost důkazů pro rozhodnutí, zda: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pokračovat v úzce vymezeném B2B placeném pilotu;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souběžně rozvíjet self-service cestu;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zúžit segment nebo use case;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pozastavit go-to-market, dokud nebude dostupná obchodní a marketingová kapacita. </w:t>
      </w:r>
    </w:p>
    <w:p>
      <w:pPr>
        <w:pStyle w:val="BodyText"/>
        <w:bidi w:val="0"/>
        <w:jc w:val="left"/>
        <w:rPr/>
      </w:pPr>
      <w:r>
        <w:rPr/>
        <w:t>Cílem není maximalizovat dosah. Cílem je ověřit, zda konkrétní člověk dokončí konkrétní práci s produktem a zda za ni vznikne ochota zaplatit.</w:t>
      </w:r>
    </w:p>
    <w:p>
      <w:pPr>
        <w:pStyle w:val="Heading2"/>
        <w:bidi w:val="0"/>
        <w:ind w:hanging="0" w:left="0" w:right="0"/>
        <w:jc w:val="left"/>
        <w:rPr/>
      </w:pPr>
      <w:bookmarkStart w:id="2" w:name="2-principy"/>
      <w:bookmarkEnd w:id="2"/>
      <w:r>
        <w:rPr/>
        <w:t>2. Principy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Validovat před škálováním.</w:t>
      </w:r>
      <w:r>
        <w:rPr/>
        <w:t xml:space="preserve"> Bez prodeje a úspěšného pilotu nedává smysl investovat do kampaní na povědomí.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Prodávat konkrétní práci.</w:t>
      </w:r>
      <w:r>
        <w:rPr/>
        <w:t xml:space="preserve"> „Z interního dokumentu propojený první návrh e-learningu pod kontrolou autora“ je silnější než „AI platforma pro vzdělávání“.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Ukazovat výstup.</w:t>
      </w:r>
      <w:r>
        <w:rPr/>
        <w:t xml:space="preserve"> Vstup, cíl, aktivita a obsah jsou důkaz. Obecný seznam funkcí není.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Oddělit B2B a self-service.</w:t>
      </w:r>
      <w:r>
        <w:rPr/>
        <w:t xml:space="preserve"> Mají jinou cestu, překážky i signály.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Měřit chování, ne dojem.</w:t>
      </w:r>
      <w:r>
        <w:rPr/>
        <w:t xml:space="preserve"> Registrace bez nahrání podkladu není aktivace.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Nezaměnit SEO odhad za poptávku.</w:t>
      </w:r>
      <w:r>
        <w:rPr/>
        <w:t xml:space="preserve"> Přesné hledanosti nejsou dostupné. </w:t>
      </w:r>
    </w:p>
    <w:p>
      <w:pPr>
        <w:pStyle w:val="Heading2"/>
        <w:bidi w:val="0"/>
        <w:ind w:hanging="0" w:left="0" w:right="0"/>
        <w:jc w:val="left"/>
        <w:rPr/>
      </w:pPr>
      <w:bookmarkStart w:id="3" w:name="3-validacni-vetve-a-use-cases"/>
      <w:bookmarkEnd w:id="3"/>
      <w:r>
        <w:rPr/>
        <w:t>3. Validační větve a use cases</w:t>
      </w:r>
    </w:p>
    <w:p>
      <w:pPr>
        <w:pStyle w:val="BodyText"/>
        <w:bidi w:val="0"/>
        <w:jc w:val="left"/>
        <w:rPr/>
      </w:pPr>
      <w:r>
        <w:rPr/>
        <w:t xml:space="preserve">Všechny segmenty jsou </w:t>
      </w:r>
      <w:r>
        <w:rPr>
          <w:rStyle w:val="Strong"/>
        </w:rPr>
        <w:t>hypotézy</w:t>
      </w:r>
      <w:r>
        <w:rPr/>
        <w:t>, protože neexistují prodeje ani úspěšný pilot. Bez doložené kapacity se spouští pouze jedna větev. Doporučený výchozí test je nízkodotykový průchod s dosažitelnými nezávislými lektory/experty; HR/L&amp;D se otevírá jen přes konkrétní warm kontakt a jeden produktově vhodný materiál.</w:t>
      </w:r>
    </w:p>
    <w:p>
      <w:pPr>
        <w:pStyle w:val="Heading3"/>
        <w:bidi w:val="0"/>
        <w:ind w:hanging="0" w:left="0" w:right="0"/>
        <w:jc w:val="left"/>
        <w:rPr/>
      </w:pPr>
      <w:bookmarkStart w:id="4" w:name="3-1-podminena-b2b-vetev-hr-a-learning-de"/>
      <w:bookmarkEnd w:id="4"/>
      <w:r>
        <w:rPr/>
        <w:t>3.1 Podmíněná B2B větev — HR a Learning &amp; Development v menších a středních firmách</w:t>
      </w:r>
    </w:p>
    <w:p>
      <w:pPr>
        <w:pStyle w:val="BodyText"/>
        <w:bidi w:val="0"/>
        <w:jc w:val="left"/>
        <w:rPr/>
      </w:pPr>
      <w:r>
        <w:rPr>
          <w:rStyle w:val="Strong"/>
        </w:rPr>
        <w:t>Job to be done:</w:t>
      </w:r>
      <w:r>
        <w:rPr/>
        <w:t xml:space="preserve"> převést interní dokument, onboardingový podklad nebo odborné know-how do prvního návrhu opakovatelného e-learningového školení.</w:t>
      </w:r>
    </w:p>
    <w:p>
      <w:pPr>
        <w:pStyle w:val="BodyText"/>
        <w:bidi w:val="0"/>
        <w:jc w:val="left"/>
        <w:rPr/>
      </w:pPr>
      <w:r>
        <w:rPr>
          <w:rStyle w:val="Strong"/>
        </w:rPr>
        <w:t>Proč nyní:</w:t>
      </w:r>
      <w:r>
        <w:rPr/>
        <w:t xml:space="preserve"> SEO analýza ukazuje český obsahový prostor kolem školení zaměstnanců, onboardingu a tvorby e-learningu. Potvrzená zkušenost zároveň říká, že nákup je pomalý a bez kontaktů na HR/L&amp;D obtížný.</w:t>
      </w:r>
    </w:p>
    <w:p>
      <w:pPr>
        <w:pStyle w:val="BodyText"/>
        <w:bidi w:val="0"/>
        <w:jc w:val="left"/>
        <w:rPr/>
      </w:pPr>
      <w:r>
        <w:rPr>
          <w:rStyle w:val="Strong"/>
        </w:rPr>
        <w:t>Nejlepší pilotní případy: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onboarding jednoho pracovního procesu;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interní odborný postup;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aktualizace existujícího školení;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převod prezentace nebo směrnice do prvního návrhu. </w:t>
      </w:r>
    </w:p>
    <w:p>
      <w:pPr>
        <w:pStyle w:val="BodyText"/>
        <w:bidi w:val="0"/>
        <w:jc w:val="left"/>
        <w:rPr/>
      </w:pPr>
      <w:r>
        <w:rPr>
          <w:rStyle w:val="Strong"/>
        </w:rPr>
        <w:t>Nevhodné případy:</w:t>
      </w:r>
      <w:r>
        <w:rPr/>
        <w:t xml:space="preserve"> nákup LMS, okamžitý SCORM export, rozsáhlé enterprise výběrové řízení nebo požadavek na automaticky správný obsah.</w:t>
      </w:r>
    </w:p>
    <w:p>
      <w:pPr>
        <w:pStyle w:val="Heading3"/>
        <w:bidi w:val="0"/>
        <w:ind w:hanging="0" w:left="0" w:right="0"/>
        <w:jc w:val="left"/>
        <w:rPr/>
      </w:pPr>
      <w:bookmarkStart w:id="5" w:name="3-2-vychozi-nizkodotykova-vetev-nezavisl"/>
      <w:bookmarkEnd w:id="5"/>
      <w:r>
        <w:rPr/>
        <w:t>3.2 Výchozí nízkodotyková větev — nezávislí lektoři a oboroví experti</w:t>
      </w:r>
    </w:p>
    <w:p>
      <w:pPr>
        <w:pStyle w:val="BodyText"/>
        <w:bidi w:val="0"/>
        <w:jc w:val="left"/>
        <w:rPr/>
      </w:pPr>
      <w:r>
        <w:rPr>
          <w:rStyle w:val="Strong"/>
        </w:rPr>
        <w:t>Job to be done:</w:t>
      </w:r>
      <w:r>
        <w:rPr/>
        <w:t xml:space="preserve"> převést prezentaci, poznámky nebo dokumenty do propojeného prvního návrhu bez začínání od prázdné stránky. Webinář je vhodný jen při ověřené konfiguraci zpracování audia/videa.</w:t>
      </w:r>
    </w:p>
    <w:p>
      <w:pPr>
        <w:pStyle w:val="BodyText"/>
        <w:bidi w:val="0"/>
        <w:jc w:val="left"/>
        <w:rPr/>
      </w:pPr>
      <w:r>
        <w:rPr>
          <w:rStyle w:val="Strong"/>
        </w:rPr>
        <w:t>Proč nyní:</w:t>
      </w:r>
      <w:r>
        <w:rPr/>
        <w:t xml:space="preserve"> kratší rozhodovací cesta než enterprise B2B a přímá shoda s aktuální landing page. Segment může sloužit jako self-service i jako menší profesionální B2B.</w:t>
      </w:r>
    </w:p>
    <w:p>
      <w:pPr>
        <w:pStyle w:val="BodyText"/>
        <w:bidi w:val="0"/>
        <w:jc w:val="left"/>
        <w:rPr/>
      </w:pPr>
      <w:r>
        <w:rPr>
          <w:rStyle w:val="Strong"/>
        </w:rPr>
        <w:t>Riziko:</w:t>
      </w:r>
      <w:r>
        <w:rPr/>
        <w:t xml:space="preserve"> nižší ochota platit, různorodé potřeby a vysoké nároky na podporu. Ověřit, nepředpokládat.</w:t>
      </w:r>
    </w:p>
    <w:p>
      <w:pPr>
        <w:pStyle w:val="Heading3"/>
        <w:bidi w:val="0"/>
        <w:ind w:hanging="0" w:left="0" w:right="0"/>
        <w:jc w:val="left"/>
        <w:rPr/>
      </w:pPr>
      <w:bookmarkStart w:id="6" w:name="3-3-pozastavena-vetev-vzdelavaci-agentur"/>
      <w:bookmarkEnd w:id="6"/>
      <w:r>
        <w:rPr/>
        <w:t>3.3 Pozastavená větev — vzdělávací agentury</w:t>
      </w:r>
    </w:p>
    <w:p>
      <w:pPr>
        <w:pStyle w:val="BodyText"/>
        <w:bidi w:val="0"/>
        <w:jc w:val="left"/>
        <w:rPr/>
      </w:pPr>
      <w:r>
        <w:rPr>
          <w:rStyle w:val="Strong"/>
        </w:rPr>
        <w:t>Job to be done:</w:t>
      </w:r>
      <w:r>
        <w:rPr/>
        <w:t xml:space="preserve"> zrychlit první návrh zakázkového kurzu a předat klientovi propojený celek k připomínkám.</w:t>
      </w:r>
    </w:p>
    <w:p>
      <w:pPr>
        <w:pStyle w:val="BodyText"/>
        <w:bidi w:val="0"/>
        <w:jc w:val="left"/>
        <w:rPr/>
      </w:pPr>
      <w:r>
        <w:rPr>
          <w:rStyle w:val="Strong"/>
        </w:rPr>
        <w:t>Proč nyní pozastavit:</w:t>
      </w:r>
      <w:r>
        <w:rPr/>
        <w:t xml:space="preserve"> dobrá odborná shoda, ale vyšší očekávání na export, spolupráci, značkování a procesní stabilitu. Zahájit jen s případem, který odpovídá současným možnostem a po ověření exportních/procesních očekávání.</w:t>
      </w:r>
    </w:p>
    <w:p>
      <w:pPr>
        <w:pStyle w:val="Heading3"/>
        <w:bidi w:val="0"/>
        <w:ind w:hanging="0" w:left="0" w:right="0"/>
        <w:jc w:val="left"/>
        <w:rPr/>
      </w:pPr>
      <w:bookmarkStart w:id="7" w:name="3-4-self-service-b2c-hypoteza"/>
      <w:bookmarkEnd w:id="7"/>
      <w:r>
        <w:rPr/>
        <w:t>3.4 Self-service/B2C hypotéza</w:t>
      </w:r>
    </w:p>
    <w:p>
      <w:pPr>
        <w:pStyle w:val="BodyText"/>
        <w:bidi w:val="0"/>
        <w:jc w:val="left"/>
        <w:rPr/>
      </w:pPr>
      <w:r>
        <w:rPr>
          <w:rStyle w:val="Strong"/>
        </w:rPr>
        <w:t>Hypotéza:</w:t>
      </w:r>
      <w:r>
        <w:rPr/>
        <w:t xml:space="preserve"> autor s vlastním materiálem je ochoten projít registrací, nahrát podklad, vygenerovat návrh, upravit jej a případně zaplatit bez obchodního kontaktu.</w:t>
      </w:r>
    </w:p>
    <w:p>
      <w:pPr>
        <w:pStyle w:val="BodyText"/>
        <w:bidi w:val="0"/>
        <w:jc w:val="left"/>
        <w:rPr/>
      </w:pPr>
      <w:r>
        <w:rPr>
          <w:rStyle w:val="Strong"/>
        </w:rPr>
        <w:t>Ověřit: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dokončení prvního návrhu;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první smysluplnou úpravu;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návrat k rozpracovanému kurzu;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důvod nedokončení;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cenovou citlivost;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potřebu podpory. </w:t>
      </w:r>
    </w:p>
    <w:p>
      <w:pPr>
        <w:pStyle w:val="BodyText"/>
        <w:bidi w:val="0"/>
        <w:jc w:val="left"/>
        <w:rPr/>
      </w:pPr>
      <w:r>
        <w:rPr/>
        <w:t>Self-service není totéž jako masový B2C. Neinvestovat do širokého oslovení, dokud není aktivace opakovatelná.</w:t>
      </w:r>
    </w:p>
    <w:p>
      <w:pPr>
        <w:pStyle w:val="Heading2"/>
        <w:bidi w:val="0"/>
        <w:ind w:hanging="0" w:left="0" w:right="0"/>
        <w:jc w:val="left"/>
        <w:rPr/>
      </w:pPr>
      <w:bookmarkStart w:id="8" w:name="4-nabidka"/>
      <w:bookmarkEnd w:id="8"/>
      <w:r>
        <w:rPr/>
        <w:t>4. Nabídka</w:t>
      </w:r>
    </w:p>
    <w:p>
      <w:pPr>
        <w:pStyle w:val="Heading3"/>
        <w:bidi w:val="0"/>
        <w:ind w:hanging="0" w:left="0" w:right="0"/>
        <w:jc w:val="left"/>
        <w:rPr/>
      </w:pPr>
      <w:bookmarkStart w:id="9" w:name="4-1-b2b-placeny-pilot"/>
      <w:bookmarkEnd w:id="9"/>
      <w:r>
        <w:rPr/>
        <w:t>4.1 B2B placený pilot</w:t>
      </w:r>
    </w:p>
    <w:p>
      <w:pPr>
        <w:pStyle w:val="BodyText"/>
        <w:bidi w:val="0"/>
        <w:jc w:val="left"/>
        <w:rPr/>
      </w:pPr>
      <w:r>
        <w:rPr>
          <w:rStyle w:val="Strong"/>
        </w:rPr>
        <w:t>Doporučení:</w:t>
      </w:r>
      <w:r>
        <w:rPr/>
        <w:t xml:space="preserve"> prodávat jasně omezené ověření jednoho případu, ne obecný přístup k platformě.</w:t>
      </w:r>
    </w:p>
    <w:p>
      <w:pPr>
        <w:pStyle w:val="BodyText"/>
        <w:bidi w:val="0"/>
        <w:jc w:val="left"/>
        <w:rPr/>
      </w:pPr>
      <w:r>
        <w:rPr/>
        <w:t>Pilot má předem určit: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jeden zdrojový materiál nebo soubor materiálů;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jednoho odpovědného autora na straně zájemce;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očekávaný typ návrhu;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 bude posouzeno ručně;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 současný produkt neumí;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termín zpětné vazby;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cenu, i kdyby byla validační. </w:t>
      </w:r>
    </w:p>
    <w:p>
      <w:pPr>
        <w:pStyle w:val="BodyText"/>
        <w:bidi w:val="0"/>
        <w:jc w:val="left"/>
        <w:rPr/>
      </w:pPr>
      <w:r>
        <w:rPr/>
        <w:t>Pilot není úspěšný registrací. Úspěch znamená, že cílový autor dokončí dohodnutý workflow, považuje výstup za použitelný základ a existuje konkrétní rozhodnutí o placeném pokračování.</w:t>
      </w:r>
    </w:p>
    <w:p>
      <w:pPr>
        <w:pStyle w:val="Heading3"/>
        <w:bidi w:val="0"/>
        <w:ind w:hanging="0" w:left="0" w:right="0"/>
        <w:jc w:val="left"/>
        <w:rPr/>
      </w:pPr>
      <w:bookmarkStart w:id="10" w:name="4-2-self-service-nabidka"/>
      <w:bookmarkEnd w:id="10"/>
      <w:r>
        <w:rPr/>
        <w:t>4.2 Self-service nabídka</w:t>
      </w:r>
    </w:p>
    <w:p>
      <w:pPr>
        <w:pStyle w:val="BodyText"/>
        <w:bidi w:val="0"/>
        <w:jc w:val="left"/>
        <w:rPr/>
      </w:pPr>
      <w:r>
        <w:rPr/>
        <w:t xml:space="preserve">Jedna hlavní akce: </w:t>
      </w:r>
      <w:r>
        <w:rPr>
          <w:rStyle w:val="Strong"/>
        </w:rPr>
        <w:t>Nahrát první soubor.</w:t>
      </w:r>
      <w:r>
        <w:rPr/>
        <w:t xml:space="preserve"> Hodnota musí přijít dřív než dlouhé nastavování. Ceník a placenou hranici stanovit teprve po získání dat o dokončení a podpoře.</w:t>
      </w:r>
    </w:p>
    <w:p>
      <w:pPr>
        <w:pStyle w:val="Heading2"/>
        <w:bidi w:val="0"/>
        <w:ind w:hanging="0" w:left="0" w:right="0"/>
        <w:jc w:val="left"/>
        <w:rPr/>
      </w:pPr>
      <w:bookmarkStart w:id="11" w:name="5-seo-a-obsahova-priorita"/>
      <w:bookmarkEnd w:id="11"/>
      <w:r>
        <w:rPr/>
        <w:t>5. SEO a obsahová priorita</w:t>
      </w:r>
    </w:p>
    <w:p>
      <w:pPr>
        <w:pStyle w:val="Heading3"/>
        <w:bidi w:val="0"/>
        <w:ind w:hanging="0" w:left="0" w:right="0"/>
        <w:jc w:val="left"/>
        <w:rPr/>
      </w:pPr>
      <w:bookmarkStart w:id="12" w:name="5-1-co-je-dolozeno"/>
      <w:bookmarkEnd w:id="12"/>
      <w:r>
        <w:rPr/>
        <w:t>5.1 Co je doloženo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Anglický shluk </w:t>
      </w:r>
      <w:r>
        <w:rPr>
          <w:rStyle w:val="Strong"/>
        </w:rPr>
        <w:t>source-to-course</w:t>
      </w:r>
      <w:r>
        <w:rPr/>
        <w:t xml:space="preserve"> je jediný primární shluk, kde se podle odebraného SERP vzorku potkává produkt, záměr a relativní dosažitelnost.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Doporučené anglické směry: </w:t>
      </w:r>
      <w:r>
        <w:rPr>
          <w:rStyle w:val="SourceText"/>
        </w:rPr>
        <w:t>ai course creator</w:t>
      </w:r>
      <w:r>
        <w:rPr/>
        <w:t xml:space="preserve">, </w:t>
      </w:r>
      <w:r>
        <w:rPr>
          <w:rStyle w:val="SourceText"/>
        </w:rPr>
        <w:t>convert pdf elearning course</w:t>
      </w:r>
      <w:r>
        <w:rPr/>
        <w:t xml:space="preserve">, </w:t>
      </w:r>
      <w:r>
        <w:rPr>
          <w:rStyle w:val="SourceText"/>
        </w:rPr>
        <w:t>turn documents into training course</w:t>
      </w:r>
      <w:r>
        <w:rPr/>
        <w:t xml:space="preserve"> a konkrétní vstupní formáty.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Česká větev musí kvalifikovat slovo „kurz“ pomocí „e-learning“, „školení zaměstnanců“ nebo konkrétní situace.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Přesná měsíční hledanost není dostupná. SEO zjištění jsou podklad pro prioritizaci, ne měření trhu.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Veřejná obsahová vrstva je malá; před reklamou je nutné vytvořit cílové stránky. </w:t>
      </w:r>
    </w:p>
    <w:p>
      <w:pPr>
        <w:pStyle w:val="Heading3"/>
        <w:bidi w:val="0"/>
        <w:ind w:hanging="0" w:left="0" w:right="0"/>
        <w:jc w:val="left"/>
        <w:rPr/>
      </w:pPr>
      <w:bookmarkStart w:id="13" w:name="5-2-doporucene-obsahove-poradi"/>
      <w:bookmarkEnd w:id="13"/>
      <w:r>
        <w:rPr/>
        <w:t>5.2 Doporučené obsahové pořadí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Ukázka „z podkladu do propojeného prvního návrhu pod kontrolou autora“.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České use cases: školení zaměstnanců, onboarding, prezentace → e-learning.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Anglické use cases: PDF/slides → course, webinar → course, SOP/docs → training.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Stránka s reálnými ukázkami vstupu a výstupu.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Ceník, až bude definovaná nabídka. </w:t>
      </w:r>
    </w:p>
    <w:p>
      <w:pPr>
        <w:pStyle w:val="BodyText"/>
        <w:bidi w:val="0"/>
        <w:jc w:val="left"/>
        <w:rPr/>
      </w:pPr>
      <w:r>
        <w:rPr/>
        <w:t xml:space="preserve">Každá nová stránka je </w:t>
      </w:r>
      <w:r>
        <w:rPr>
          <w:rStyle w:val="Strong"/>
        </w:rPr>
        <w:t>doporučení; nyní nemusí existovat</w:t>
      </w:r>
      <w:r>
        <w:rPr/>
        <w:t>. Implementace nepatří do tohoto dokumentového balíčku.</w:t>
      </w:r>
    </w:p>
    <w:p>
      <w:pPr>
        <w:pStyle w:val="Heading3"/>
        <w:bidi w:val="0"/>
        <w:ind w:hanging="0" w:left="0" w:right="0"/>
        <w:jc w:val="left"/>
        <w:rPr/>
      </w:pPr>
      <w:bookmarkStart w:id="14" w:name="5-3-obsahove-formaty"/>
      <w:bookmarkEnd w:id="14"/>
      <w:r>
        <w:rPr/>
        <w:t>5.3 Obsahové formáty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detail „vstup → cíl → aktivita → obsah → ruční oprava“;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praktický návod k tvorbě e-learningu;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srovnání Coursition s prázdným editorem a LMS podle práce, ne podle marketingových tabulek;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odpovědné použití AI při tvorbě kurzu;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krátké poznatky z validace bez fiktivních zákaznických příběhů. </w:t>
      </w:r>
    </w:p>
    <w:p>
      <w:pPr>
        <w:pStyle w:val="Heading2"/>
        <w:bidi w:val="0"/>
        <w:ind w:hanging="0" w:left="0" w:right="0"/>
        <w:jc w:val="left"/>
        <w:rPr/>
      </w:pPr>
      <w:bookmarkStart w:id="15" w:name="6-cesta-od-akvizice-ke-konverzi"/>
      <w:bookmarkEnd w:id="15"/>
      <w:r>
        <w:rPr/>
        <w:t>6. Cesta od akvizice ke konverzi</w:t>
      </w:r>
    </w:p>
    <w:tbl>
      <w:tblPr>
        <w:tblW w:w="100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87"/>
        <w:gridCol w:w="3107"/>
        <w:gridCol w:w="2942"/>
        <w:gridCol w:w="2656"/>
      </w:tblGrid>
      <w:tr>
        <w:trPr>
          <w:tblHeader w:val="true"/>
        </w:trPr>
        <w:tc>
          <w:tcPr>
            <w:tcW w:w="138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Fáze</w:t>
            </w:r>
          </w:p>
        </w:tc>
        <w:tc>
          <w:tcPr>
            <w:tcW w:w="310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B2B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Self-service</w:t>
            </w:r>
          </w:p>
        </w:tc>
        <w:tc>
          <w:tcPr>
            <w:tcW w:w="265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Měřitelný signál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Acquisition</w:t>
            </w:r>
          </w:p>
        </w:tc>
        <w:tc>
          <w:tcPr>
            <w:tcW w:w="31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doporučení, warm network, cílený obsah, individuální oslovení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SEO/use-case stránka, landing page</w:t>
            </w:r>
          </w:p>
        </w:tc>
        <w:tc>
          <w:tcPr>
            <w:tcW w:w="26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relevantní návštěva nebo kvalifikovaný kontakt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Qualification</w:t>
            </w:r>
          </w:p>
        </w:tc>
        <w:tc>
          <w:tcPr>
            <w:tcW w:w="31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konkrétní materiál, autor, problém, limit produktu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rozhodnutí nahrát vlastní podklad</w:t>
            </w:r>
          </w:p>
        </w:tc>
        <w:tc>
          <w:tcPr>
            <w:tcW w:w="26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podklad odpovídá současným možnostem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Activation</w:t>
            </w:r>
          </w:p>
        </w:tc>
        <w:tc>
          <w:tcPr>
            <w:tcW w:w="31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autor získá návrh a provede smysluplnou úpravu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první návrh + první uložená úprava nebo průchod náhledem</w:t>
            </w:r>
          </w:p>
        </w:tc>
        <w:tc>
          <w:tcPr>
            <w:tcW w:w="26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dokončené kroky workflow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Pilot</w:t>
            </w:r>
          </w:p>
        </w:tc>
        <w:tc>
          <w:tcPr>
            <w:tcW w:w="31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placený, omezený případ se zpětnou vazbou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volitelné řízené pozorování prvních uživatelů</w:t>
            </w:r>
          </w:p>
        </w:tc>
        <w:tc>
          <w:tcPr>
            <w:tcW w:w="26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dokončení dohodnutého případu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Conversion</w:t>
            </w:r>
          </w:p>
        </w:tc>
        <w:tc>
          <w:tcPr>
            <w:tcW w:w="31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dohoda o placeném pokračování/nasazení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zaplacení jasně definované hodnoty</w:t>
            </w:r>
          </w:p>
        </w:tc>
        <w:tc>
          <w:tcPr>
            <w:tcW w:w="26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skutečná platba, ne příslib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Retention</w:t>
            </w:r>
          </w:p>
        </w:tc>
        <w:tc>
          <w:tcPr>
            <w:tcW w:w="31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další reálný kurz nebo další autor</w:t>
            </w:r>
          </w:p>
        </w:tc>
        <w:tc>
          <w:tcPr>
            <w:tcW w:w="2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návrat a práce na druhém kurzu</w:t>
            </w:r>
          </w:p>
        </w:tc>
        <w:tc>
          <w:tcPr>
            <w:tcW w:w="26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opakované použití</w:t>
            </w:r>
          </w:p>
        </w:tc>
      </w:tr>
    </w:tbl>
    <w:p>
      <w:pPr>
        <w:pStyle w:val="BodyText"/>
        <w:bidi w:val="0"/>
        <w:jc w:val="left"/>
        <w:rPr/>
      </w:pPr>
      <w:r>
        <w:rPr/>
        <w:t>Historické konverzní míry nejsou k dispozici. Všechny metriky se měří až od zavedení instrumentace.</w:t>
      </w:r>
    </w:p>
    <w:p>
      <w:pPr>
        <w:pStyle w:val="Heading2"/>
        <w:bidi w:val="0"/>
        <w:ind w:hanging="0" w:left="0" w:right="0"/>
        <w:jc w:val="left"/>
        <w:rPr/>
      </w:pPr>
      <w:bookmarkStart w:id="16" w:name="7-mereni"/>
      <w:bookmarkEnd w:id="16"/>
      <w:r>
        <w:rPr/>
        <w:t>7. Měření</w:t>
      </w:r>
    </w:p>
    <w:p>
      <w:pPr>
        <w:pStyle w:val="Heading3"/>
        <w:bidi w:val="0"/>
        <w:ind w:hanging="0" w:left="0" w:right="0"/>
        <w:jc w:val="left"/>
        <w:rPr/>
      </w:pPr>
      <w:bookmarkStart w:id="17" w:name="7-1-produktove-signaly"/>
      <w:bookmarkEnd w:id="17"/>
      <w:r>
        <w:rPr/>
        <w:t>7.1 Produktové signály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návštěva landing page → registrace;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registrace → založení kurzu;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založení → přidání zdroje;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zdroj → vygenerovaný návrh;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návrh → první smysluplná úprava;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úprava → náhled;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návrat k rozpracovanému kurzu;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založení druhého kurzu. </w:t>
      </w:r>
    </w:p>
    <w:p>
      <w:pPr>
        <w:pStyle w:val="Heading3"/>
        <w:bidi w:val="0"/>
        <w:ind w:hanging="0" w:left="0" w:right="0"/>
        <w:jc w:val="left"/>
        <w:rPr/>
      </w:pPr>
      <w:bookmarkStart w:id="18" w:name="7-2-obchodni-signaly"/>
      <w:bookmarkEnd w:id="18"/>
      <w:r>
        <w:rPr/>
        <w:t>7.2 Obchodní signály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počet oslovení s konkrétním use casem;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počet odpovědí, kde problém skutečně existuje;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počet kvalifikovaných případů odpovídajících produktu;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počet nabídek placeného pilotu;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počet podepsaných a zaplacených pilotů;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důvody odmítnutí;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rozhodnutí po pilotu. </w:t>
      </w:r>
    </w:p>
    <w:p>
      <w:pPr>
        <w:pStyle w:val="Heading3"/>
        <w:bidi w:val="0"/>
        <w:ind w:hanging="0" w:left="0" w:right="0"/>
        <w:jc w:val="left"/>
        <w:rPr/>
      </w:pPr>
      <w:bookmarkStart w:id="19" w:name="7-3-seo-signaly"/>
      <w:bookmarkEnd w:id="19"/>
      <w:r>
        <w:rPr/>
        <w:t>7.3 SEO signály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počet publikovaných a indexovaných cílových stránek;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zobrazení a dotazy podle jazyka;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prokliky na konkrétní use cases;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přechod z obsahové stránky k registraci;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registrace z organického zdroje. </w:t>
      </w:r>
    </w:p>
    <w:p>
      <w:pPr>
        <w:pStyle w:val="BodyText"/>
        <w:bidi w:val="0"/>
        <w:jc w:val="left"/>
        <w:rPr/>
      </w:pPr>
      <w:r>
        <w:rPr/>
        <w:t>Prvních 30–60 dnů nesledovat jako hlavní KPI průměrnou pozici, počet zpětných odkazů nebo obecné „SEO skóre“.</w:t>
      </w:r>
    </w:p>
    <w:p>
      <w:pPr>
        <w:pStyle w:val="Heading2"/>
        <w:bidi w:val="0"/>
        <w:ind w:hanging="0" w:left="0" w:right="0"/>
        <w:jc w:val="left"/>
        <w:rPr/>
      </w:pPr>
      <w:bookmarkStart w:id="20" w:name="8-doporuceny-90denni-plan"/>
      <w:bookmarkEnd w:id="20"/>
      <w:r>
        <w:rPr/>
        <w:t>8. Doporučený 90denní plán</w:t>
      </w:r>
    </w:p>
    <w:p>
      <w:pPr>
        <w:pStyle w:val="BodyText"/>
        <w:bidi w:val="0"/>
        <w:jc w:val="left"/>
        <w:rPr/>
      </w:pPr>
      <w:r>
        <w:rPr/>
        <w:t>Role jsou funkce, ne stálí zaměstnanci. V současnosti musí být výslovně přiděleny; jinak úkol nemá vlastníka.</w:t>
      </w:r>
    </w:p>
    <w:p>
      <w:pPr>
        <w:pStyle w:val="Heading3"/>
        <w:bidi w:val="0"/>
        <w:ind w:hanging="0" w:left="0" w:right="0"/>
        <w:jc w:val="left"/>
        <w:rPr/>
      </w:pPr>
      <w:bookmarkStart w:id="21" w:name="brana-0-pred-dnem-1-existuje-kapacita-a-"/>
      <w:bookmarkEnd w:id="21"/>
      <w:r>
        <w:rPr/>
        <w:t>Brána 0 — před dnem 1: existuje kapacita a bezpečný test?</w:t>
      </w:r>
    </w:p>
    <w:p>
      <w:pPr>
        <w:pStyle w:val="BodyText"/>
        <w:bidi w:val="0"/>
        <w:jc w:val="left"/>
        <w:rPr/>
      </w:pPr>
      <w:r>
        <w:rPr/>
        <w:t>Před aktivací jediné validační větve musí být zaznamenáno: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konkrétní odpovědný vlastník větve, měření a podpory;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týdenní časová kapacita, pracovní rozpočet a maximum souběžných případů;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ověřené funnel události a zákonné nastavení analytiky;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cesta platby, fakturace a případného vrácení;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rozsah pilotu, podmínky, práce s důvěrnými daty a práva k veřejným ukázkám;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lidská odborná kontrola a zveřejněné limity produktu. </w:t>
      </w:r>
    </w:p>
    <w:p>
      <w:pPr>
        <w:pStyle w:val="BodyText"/>
        <w:bidi w:val="0"/>
        <w:jc w:val="left"/>
        <w:rPr/>
      </w:pPr>
      <w:r>
        <w:rPr/>
        <w:t>Pokud chybí obchodní vlastník, B2B větev se nespouští. Pokud chybí vlastník měření, nespouští se ani jedna větev.</w:t>
      </w:r>
    </w:p>
    <w:p>
      <w:pPr>
        <w:pStyle w:val="Heading3"/>
        <w:bidi w:val="0"/>
        <w:ind w:hanging="0" w:left="0" w:right="0"/>
        <w:jc w:val="left"/>
        <w:rPr/>
      </w:pPr>
      <w:bookmarkStart w:id="22" w:name="brana-1-den-1-az-30-lze-merit-aktivaci-v"/>
      <w:bookmarkEnd w:id="22"/>
      <w:r>
        <w:rPr/>
        <w:t>Brána 1 — den 1 až 30: lze měřit aktivaci v jedné větvi?</w:t>
      </w:r>
    </w:p>
    <w:tbl>
      <w:tblPr>
        <w:tblW w:w="100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96"/>
        <w:gridCol w:w="2765"/>
        <w:gridCol w:w="4431"/>
      </w:tblGrid>
      <w:tr>
        <w:trPr>
          <w:tblHeader w:val="true"/>
        </w:trPr>
        <w:tc>
          <w:tcPr>
            <w:tcW w:w="289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Výstup</w:t>
            </w:r>
          </w:p>
        </w:tc>
        <w:tc>
          <w:tcPr>
            <w:tcW w:w="27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Vlastník role</w:t>
            </w:r>
          </w:p>
        </w:tc>
        <w:tc>
          <w:tcPr>
            <w:tcW w:w="443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Hotovo, když</w:t>
            </w:r>
          </w:p>
        </w:tc>
      </w:tr>
      <w:tr>
        <w:trPr/>
        <w:tc>
          <w:tcPr>
            <w:tcW w:w="2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definice událostí funnelu</w:t>
            </w:r>
          </w:p>
        </w:tc>
        <w:tc>
          <w:tcPr>
            <w:tcW w:w="2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produktový vlastník</w:t>
            </w:r>
          </w:p>
        </w:tc>
        <w:tc>
          <w:tcPr>
            <w:tcW w:w="44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lze odlišit registraci, zdroj, draft, úpravu a náhled</w:t>
            </w:r>
          </w:p>
        </w:tc>
      </w:tr>
      <w:tr>
        <w:trPr/>
        <w:tc>
          <w:tcPr>
            <w:tcW w:w="2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jedna ukázka vstupu a výstupu</w:t>
            </w:r>
          </w:p>
        </w:tc>
        <w:tc>
          <w:tcPr>
            <w:tcW w:w="2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obsahový vlastník</w:t>
            </w:r>
          </w:p>
        </w:tc>
        <w:tc>
          <w:tcPr>
            <w:tcW w:w="44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ukázka je veřejně použitelná a neobsahuje cizí data</w:t>
            </w:r>
          </w:p>
        </w:tc>
      </w:tr>
      <w:tr>
        <w:trPr/>
        <w:tc>
          <w:tcPr>
            <w:tcW w:w="2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pilotní nabídka na jednu stránku</w:t>
            </w:r>
          </w:p>
        </w:tc>
        <w:tc>
          <w:tcPr>
            <w:tcW w:w="2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obchodní vlastník</w:t>
            </w:r>
          </w:p>
        </w:tc>
        <w:tc>
          <w:tcPr>
            <w:tcW w:w="44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obsahuje rozsah, cenu, limity a rozhodnutí po pilotu</w:t>
            </w:r>
          </w:p>
        </w:tc>
      </w:tr>
      <w:tr>
        <w:trPr/>
        <w:tc>
          <w:tcPr>
            <w:tcW w:w="28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5–10 pozorovaných průchodů*</w:t>
            </w:r>
          </w:p>
        </w:tc>
        <w:tc>
          <w:tcPr>
            <w:tcW w:w="27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výzkumný/produktový vlastník</w:t>
            </w:r>
          </w:p>
        </w:tc>
        <w:tc>
          <w:tcPr>
            <w:tcW w:w="44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 každého je znám bod dokončení nebo důvod pádu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* </w:t>
      </w:r>
      <w:r>
        <w:rPr>
          <w:rStyle w:val="Strong"/>
        </w:rPr>
        <w:t>Doporučený pracovní práh</w:t>
      </w:r>
      <w:r>
        <w:rPr/>
        <w:t>, nikoli historický výsledek nebo statisticky prokázaný vzorek.</w:t>
      </w:r>
    </w:p>
    <w:p>
      <w:pPr>
        <w:pStyle w:val="BodyText"/>
        <w:bidi w:val="0"/>
        <w:jc w:val="left"/>
        <w:rPr/>
      </w:pPr>
      <w:r>
        <w:rPr>
          <w:rStyle w:val="Strong"/>
        </w:rPr>
        <w:t>GO:</w:t>
      </w:r>
      <w:r>
        <w:rPr/>
        <w:t xml:space="preserve"> existují opakované dokončené průchody a žádná kritická překážka.</w:t>
        <w:br/>
      </w:r>
      <w:r>
        <w:rPr>
          <w:rStyle w:val="Strong"/>
        </w:rPr>
        <w:t>NO-GO:</w:t>
      </w:r>
      <w:r>
        <w:rPr/>
        <w:t xml:space="preserve"> nelze spolehlivě dokončit základní workflow nebo není dostupný vlastník měření.</w:t>
      </w:r>
    </w:p>
    <w:p>
      <w:pPr>
        <w:pStyle w:val="Heading3"/>
        <w:bidi w:val="0"/>
        <w:ind w:hanging="0" w:left="0" w:right="0"/>
        <w:jc w:val="left"/>
        <w:rPr/>
      </w:pPr>
      <w:bookmarkStart w:id="23" w:name="brana-2-den-31-az-60-existuje-ochota-zap"/>
      <w:bookmarkEnd w:id="23"/>
      <w:r>
        <w:rPr/>
        <w:t>Brána 2 — den 31 až 60: existuje ochota zaplatit?</w:t>
      </w:r>
    </w:p>
    <w:tbl>
      <w:tblPr>
        <w:tblW w:w="100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32"/>
        <w:gridCol w:w="2275"/>
        <w:gridCol w:w="5085"/>
      </w:tblGrid>
      <w:tr>
        <w:trPr>
          <w:tblHeader w:val="true"/>
        </w:trPr>
        <w:tc>
          <w:tcPr>
            <w:tcW w:w="27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Výstup</w:t>
            </w:r>
          </w:p>
        </w:tc>
        <w:tc>
          <w:tcPr>
            <w:tcW w:w="227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Vlastník role</w:t>
            </w:r>
          </w:p>
        </w:tc>
        <w:tc>
          <w:tcPr>
            <w:tcW w:w="508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Hotovo, když</w:t>
            </w:r>
          </w:p>
        </w:tc>
      </w:tr>
      <w:tr>
        <w:trPr/>
        <w:tc>
          <w:tcPr>
            <w:tcW w:w="27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cílené rozhovory a oslovení</w:t>
            </w:r>
          </w:p>
        </w:tc>
        <w:tc>
          <w:tcPr>
            <w:tcW w:w="22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obchodní vlastník</w:t>
            </w:r>
          </w:p>
        </w:tc>
        <w:tc>
          <w:tcPr>
            <w:tcW w:w="50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každý kontakt vychází z konkrétního use casu</w:t>
            </w:r>
          </w:p>
        </w:tc>
      </w:tr>
      <w:tr>
        <w:trPr/>
        <w:tc>
          <w:tcPr>
            <w:tcW w:w="27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první placená pilotní nabídka</w:t>
            </w:r>
          </w:p>
        </w:tc>
        <w:tc>
          <w:tcPr>
            <w:tcW w:w="22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obchodní + produktový vlastník</w:t>
            </w:r>
          </w:p>
        </w:tc>
        <w:tc>
          <w:tcPr>
            <w:tcW w:w="50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je odeslána kvalifikovanému zájemci</w:t>
            </w:r>
          </w:p>
        </w:tc>
      </w:tr>
      <w:tr>
        <w:trPr/>
        <w:tc>
          <w:tcPr>
            <w:tcW w:w="27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první use-case stránka v jazyce zvolené větve</w:t>
            </w:r>
          </w:p>
        </w:tc>
        <w:tc>
          <w:tcPr>
            <w:tcW w:w="22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marketingový vlastník</w:t>
            </w:r>
          </w:p>
        </w:tc>
        <w:tc>
          <w:tcPr>
            <w:tcW w:w="50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stránka existuje, má vlastní měření a reálnou ukázku; druhý jazyk čeká na výsledek testu</w:t>
            </w:r>
          </w:p>
        </w:tc>
      </w:tr>
      <w:tr>
        <w:trPr/>
        <w:tc>
          <w:tcPr>
            <w:tcW w:w="27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evidence námitek</w:t>
            </w:r>
          </w:p>
        </w:tc>
        <w:tc>
          <w:tcPr>
            <w:tcW w:w="22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obchodní vlastník</w:t>
            </w:r>
          </w:p>
        </w:tc>
        <w:tc>
          <w:tcPr>
            <w:tcW w:w="50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námitky jsou seskupené podle segmentu a fáze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GO:</w:t>
      </w:r>
      <w:r>
        <w:rPr/>
        <w:t xml:space="preserve"> nejméně jeden placený pilot nebo jiný skutečný platební závazek a produkt zvládá případ.</w:t>
        <w:br/>
      </w:r>
      <w:r>
        <w:rPr>
          <w:rStyle w:val="Strong"/>
        </w:rPr>
        <w:t>PIVOT:</w:t>
      </w:r>
      <w:r>
        <w:rPr/>
        <w:t xml:space="preserve"> problém existuje, ale segment/use case nebo nabídka nesedí.</w:t>
        <w:br/>
      </w:r>
      <w:r>
        <w:rPr>
          <w:rStyle w:val="Strong"/>
        </w:rPr>
        <w:t>PAUSE:</w:t>
      </w:r>
      <w:r>
        <w:rPr/>
        <w:t xml:space="preserve"> bez dedikované kapacity nelze test provést; nevydávat absenci prodeje za důkaz absence trhu.</w:t>
      </w:r>
    </w:p>
    <w:p>
      <w:pPr>
        <w:pStyle w:val="Heading3"/>
        <w:bidi w:val="0"/>
        <w:ind w:hanging="0" w:left="0" w:right="0"/>
        <w:jc w:val="left"/>
        <w:rPr/>
      </w:pPr>
      <w:bookmarkStart w:id="24" w:name="brana-3-den-61-az-90-je-cesta-opakovatel"/>
      <w:bookmarkEnd w:id="24"/>
      <w:r>
        <w:rPr/>
        <w:t>Brána 3 — den 61 až 90: je cesta opakovatelná?</w:t>
      </w:r>
    </w:p>
    <w:tbl>
      <w:tblPr>
        <w:tblW w:w="100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94"/>
        <w:gridCol w:w="2728"/>
        <w:gridCol w:w="4170"/>
      </w:tblGrid>
      <w:tr>
        <w:trPr>
          <w:tblHeader w:val="true"/>
        </w:trPr>
        <w:tc>
          <w:tcPr>
            <w:tcW w:w="31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Výstup</w:t>
            </w:r>
          </w:p>
        </w:tc>
        <w:tc>
          <w:tcPr>
            <w:tcW w:w="272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Vlastník role</w:t>
            </w:r>
          </w:p>
        </w:tc>
        <w:tc>
          <w:tcPr>
            <w:tcW w:w="417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Hotovo, když</w:t>
            </w:r>
          </w:p>
        </w:tc>
      </w:tr>
      <w:tr>
        <w:trPr/>
        <w:tc>
          <w:tcPr>
            <w:tcW w:w="3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vyhodnocení pilotu</w:t>
            </w:r>
          </w:p>
        </w:tc>
        <w:tc>
          <w:tcPr>
            <w:tcW w:w="2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produktový + obchodní vlastník</w:t>
            </w:r>
          </w:p>
        </w:tc>
        <w:tc>
          <w:tcPr>
            <w:tcW w:w="41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existuje rozhodnutí pokračovat/změnit/ukončit</w:t>
            </w:r>
          </w:p>
        </w:tc>
      </w:tr>
      <w:tr>
        <w:trPr/>
        <w:tc>
          <w:tcPr>
            <w:tcW w:w="3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druhý nezávislý kvalifikovaný případ</w:t>
            </w:r>
          </w:p>
        </w:tc>
        <w:tc>
          <w:tcPr>
            <w:tcW w:w="2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obchodní vlastník</w:t>
            </w:r>
          </w:p>
        </w:tc>
        <w:tc>
          <w:tcPr>
            <w:tcW w:w="41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není závislý na stejné osobní vazbě</w:t>
            </w:r>
          </w:p>
        </w:tc>
      </w:tr>
      <w:tr>
        <w:trPr/>
        <w:tc>
          <w:tcPr>
            <w:tcW w:w="3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aktivace podle kanálu</w:t>
            </w:r>
          </w:p>
        </w:tc>
        <w:tc>
          <w:tcPr>
            <w:tcW w:w="2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produktový vlastník</w:t>
            </w:r>
          </w:p>
        </w:tc>
        <w:tc>
          <w:tcPr>
            <w:tcW w:w="41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lze porovnat zdroj návštěvy a dokončení workflow</w:t>
            </w:r>
          </w:p>
        </w:tc>
      </w:tr>
      <w:tr>
        <w:trPr/>
        <w:tc>
          <w:tcPr>
            <w:tcW w:w="31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rozhodnutí o dalším kvartálu</w:t>
            </w:r>
          </w:p>
        </w:tc>
        <w:tc>
          <w:tcPr>
            <w:tcW w:w="2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vlastník firmy</w:t>
            </w:r>
          </w:p>
        </w:tc>
        <w:tc>
          <w:tcPr>
            <w:tcW w:w="41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jedna prioritní cesta, kapacita a rozpočet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SCALE OPATRNĚ:</w:t>
      </w:r>
      <w:r>
        <w:rPr/>
        <w:t xml:space="preserve"> druhý nezávislý případ přinesl nevratnou platbu, stejný problém, dokončený workflow a přijatelnou obsluhu podle předem zaznamenané kapacity. Jde o doporučenou rozhodovací podmínku, ne statistický důkaz.</w:t>
        <w:br/>
      </w:r>
      <w:r>
        <w:rPr>
          <w:rStyle w:val="Strong"/>
        </w:rPr>
        <w:t>FOCUS:</w:t>
      </w:r>
      <w:r>
        <w:rPr/>
        <w:t xml:space="preserve"> jeden use case funguje, ostatní se zastaví.</w:t>
        <w:br/>
      </w:r>
      <w:r>
        <w:rPr>
          <w:rStyle w:val="Strong"/>
        </w:rPr>
        <w:t>PAUSE/PIVOT:</w:t>
      </w:r>
      <w:r>
        <w:rPr/>
        <w:t xml:space="preserve"> bez opakovatelného signálu se nerozšiřují kanály ani funkce.</w:t>
      </w:r>
    </w:p>
    <w:p>
      <w:pPr>
        <w:pStyle w:val="Heading3"/>
        <w:bidi w:val="0"/>
        <w:ind w:hanging="0" w:left="0" w:right="0"/>
        <w:jc w:val="left"/>
        <w:rPr/>
      </w:pPr>
      <w:bookmarkStart w:id="25" w:name="8-4-oddelene-scorecardy"/>
      <w:bookmarkEnd w:id="25"/>
      <w:r>
        <w:rPr/>
        <w:t>8.4 Oddělené scorecardy</w:t>
      </w:r>
    </w:p>
    <w:p>
      <w:pPr>
        <w:pStyle w:val="BodyText"/>
        <w:bidi w:val="0"/>
        <w:jc w:val="left"/>
        <w:rPr/>
      </w:pPr>
      <w:r>
        <w:rPr>
          <w:rStyle w:val="Strong"/>
        </w:rPr>
        <w:t>B2B:</w:t>
      </w:r>
      <w:r>
        <w:rPr/>
        <w:t xml:space="preserve"> kvalifikovaný materiál → přesně vymezená placená nabídka → přijatá nevratná platba → dokončený workflow → rozhodnutí o placeném pokračování.</w:t>
      </w:r>
    </w:p>
    <w:p>
      <w:pPr>
        <w:pStyle w:val="BodyText"/>
        <w:bidi w:val="0"/>
        <w:jc w:val="left"/>
        <w:rPr/>
      </w:pPr>
      <w:r>
        <w:rPr>
          <w:rStyle w:val="Strong"/>
        </w:rPr>
        <w:t>Self-service:</w:t>
      </w:r>
      <w:r>
        <w:rPr/>
        <w:t xml:space="preserve"> způsobilá registrace → přidaný zdroj → vygenerovaný návrh → smysluplná přímá úprava cíle/aktivity nebo kontrola obsahu → náhled/návrat → explicitní cenový test → platba.</w:t>
      </w:r>
    </w:p>
    <w:p>
      <w:pPr>
        <w:pStyle w:val="BodyText"/>
        <w:bidi w:val="0"/>
        <w:jc w:val="left"/>
        <w:rPr/>
      </w:pPr>
      <w:r>
        <w:rPr/>
        <w:t>Důkaz jedné větve nelze vydávat za validaci druhé. U každého poměru zaznamenat čitatel, jmenovatel, kohortu, časové okno a důvod selhání.</w:t>
      </w:r>
    </w:p>
    <w:p>
      <w:pPr>
        <w:pStyle w:val="Heading3"/>
        <w:bidi w:val="0"/>
        <w:ind w:hanging="0" w:left="0" w:right="0"/>
        <w:jc w:val="left"/>
        <w:rPr/>
      </w:pPr>
      <w:bookmarkStart w:id="26" w:name="8-5-jednotkova-ekonomika-bez-vymyslenych"/>
      <w:bookmarkEnd w:id="26"/>
      <w:r>
        <w:rPr/>
        <w:t>8.5 Jednotková ekonomika bez vymyšlených cílů</w:t>
      </w:r>
    </w:p>
    <w:p>
      <w:pPr>
        <w:pStyle w:val="BodyText"/>
        <w:bidi w:val="0"/>
        <w:jc w:val="left"/>
        <w:rPr/>
      </w:pPr>
      <w:r>
        <w:rPr/>
        <w:t>Pro každý placený případ zaznamenat cenu a hotovost, akviziční hodiny/náklad, onboarding, ruční opravy a podporu v minutách, přímé náklady dodavatelů/modelů/infrastruktury a případné vratky. Pokud dodání závisí na neomezené ruční práci, test zastavit, přecenit nebo zúžit.</w:t>
      </w:r>
    </w:p>
    <w:p>
      <w:pPr>
        <w:pStyle w:val="Heading2"/>
        <w:bidi w:val="0"/>
        <w:ind w:hanging="0" w:left="0" w:right="0"/>
        <w:jc w:val="left"/>
        <w:rPr/>
      </w:pPr>
      <w:bookmarkStart w:id="27" w:name="9-odpovednosti"/>
      <w:bookmarkEnd w:id="27"/>
      <w:r>
        <w:rPr/>
        <w:t>9. Odpovědnosti</w:t>
      </w:r>
    </w:p>
    <w:tbl>
      <w:tblPr>
        <w:tblW w:w="1009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38"/>
        <w:gridCol w:w="3174"/>
        <w:gridCol w:w="4080"/>
      </w:tblGrid>
      <w:tr>
        <w:trPr>
          <w:tblHeader w:val="true"/>
        </w:trPr>
        <w:tc>
          <w:tcPr>
            <w:tcW w:w="283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Role</w:t>
            </w:r>
          </w:p>
        </w:tc>
        <w:tc>
          <w:tcPr>
            <w:tcW w:w="31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Odpovědnost</w:t>
            </w:r>
          </w:p>
        </w:tc>
        <w:tc>
          <w:tcPr>
            <w:tcW w:w="408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Současné riziko</w:t>
            </w:r>
          </w:p>
        </w:tc>
      </w:tr>
      <w:tr>
        <w:trPr/>
        <w:tc>
          <w:tcPr>
            <w:tcW w:w="2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Vlastník firmy</w:t>
            </w:r>
          </w:p>
        </w:tc>
        <w:tc>
          <w:tcPr>
            <w:tcW w:w="3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rozhodovací brány, rozpočet, kapacita</w:t>
            </w:r>
          </w:p>
        </w:tc>
        <w:tc>
          <w:tcPr>
            <w:tcW w:w="4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role může být přetížena</w:t>
            </w:r>
          </w:p>
        </w:tc>
      </w:tr>
      <w:tr>
        <w:trPr/>
        <w:tc>
          <w:tcPr>
            <w:tcW w:w="2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Produktový vlastník</w:t>
            </w:r>
          </w:p>
        </w:tc>
        <w:tc>
          <w:tcPr>
            <w:tcW w:w="3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aktivace, kvalita workflow, omezení</w:t>
            </w:r>
          </w:p>
        </w:tc>
        <w:tc>
          <w:tcPr>
            <w:tcW w:w="4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bez instrumentace nelze rozhodovat</w:t>
            </w:r>
          </w:p>
        </w:tc>
      </w:tr>
      <w:tr>
        <w:trPr/>
        <w:tc>
          <w:tcPr>
            <w:tcW w:w="2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Obchodní vlastník</w:t>
            </w:r>
          </w:p>
        </w:tc>
        <w:tc>
          <w:tcPr>
            <w:tcW w:w="3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kvalifikace, pilot, platební závazek</w:t>
            </w:r>
          </w:p>
        </w:tc>
        <w:tc>
          <w:tcPr>
            <w:tcW w:w="4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dedikovaná kapacita nyní chybí</w:t>
            </w:r>
          </w:p>
        </w:tc>
      </w:tr>
      <w:tr>
        <w:trPr/>
        <w:tc>
          <w:tcPr>
            <w:tcW w:w="2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Marketingový/obsahový vlastník</w:t>
            </w:r>
          </w:p>
        </w:tc>
        <w:tc>
          <w:tcPr>
            <w:tcW w:w="3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use-case stránky, ukázky, distribuce</w:t>
            </w:r>
          </w:p>
        </w:tc>
        <w:tc>
          <w:tcPr>
            <w:tcW w:w="4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obsah bez reálného důkazu nepomůže</w:t>
            </w:r>
          </w:p>
        </w:tc>
      </w:tr>
      <w:tr>
        <w:trPr/>
        <w:tc>
          <w:tcPr>
            <w:tcW w:w="2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Externí autor/designér</w:t>
            </w:r>
          </w:p>
        </w:tc>
        <w:tc>
          <w:tcPr>
            <w:tcW w:w="3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jasně zadaný výstup</w:t>
            </w:r>
          </w:p>
        </w:tc>
        <w:tc>
          <w:tcPr>
            <w:tcW w:w="4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nesmí vlastnit strategické rozhodnutí bez mandátu</w:t>
            </w:r>
          </w:p>
        </w:tc>
      </w:tr>
    </w:tbl>
    <w:p>
      <w:pPr>
        <w:pStyle w:val="Heading2"/>
        <w:bidi w:val="0"/>
        <w:ind w:hanging="0" w:left="0" w:right="0"/>
        <w:jc w:val="left"/>
        <w:rPr/>
      </w:pPr>
      <w:bookmarkStart w:id="28" w:name="10-co-nyni-nedelat"/>
      <w:bookmarkEnd w:id="28"/>
      <w:r>
        <w:rPr/>
        <w:t>10. Co nyní nedělat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Nespouštět současně B2B a self-service větev bez odděleně přidělené kapacity a scorecardu.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Nevytvářet českou a anglickou akviziční vrstvu současně před ověřením jedné dosažitelné větve.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Nepřijímat citlivá firemní data, dokud nejsou jasné podmínky zpracování a vhodnost konfigurace.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Nevydávat zakladatelsky náročnou zakázkovou obsluhu za self-service.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Nepoužívat bezplatnou zakázkovou práci jako důkaz ochoty platit.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Neškálovat placenou reklamu před cílovými stránkami, instrumentací a prokázanou aktivací.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Nespouštět širokou B2B outbound kampaň bez dedikované obchodní kapacity.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Nevydávat neúspěšný první pilot za referenci a neopakovat stejný postup bez popsané příčiny a změny.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Nevytvářet případové studie bez skutečného zákazníka a souhlasu.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Nepoužívat zákaznická loga, „trusted by“, počty uživatelů, úsporu času nebo ROI bez důkazu.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Neoznamovat partnerství, které neexistuje.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Necílit obecné LMS, HR software, adaptivní vzdělávání ani SCORM dotazy, dokud produkt neodpovídá záměru.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Nepřekládat český a anglický obsah jedna ku jedné; potřeby a slovník se liší.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Nezakládat obecný blog o trendech bez vazby na konkrétní hledaný problém.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Nenakupovat katalogové nebo placené odkazy.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Nerozšiřovat další jazyk, dokud není obsloužená česká nebo anglická větev.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Neinvestovat další čas do kosmetického „SEO skóre“, když hlavním omezením je obsah a validace.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Nevyvolávat produktové nebo landing-page změny jen proto, že je tento dokument doporučuje; implementace vyžaduje samostatné rozhodnutí. </w:t>
      </w:r>
    </w:p>
    <w:p>
      <w:pPr>
        <w:pStyle w:val="Heading2"/>
        <w:bidi w:val="0"/>
        <w:ind w:hanging="0" w:left="0" w:right="0"/>
        <w:jc w:val="left"/>
        <w:rPr/>
      </w:pPr>
      <w:bookmarkStart w:id="29" w:name="11-rozhodovaci-tabule"/>
      <w:bookmarkEnd w:id="29"/>
      <w:r>
        <w:rPr/>
        <w:t>11. Rozhodovací tabule</w:t>
      </w:r>
    </w:p>
    <w:p>
      <w:pPr>
        <w:pStyle w:val="BodyText"/>
        <w:bidi w:val="0"/>
        <w:jc w:val="left"/>
        <w:rPr/>
      </w:pPr>
      <w:r>
        <w:rPr/>
        <w:t>Každé dva týdny zaznamenat pouze: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 bylo skutečně publikováno nebo změřeno;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kolik relevantních lidí zahájilo a dokončilo workflow;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 je zastavilo;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zda vznikla platební ochota;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jaké rozhodnutí z toho plyne. </w:t>
      </w:r>
    </w:p>
    <w:p>
      <w:pPr>
        <w:pStyle w:val="BodyText"/>
        <w:bidi w:val="0"/>
        <w:jc w:val="left"/>
        <w:rPr/>
      </w:pPr>
      <w:r>
        <w:rPr/>
        <w:t>Bez rozhodnutí se metrika mění v reportovací šum.</w:t>
      </w:r>
    </w:p>
    <w:p>
      <w:pPr>
        <w:pStyle w:val="Heading2"/>
        <w:bidi w:val="0"/>
        <w:ind w:hanging="0" w:left="0" w:right="0"/>
        <w:jc w:val="left"/>
        <w:rPr/>
      </w:pPr>
      <w:bookmarkStart w:id="30" w:name="12-zdrojovy-registr"/>
      <w:bookmarkEnd w:id="30"/>
      <w:r>
        <w:rPr/>
        <w:t>12. Zdrojový registr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potvrzené interní vstupy vedení Coursition</w:t>
      </w:r>
      <w:r>
        <w:rPr/>
        <w:t xml:space="preserve"> — obchodní stav, pilot, prodeje, partnerství, tým a kapacitní omezení.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SEO analýza a manuál Coursition</w:t>
      </w:r>
      <w:r>
        <w:rPr/>
        <w:t xml:space="preserve"> — publika, obsah, 90denní SEO plán a metriky.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strategická data SEO: cluster verdicts</w:t>
      </w:r>
      <w:r>
        <w:rPr/>
        <w:t xml:space="preserve"> — anglický primární a český sekundární shluk.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strategická data SEO: do-not-target</w:t>
      </w:r>
      <w:r>
        <w:rPr/>
        <w:t xml:space="preserve"> — explicitní oblasti, které nyní necílit.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strategická data SEO: roadmap</w:t>
      </w:r>
      <w:r>
        <w:rPr/>
        <w:t xml:space="preserve"> — technické a obsahové závislosti.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locales/cs/translation.json</w:t>
      </w:r>
      <w:r>
        <w:rPr/>
        <w:t xml:space="preserve"> — současný aktivační příslib landing page.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/>
        <w:jc w:val="left"/>
        <w:rPr/>
      </w:pPr>
      <w:r>
        <w:rPr>
          <w:rStyle w:val="SourceText"/>
        </w:rPr>
        <w:t>uživatelská metodika Coursition</w:t>
      </w:r>
      <w:r>
        <w:rPr/>
        <w:t xml:space="preserve"> — současné workflow produktu. </w:t>
      </w:r>
    </w:p>
    <w:sectPr>
      <w:type w:val="nextPage"/>
      <w:pgSz w:w="11906" w:h="16838"/>
      <w:pgMar w:left="907" w:right="907" w:gutter="0" w:header="0" w:top="1134" w:footer="0" w:bottom="124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coursition-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Marketingová strategie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