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12B4" w14:textId="3292E5EE" w:rsidR="00F86A29" w:rsidRDefault="00B446D7">
      <w:r w:rsidRPr="00B446D7">
        <w:rPr>
          <w:noProof/>
        </w:rPr>
        <w:drawing>
          <wp:inline distT="0" distB="0" distL="0" distR="0" wp14:anchorId="18A8A32F" wp14:editId="1D6E6D9A">
            <wp:extent cx="1224280" cy="5923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AB1C" w14:textId="31302E3C" w:rsidR="003933E3" w:rsidRDefault="003933E3"/>
    <w:p w14:paraId="206A7E34" w14:textId="161BD8FF" w:rsidR="003933E3" w:rsidRDefault="003933E3">
      <w:r>
        <w:rPr>
          <w:noProof/>
        </w:rPr>
        <w:lastRenderedPageBreak/>
        <mc:AlternateContent>
          <mc:Choice Requires="cx1">
            <w:drawing>
              <wp:inline distT="0" distB="0" distL="0" distR="0" wp14:anchorId="28E53C65" wp14:editId="5A3A9B74">
                <wp:extent cx="4903786" cy="2995083"/>
                <wp:effectExtent l="0" t="0" r="11430" b="152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3202C4-7A81-F199-56F8-6AAC9B8D52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28E53C65" wp14:editId="5A3A9B74">
                <wp:extent cx="4903786" cy="2995083"/>
                <wp:effectExtent l="0" t="0" r="11430" b="152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3202C4-7A81-F199-56F8-6AAC9B8D52C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393202C4-7A81-F199-56F8-6AAC9B8D52C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3470" cy="299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3933E3" w:rsidSect="00C51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D7"/>
    <w:rsid w:val="003933E3"/>
    <w:rsid w:val="00B446D7"/>
    <w:rsid w:val="00C515C8"/>
    <w:rsid w:val="00F8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256E"/>
  <w15:chartTrackingRefBased/>
  <w15:docId w15:val="{A4B9C8DB-15B4-4262-9688-3C31E67D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14/relationships/chartEx" Target="charts/chartEx1.xml"/><Relationship Id="rId4" Type="http://schemas.openxmlformats.org/officeDocument/2006/relationships/image" Target="media/image1.emf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isde\surfdrive\Shared\PetraBleekerLaboratory\00.manuscripts\10.chmielewskii\02.figures\supplemental\Bioassay%20screen%20Arjen%20on%20interesting%20IL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Sheet2!$B$2:$B$31</cx:f>
        <cx:lvl ptCount="30">
          <cx:pt idx="0">1955</cx:pt>
          <cx:pt idx="1">1955</cx:pt>
          <cx:pt idx="2">1955</cx:pt>
          <cx:pt idx="3">1955</cx:pt>
          <cx:pt idx="4">1955</cx:pt>
          <cx:pt idx="5">1955</cx:pt>
          <cx:pt idx="6">1927</cx:pt>
          <cx:pt idx="7">1927</cx:pt>
          <cx:pt idx="8">1927</cx:pt>
          <cx:pt idx="9">1927</cx:pt>
          <cx:pt idx="10">1927</cx:pt>
          <cx:pt idx="11">1932</cx:pt>
          <cx:pt idx="12">1932</cx:pt>
          <cx:pt idx="13">1932</cx:pt>
          <cx:pt idx="14">1932</cx:pt>
          <cx:pt idx="15">1932</cx:pt>
          <cx:pt idx="16">1939</cx:pt>
          <cx:pt idx="17">1939</cx:pt>
          <cx:pt idx="18">1939</cx:pt>
          <cx:pt idx="19">1939</cx:pt>
          <cx:pt idx="20">1939</cx:pt>
          <cx:pt idx="21">1945</cx:pt>
          <cx:pt idx="22">1945</cx:pt>
          <cx:pt idx="23">1945</cx:pt>
          <cx:pt idx="24">1945</cx:pt>
          <cx:pt idx="25">1945</cx:pt>
          <cx:pt idx="26">LA1840</cx:pt>
          <cx:pt idx="27">LA1840</cx:pt>
          <cx:pt idx="28">LA1840</cx:pt>
          <cx:pt idx="29">LA1840</cx:pt>
        </cx:lvl>
      </cx:strDim>
      <cx:numDim type="val">
        <cx:f>Sheet2!$E$2:$E$31</cx:f>
        <cx:lvl ptCount="30" formatCode="Standaard">
          <cx:pt idx="0">53.125</cx:pt>
          <cx:pt idx="1">40</cx:pt>
          <cx:pt idx="2">76.08695652173914</cx:pt>
          <cx:pt idx="3">10.526315789473683</cx:pt>
          <cx:pt idx="4">48.611111111111107</cx:pt>
          <cx:pt idx="5">4.4444444444444446</cx:pt>
          <cx:pt idx="6">0</cx:pt>
          <cx:pt idx="7">0</cx:pt>
          <cx:pt idx="8">0</cx:pt>
          <cx:pt idx="9">16.666666666666664</cx:pt>
          <cx:pt idx="10">10</cx:pt>
          <cx:pt idx="11">42.857142857142854</cx:pt>
          <cx:pt idx="12">12.76595744680851</cx:pt>
          <cx:pt idx="13">43.421052631578952</cx:pt>
          <cx:pt idx="14">20</cx:pt>
          <cx:pt idx="15">53.571428571428569</cx:pt>
          <cx:pt idx="16">68.852459016393439</cx:pt>
          <cx:pt idx="17">48.275862068965516</cx:pt>
          <cx:pt idx="18">45.652173913043477</cx:pt>
          <cx:pt idx="19">52.941176470588239</cx:pt>
          <cx:pt idx="20">25</cx:pt>
          <cx:pt idx="21">77.777777777777786</cx:pt>
          <cx:pt idx="22">31.25</cx:pt>
          <cx:pt idx="23">27.142857142857142</cx:pt>
          <cx:pt idx="24">16.216216216216218</cx:pt>
          <cx:pt idx="25">11.76470588235294</cx:pt>
          <cx:pt idx="26">0</cx:pt>
          <cx:pt idx="27">0</cx:pt>
          <cx:pt idx="28">0</cx:pt>
          <cx:pt idx="29">0</cx:pt>
        </cx:lvl>
      </cx:numDim>
    </cx:data>
  </cx:chartData>
  <cx:chart>
    <cx:plotArea>
      <cx:plotAreaRegion>
        <cx:series layoutId="boxWhisker" uniqueId="{254187C7-A086-4498-934A-57681D673F62}">
          <cx:tx>
            <cx:txData>
              <cx:f>Sheet2!$E$1</cx:f>
              <cx:v>eggs to nymphs (%)</cx:v>
            </cx:txData>
          </cx:tx>
          <cx:spPr>
            <a:solidFill>
              <a:schemeClr val="bg1">
                <a:lumMod val="75000"/>
              </a:schemeClr>
            </a:solidFill>
            <a:ln>
              <a:solidFill>
                <a:schemeClr val="tx1"/>
              </a:solidFill>
            </a:ln>
          </cx:spPr>
          <cx:dataId val="0"/>
          <cx:layoutPr>
            <cx:visibility meanLine="0" meanMarker="0" nonoutliers="1" outliers="1"/>
            <cx:statistics quartileMethod="exclusive"/>
          </cx:layoutPr>
        </cx:series>
      </cx:plotAreaRegion>
      <cx:axis id="0">
        <cx:catScaling gapWidth="1"/>
        <cx:title>
          <cx:tx>
            <cx:txData>
              <cx:v>Genotype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sz="1200">
                  <a:solidFill>
                    <a:schemeClr val="tx1"/>
                  </a:solidFill>
                  <a:latin typeface="Arial" panose="020B0604020202020204" pitchFamily="34" charset="0"/>
                  <a:ea typeface="Arial" panose="020B0604020202020204" pitchFamily="34" charset="0"/>
                  <a:cs typeface="Arial" panose="020B0604020202020204" pitchFamily="34" charset="0"/>
                </a:defRPr>
              </a:pPr>
              <a:r>
                <a:rPr lang="en-US" sz="1200" b="0" i="0" u="none" strike="noStrike" baseline="0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rPr>
                <a:t>Genotype</a:t>
              </a:r>
            </a:p>
          </cx:txPr>
        </cx:title>
        <cx:tickLabels/>
        <cx:spPr>
          <a:ln>
            <a:solidFill>
              <a:schemeClr val="tx1"/>
            </a:solidFill>
          </a:ln>
        </cx:spPr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50">
                <a:solidFill>
                  <a:schemeClr val="tx1"/>
                </a:solidFill>
                <a:latin typeface="Arial" panose="020B0604020202020204" pitchFamily="34" charset="0"/>
                <a:ea typeface="Arial" panose="020B0604020202020204" pitchFamily="34" charset="0"/>
                <a:cs typeface="Arial" panose="020B0604020202020204" pitchFamily="34" charset="0"/>
              </a:defRPr>
            </a:pPr>
            <a:endParaRPr lang="en-US" sz="1050" b="0" i="0" u="none" strike="noStrike" baseline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x:txPr>
      </cx:axis>
      <cx:axis id="1">
        <cx:valScaling max="100" min="0"/>
        <cx:title>
          <cx:tx>
            <cx:txData>
              <cx:v>Development egg to nymph (%)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sz="1200">
                  <a:solidFill>
                    <a:sysClr val="windowText" lastClr="000000"/>
                  </a:solidFill>
                  <a:latin typeface="Arial" panose="020B0604020202020204" pitchFamily="34" charset="0"/>
                  <a:ea typeface="Arial" panose="020B0604020202020204" pitchFamily="34" charset="0"/>
                  <a:cs typeface="Arial" panose="020B0604020202020204" pitchFamily="34" charset="0"/>
                </a:defRPr>
              </a:pPr>
              <a:r>
                <a:rPr lang="en-US" sz="1200" b="0" i="0" u="none" strike="noStrike" baseline="0">
                  <a:solidFill>
                    <a:sysClr val="windowText" lastClr="000000"/>
                  </a:solidFill>
                  <a:latin typeface="Arial" panose="020B0604020202020204" pitchFamily="34" charset="0"/>
                  <a:cs typeface="Arial" panose="020B0604020202020204" pitchFamily="34" charset="0"/>
                </a:rPr>
                <a:t>Development egg to nymph (%)</a:t>
              </a:r>
            </a:p>
          </cx:txPr>
        </cx:title>
        <cx:majorTickMarks type="out"/>
        <cx:tickLabels/>
        <cx:spPr>
          <a:ln>
            <a:solidFill>
              <a:schemeClr val="tx1"/>
            </a:solidFill>
          </a:ln>
        </cx:spPr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00">
                <a:solidFill>
                  <a:schemeClr val="tx1"/>
                </a:solidFill>
                <a:latin typeface="Arial" panose="020B0604020202020204" pitchFamily="34" charset="0"/>
                <a:ea typeface="Arial" panose="020B0604020202020204" pitchFamily="34" charset="0"/>
                <a:cs typeface="Arial" panose="020B0604020202020204" pitchFamily="34" charset="0"/>
              </a:defRPr>
            </a:pPr>
            <a:endParaRPr lang="en-US" sz="1000" b="0" i="0" u="none" strike="noStrike" baseline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x:txPr>
      </cx:axis>
    </cx:plotArea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Lissy-Anne Denkers</dc:creator>
  <cp:keywords/>
  <dc:description/>
  <cp:lastModifiedBy>Lissy-Anne Denkers</cp:lastModifiedBy>
  <cp:revision>2</cp:revision>
  <dcterms:created xsi:type="dcterms:W3CDTF">2023-07-12T13:18:00Z</dcterms:created>
  <dcterms:modified xsi:type="dcterms:W3CDTF">2023-07-12T14:48:00Z</dcterms:modified>
</cp:coreProperties>
</file>