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System Architecture</w:t>
      </w:r>
    </w:p>
    <w:p>
      <w:pPr>
        <w:pStyle w:val="Subtitle"/>
      </w:pPr>
      <w:r>
        <w:t xml:space="preserve">Mero Jugx — Nepal’s Business Operating System</w:t>
      </w:r>
    </w:p>
    <w:p>
      <w:pPr>
        <w:spacing w:after="12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6"/>
        <w:gridCol w:w="6854"/>
      </w:tblGrid>
      <w:tr>
        <w:trPr>
          <w:tblHeader/>
        </w:trP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</w:t>
            </w:r>
          </w:p>
        </w:tc>
        <w:tc>
          <w:tcPr>
            <w:tcW w:type="dxa" w:w="68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 Architecture (v1.0)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Audience</w:t>
            </w:r>
          </w:p>
        </w:tc>
        <w:tc>
          <w:tcPr>
            <w:tcW w:type="dxa" w:w="68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Engineering, Founders, Investors, New Hires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Scope</w:t>
            </w:r>
          </w:p>
        </w:tc>
        <w:tc>
          <w:tcPr>
            <w:tcW w:type="dxa" w:w="68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backend services, frontend shell, marketplace apps, data plane, infra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Code commit basis</w:t>
            </w:r>
          </w:p>
        </w:tc>
        <w:tc>
          <w:tcPr>
            <w:tcW w:type="dxa" w:w="68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Repository state — April 2026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Owner</w:t>
            </w:r>
          </w:p>
        </w:tc>
        <w:tc>
          <w:tcPr>
            <w:tcW w:type="dxa" w:w="68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Blendwit Pvt. Ltd.</w:t>
            </w:r>
          </w:p>
        </w:tc>
      </w:tr>
      <w:tr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Confidentiality</w:t>
            </w:r>
          </w:p>
        </w:tc>
        <w:tc>
          <w:tcPr>
            <w:tcW w:type="dxa" w:w="685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Internal — Proprietary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</w:pPr>
      <w:r>
        <w:t xml:space="preserve">Executive summary</w:t>
      </w:r>
    </w:p>
    <w:p>
      <w:r>
        <w:t xml:space="preserve">Mero Jugx is a </w:t>
      </w:r>
      <w:r>
        <w:rPr>
          <w:b/>
          <w:bCs/>
        </w:rPr>
        <w:t xml:space="preserve">multi-tenant ERP SaaS</w:t>
      </w:r>
      <w:r>
        <w:t xml:space="preserve"> built as a </w:t>
      </w:r>
      <w:r>
        <w:rPr>
          <w:b/>
          <w:bCs/>
        </w:rPr>
        <w:t xml:space="preserve">modular monolith</w:t>
      </w:r>
      <w:r>
        <w:t xml:space="preserve"> on NestJS 10 + PostgreSQL 15 + React 18, with Redis 7 for caching and rate-limit state. Ten business apps — CRM, Inventory, Accounting, HR, Khata, Board, CMS, Social, Tickets, Chat — share a single database with row-level tenant isolation via </w:t>
      </w:r>
      <w:r>
        <w:rPr>
          <w:rFonts w:ascii="Consolas" w:cs="Consolas" w:eastAsia="Consolas" w:hAnsi="Consolas"/>
          <w:sz w:val="20"/>
          <w:szCs w:val="20"/>
        </w:rPr>
        <w:t xml:space="preserve">organization_id</w:t>
      </w:r>
      <w:r>
        <w:t xml:space="preserve"> on every business entity. The platform is currently production-grade for the four flagship apps (CRM, Inventory, Accounting, Board) and feature-complete-but-beta for HR, Khata, and CMS. Social, Tickets, and Chat are functional scaffolds that need closing-the-loop work before the public beta gate.</w:t>
      </w:r>
    </w:p>
    <w:p>
      <w:r>
        <w:t xml:space="preserve">This document describes the as-built system, the deployment topology in use, the integration surface across apps, and the architectural changes recommended before promoting from internal alpha to public beta.</w:t>
      </w:r>
    </w:p>
    <w:p>
      <w:r>
        <w:br w:type="page"/>
      </w:r>
    </w:p>
    <w:p>
      <w:pPr>
        <w:pStyle w:val="Heading1"/>
      </w:pPr>
      <w:r>
        <w:t xml:space="preserve">1. Architectural pattern</w:t>
      </w:r>
    </w:p>
    <w:p>
      <w:pPr>
        <w:pStyle w:val="Heading2"/>
      </w:pPr>
      <w:r>
        <w:t xml:space="preserve">1.1 Modular monolith</w:t>
      </w:r>
    </w:p>
    <w:p>
      <w:r>
        <w:t xml:space="preserve">Each business app is its own NestJS module under </w:t>
      </w:r>
      <w:r>
        <w:rPr>
          <w:rFonts w:ascii="Consolas" w:cs="Consolas" w:eastAsia="Consolas" w:hAnsi="Consolas"/>
          <w:sz w:val="20"/>
          <w:szCs w:val="20"/>
        </w:rPr>
        <w:t xml:space="preserve">api/marketplace/</w:t>
      </w:r>
      <w:r>
        <w:t xml:space="preserve"> with its own controllers, services, DTOs, and TypeORM entities, but every module is compiled into a single Nest application and shares one PostgreSQL database. Two folders separate concerns: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api/marketplace/organization/</w:t>
      </w:r>
      <w:r>
        <w:t xml:space="preserve"> — apps that are private to a single tenant (CRM, Inventory, Accounting, HR, Khata, CMS).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api/marketplace/shared/</w:t>
      </w:r>
      <w:r>
        <w:t xml:space="preserve"> — apps that are also organization-scoped today but designed to permit cross-org views in the future (Board, Social).</w:t>
      </w:r>
    </w:p>
    <w:p>
      <w:r>
        <w:t xml:space="preserve">This pattern was chosen deliberately. A microservices split would have multiplied infra cost, deployment complexity, and inter-service auth overhead at a stage where the team is still iterating on entity shapes. The modular monolith preserves the option to extract any module into its own service later without rewriting the data model.</w:t>
      </w:r>
    </w:p>
    <w:p>
      <w:pPr>
        <w:pStyle w:val="Heading2"/>
      </w:pPr>
      <w:r>
        <w:t xml:space="preserve">1.2 Why this pays off now — and where it will hurt later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Strength today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Friction at scale</w:t>
            </w:r>
          </w:p>
        </w:tc>
      </w:tr>
      <w:tr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Cross-app joins are cheap (CRM invoice can reference Accounting customer with a foreign key, not an HTTP call).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single hot module (e.g., Chat WebSocket gateway) can starve the API process. Mitigated by rate limiting today, but eventually needs a worker pool split.</w:t>
            </w:r>
          </w:p>
        </w:tc>
      </w:tr>
      <w:tr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One auth surface, one Swagger doc, one deploy.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 release rebuilds and redeploys all 10 apps. CI build time grows linearly with module count.</w:t>
            </w:r>
          </w:p>
        </w:tc>
      </w:tr>
      <w:tr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Tenant isolation is enforced once, in one place.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Schema migrations affect every tenant simultaneously. There is no per-tenant rollback.</w:t>
            </w:r>
          </w:p>
        </w:tc>
      </w:tr>
      <w:tr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New developer onboards in one repo, one stack.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Bundle size on the frontend is significant; aggressive code-splitting per-app is essential (already in place via Vite manualChunks).</w:t>
            </w:r>
          </w:p>
        </w:tc>
      </w:tr>
    </w:tbl>
    <w:p>
      <w:pPr>
        <w:pStyle w:val="Heading1"/>
      </w:pPr>
      <w:r>
        <w:t xml:space="preserve">2. Tech stack</w:t>
      </w:r>
    </w:p>
    <w:tbl>
      <w:tblPr>
        <w:tblW w:type="dxa" w:w="1008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3226"/>
        <w:gridCol w:w="4637"/>
      </w:tblGrid>
      <w:tr>
        <w:trPr>
          <w:tblHeader/>
        </w:trPr>
        <w:tc>
          <w:tcPr>
            <w:tcW w:type="dxa" w:w="22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6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 &amp; version</w:t>
            </w:r>
          </w:p>
        </w:tc>
      </w:tr>
      <w:tr>
        <w:tc>
          <w:tcPr>
            <w:tcW w:type="dxa" w:w="22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Runtime</w:t>
            </w:r>
          </w:p>
        </w:tc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Node.js 22, TypeScript 5.2</w:t>
            </w:r>
          </w:p>
        </w:tc>
        <w:tc>
          <w:tcPr>
            <w:tcW w:type="dxa" w:w="46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 and frontend share the same major Node version in CI.</w:t>
            </w:r>
          </w:p>
        </w:tc>
      </w:tr>
      <w:tr>
        <w:tc>
          <w:tcPr>
            <w:tcW w:type="dxa" w:w="22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NestJS 10</w:t>
            </w:r>
          </w:p>
        </w:tc>
        <w:tc>
          <w:tcPr>
            <w:tcW w:type="dxa" w:w="46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Module-per-app structure, global ValidationPipe with whitelist + forbidNonWhitelisted, AllExceptionsFilter wired via APP_FILTER.</w:t>
            </w:r>
          </w:p>
        </w:tc>
      </w:tr>
      <w:tr>
        <w:tc>
          <w:tcPr>
            <w:tcW w:type="dxa" w:w="22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ORM</w:t>
            </w:r>
          </w:p>
        </w:tc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TypeORM</w:t>
            </w:r>
          </w:p>
        </w:tc>
        <w:tc>
          <w:tcPr>
            <w:tcW w:type="dxa" w:w="46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Migrations as the source of truth. synchronize defaults to false; only enabled when DB_SYNCHRONIZE=true (off in prod).</w:t>
            </w:r>
          </w:p>
        </w:tc>
      </w:tr>
      <w:tr>
        <w:tc>
          <w:tcPr>
            <w:tcW w:type="dxa" w:w="22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46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Single shared schema. Row-level tenant isolation via organization_id. Connection pool min 5 / max 20.</w:t>
            </w:r>
          </w:p>
        </w:tc>
      </w:tr>
      <w:tr>
        <w:tc>
          <w:tcPr>
            <w:tcW w:type="dxa" w:w="22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Cache + ratelimit</w:t>
            </w:r>
          </w:p>
        </w:tc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Redis 7</w:t>
            </w:r>
          </w:p>
        </w:tc>
        <w:tc>
          <w:tcPr>
            <w:tcW w:type="dxa" w:w="46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Used for sessions, throttler counters, and a generic TTL cache wrapper. App degrades gracefully when Redis is unreachable.</w:t>
            </w:r>
          </w:p>
        </w:tc>
      </w:tr>
      <w:tr>
        <w:tc>
          <w:tcPr>
            <w:tcW w:type="dxa" w:w="22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@nestjs/jwt + passport-jwt</w:t>
            </w:r>
          </w:p>
        </w:tc>
        <w:tc>
          <w:tcPr>
            <w:tcW w:type="dxa" w:w="46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15-minute access tokens, 7-day refresh tokens, bcrypt password hashing (default cost 10), TOTP MFA via speakeasy.</w:t>
            </w:r>
          </w:p>
        </w:tc>
      </w:tr>
      <w:tr>
        <w:tc>
          <w:tcPr>
            <w:tcW w:type="dxa" w:w="22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Real-time</w:t>
            </w:r>
          </w:p>
        </w:tc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Socket.IO 4.8</w:t>
            </w:r>
          </w:p>
        </w:tc>
        <w:tc>
          <w:tcPr>
            <w:tcW w:type="dxa" w:w="46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WebSocket gateway for Chat and notifications. Same process as the HTTP API today.</w:t>
            </w:r>
          </w:p>
        </w:tc>
      </w:tr>
      <w:tr>
        <w:tc>
          <w:tcPr>
            <w:tcW w:type="dxa" w:w="22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Mail</w:t>
            </w:r>
          </w:p>
        </w:tc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Nodemailer (SMTP) or Resend</w:t>
            </w:r>
          </w:p>
        </w:tc>
        <w:tc>
          <w:tcPr>
            <w:tcW w:type="dxa" w:w="46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Selectable via env. Resend preferred for production deliverability.</w:t>
            </w:r>
          </w:p>
        </w:tc>
      </w:tr>
      <w:tr>
        <w:tc>
          <w:tcPr>
            <w:tcW w:type="dxa" w:w="22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Payments</w:t>
            </w:r>
          </w:p>
        </w:tc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eSewa, Khalti, ConnectIPS, IME Pay, PayPal, Stripe</w:t>
            </w:r>
          </w:p>
        </w:tc>
        <w:tc>
          <w:tcPr>
            <w:tcW w:type="dxa" w:w="46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Each gateway has its own service under api/src/payments. Transaction state persisted in payments table.</w:t>
            </w:r>
          </w:p>
        </w:tc>
      </w:tr>
      <w:tr>
        <w:tc>
          <w:tcPr>
            <w:tcW w:type="dxa" w:w="22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React 18 + Vite 5</w:t>
            </w:r>
          </w:p>
        </w:tc>
        <w:tc>
          <w:tcPr>
            <w:tcW w:type="dxa" w:w="46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TanStack Query 5 for server state; Zustand 4 for client state with persist middleware.</w:t>
            </w:r>
          </w:p>
        </w:tc>
      </w:tr>
      <w:tr>
        <w:tc>
          <w:tcPr>
            <w:tcW w:type="dxa" w:w="22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UI primitives</w:t>
            </w:r>
          </w:p>
        </w:tc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Radix UI + Tailwind CSS 3</w:t>
            </w:r>
          </w:p>
        </w:tc>
        <w:tc>
          <w:tcPr>
            <w:tcW w:type="dxa" w:w="46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80+ shared components in shared/frontend/components; class-variance-authority for variants.</w:t>
            </w:r>
          </w:p>
        </w:tc>
      </w:tr>
      <w:tr>
        <w:tc>
          <w:tcPr>
            <w:tcW w:type="dxa" w:w="22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Forms</w:t>
            </w:r>
          </w:p>
        </w:tc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react-hook-form + Zod</w:t>
            </w:r>
          </w:p>
        </w:tc>
        <w:tc>
          <w:tcPr>
            <w:tcW w:type="dxa" w:w="46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Schema-validated forms across every app.</w:t>
            </w:r>
          </w:p>
        </w:tc>
      </w:tr>
      <w:tr>
        <w:tc>
          <w:tcPr>
            <w:tcW w:type="dxa" w:w="22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Winston + Sentry + Prometheus</w:t>
            </w:r>
          </w:p>
        </w:tc>
        <w:tc>
          <w:tcPr>
            <w:tcW w:type="dxa" w:w="46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Sentry traces and profiles enabled when DSN provided. Prometheus scrape at /metrics.</w:t>
            </w:r>
          </w:p>
        </w:tc>
      </w:tr>
      <w:tr>
        <w:tc>
          <w:tcPr>
            <w:tcW w:type="dxa" w:w="22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Nginx</w:t>
            </w:r>
          </w:p>
        </w:tc>
        <w:tc>
          <w:tcPr>
            <w:tcW w:type="dxa" w:w="46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TLS termination, gzip, static caching, rate limits at the edge (10 req/s API, 5 req/s auth).</w:t>
            </w:r>
          </w:p>
        </w:tc>
      </w:tr>
      <w:tr>
        <w:tc>
          <w:tcPr>
            <w:tcW w:type="dxa" w:w="22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Container runtime</w:t>
            </w:r>
          </w:p>
        </w:tc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46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Single compose file orchestrates Postgres, Redis, API, frontend; Nginx layered on top in prod overrides.</w:t>
            </w:r>
          </w:p>
        </w:tc>
      </w:tr>
      <w:tr>
        <w:tc>
          <w:tcPr>
            <w:tcW w:type="dxa" w:w="22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CI</w:t>
            </w:r>
          </w:p>
        </w:tc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6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 pipeline runs lint, tests, and dual builds (API + frontend); main branch protected to repo owner only.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Logical architecture</w:t>
      </w:r>
    </w:p>
    <w:p>
      <w:pPr>
        <w:pStyle w:val="Heading2"/>
      </w:pPr>
      <w:r>
        <w:t xml:space="preserve">3.1 Component diagram (textual)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                       ┌──────────────────────┐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   Browser  ─HTTPS───▶│   Nginx (TLS, rate limits)  │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                       └─────┬────────────────┘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│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                  /api/v1/*  │   /  (static assets, SPA)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▼                       ▼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                       ┌──────────────┐         ┌──────────────┐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                       │ NestJS API   │         │ React SPA    │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                       │ (port 3000)  │         │ (port 3001)  │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                       └─┬────────────┘         └──────────────┘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   ┌──────────────────┼─────────────────────┐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   ▼               ▼                  ▼                    ▼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┌──────────┐  ┌──────────┐  ┌──────────────┐  ┌────────────────┐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│ Postgres │  │ Redis    │  │ SMTP / Resend │  │ Payment        │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│ (data)   │  │ (cache)  │  │ (mail)        │  │ gateways (6x)  │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└──────────┘  └──────────┘  └──────────────┘  └────────────────┘</w:t>
      </w:r>
    </w:p>
    <w:p>
      <w:pPr>
        <w:pStyle w:val="Caption"/>
      </w:pPr>
      <w:r>
        <w:rPr>
          <w:i/>
          <w:iCs/>
          <w:color w:val="6B7280"/>
          <w:sz w:val="18"/>
          <w:szCs w:val="18"/>
        </w:rPr>
        <w:t xml:space="preserve">Components in production today. Sentry, Prometheus, and the WebSocket gateway are co-resident in the API process.</w:t>
      </w:r>
    </w:p>
    <w:p>
      <w:pPr>
        <w:pStyle w:val="Heading2"/>
      </w:pPr>
      <w:r>
        <w:t xml:space="preserve">3.2 Request lifecycle</w:t>
      </w:r>
    </w:p>
    <w:p>
      <w:pPr>
        <w:pStyle w:val="ListParagraph"/>
        <w:numPr>
          <w:ilvl w:val="0"/>
          <w:numId w:val="3"/>
        </w:numPr>
      </w:pPr>
      <w:r>
        <w:t xml:space="preserve">Browser issues an HTTPS request to api.&lt;domain&gt; or app.&lt;domain&gt;.</w:t>
      </w:r>
    </w:p>
    <w:p>
      <w:pPr>
        <w:pStyle w:val="ListParagraph"/>
        <w:numPr>
          <w:ilvl w:val="0"/>
          <w:numId w:val="3"/>
        </w:numPr>
      </w:pPr>
      <w:r>
        <w:t xml:space="preserve">Nginx terminates TLS, applies edge rate limits (10 req/s for /api, 5 req/s for /api/v1/auth), and proxies to the upstream container.</w:t>
      </w:r>
    </w:p>
    <w:p>
      <w:pPr>
        <w:pStyle w:val="ListParagraph"/>
        <w:numPr>
          <w:ilvl w:val="0"/>
          <w:numId w:val="3"/>
        </w:numPr>
      </w:pPr>
      <w:r>
        <w:t xml:space="preserve">NestJS Helmet middleware sets security headers; CORS validates the origin.</w:t>
      </w:r>
    </w:p>
    <w:p>
      <w:pPr>
        <w:pStyle w:val="ListParagraph"/>
        <w:numPr>
          <w:ilvl w:val="0"/>
          <w:numId w:val="3"/>
        </w:numPr>
      </w:pPr>
      <w:r>
        <w:t xml:space="preserve">Global </w:t>
      </w:r>
      <w:r>
        <w:rPr>
          <w:rFonts w:ascii="Consolas" w:cs="Consolas" w:eastAsia="Consolas" w:hAnsi="Consolas"/>
          <w:sz w:val="20"/>
          <w:szCs w:val="20"/>
        </w:rPr>
        <w:t xml:space="preserve">ValidationPipe</w:t>
      </w:r>
      <w:r>
        <w:t xml:space="preserve"> strips and validates the body using class-validator/Zod schemas in DTOs.</w:t>
      </w:r>
    </w:p>
    <w:p>
      <w:pPr>
        <w:pStyle w:val="ListParagraph"/>
        <w:numPr>
          <w:ilvl w:val="0"/>
          <w:numId w:val="3"/>
        </w:numPr>
      </w:pPr>
      <w:r>
        <w:t xml:space="preserve">Guard chain runs in order: </w:t>
      </w:r>
      <w:r>
        <w:rPr>
          <w:rFonts w:ascii="Consolas" w:cs="Consolas" w:eastAsia="Consolas" w:hAnsi="Consolas"/>
          <w:sz w:val="20"/>
          <w:szCs w:val="20"/>
        </w:rPr>
        <w:t xml:space="preserve">JwtAuthGuard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AppAccessGuard</w:t>
      </w:r>
      <w:r>
        <w:t xml:space="preserve"> (does this org have this app enabled?) → </w:t>
      </w:r>
      <w:r>
        <w:rPr>
          <w:rFonts w:ascii="Consolas" w:cs="Consolas" w:eastAsia="Consolas" w:hAnsi="Consolas"/>
          <w:sz w:val="20"/>
          <w:szCs w:val="20"/>
        </w:rPr>
        <w:t xml:space="preserve">PermissionsGuard</w:t>
      </w:r>
      <w:r>
        <w:t xml:space="preserve"> (does this user have the required permission for this route?).</w:t>
      </w:r>
    </w:p>
    <w:p>
      <w:pPr>
        <w:pStyle w:val="ListParagraph"/>
        <w:numPr>
          <w:ilvl w:val="0"/>
          <w:numId w:val="3"/>
        </w:numPr>
      </w:pPr>
      <w:r>
        <w:t xml:space="preserve">Controller delegates to a service, which uses TypeORM repositories. Every business query is filtered by </w:t>
      </w:r>
      <w:r>
        <w:rPr>
          <w:rFonts w:ascii="Consolas" w:cs="Consolas" w:eastAsia="Consolas" w:hAnsi="Consolas"/>
          <w:sz w:val="20"/>
          <w:szCs w:val="20"/>
        </w:rPr>
        <w:t xml:space="preserve">organizationId</w:t>
      </w:r>
      <w:r>
        <w:t xml:space="preserve"> derived from the authenticated session.</w:t>
      </w:r>
    </w:p>
    <w:p>
      <w:pPr>
        <w:pStyle w:val="ListParagraph"/>
        <w:numPr>
          <w:ilvl w:val="0"/>
          <w:numId w:val="3"/>
        </w:numPr>
      </w:pPr>
      <w:r>
        <w:t xml:space="preserve">Sentry captures unhandled errors; Winston writes structured logs (JSON in prod, colorized in dev); Prometheus updates request counters.</w:t>
      </w:r>
    </w:p>
    <w:p>
      <w:pPr>
        <w:pStyle w:val="ListParagraph"/>
        <w:numPr>
          <w:ilvl w:val="0"/>
          <w:numId w:val="3"/>
        </w:numPr>
      </w:pPr>
      <w:r>
        <w:t xml:space="preserve">Global </w:t>
      </w:r>
      <w:r>
        <w:rPr>
          <w:rFonts w:ascii="Consolas" w:cs="Consolas" w:eastAsia="Consolas" w:hAnsi="Consolas"/>
          <w:sz w:val="20"/>
          <w:szCs w:val="20"/>
        </w:rPr>
        <w:t xml:space="preserve">AllExceptionsFilter</w:t>
      </w:r>
      <w:r>
        <w:t xml:space="preserve"> normalizes the response envelope so the frontend always sees the same error shape.</w:t>
      </w:r>
    </w:p>
    <w:p>
      <w:pPr>
        <w:pStyle w:val="Heading2"/>
      </w:pPr>
      <w:r>
        <w:t xml:space="preserve">3.3 Frontend shell</w:t>
      </w:r>
    </w:p>
    <w:p>
      <w:r>
        <w:t xml:space="preserve">The React app is a single-page shell that lazy-loads each marketplace app on navigation. The router structure is: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/                                  → LoginPage / RegisterOrganizationPage / role selection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/org/:slug                         → DashboardLayout (org switcher, branch switcher, sidebar)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/org/:slug/apps/mero-crm/*         → lazy(crm router)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/org/:slug/apps/mero-inventory/*   → lazy(inventory router)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/org/:slug/apps/mero-accounting/*  → lazy(accounting router)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... per app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/admin/*                           → ProtectedRoute + SystemAdmin role</w:t>
      </w:r>
    </w:p>
    <w:p>
      <w:r>
        <w:t xml:space="preserve">State is split: </w:t>
      </w:r>
      <w:r>
        <w:rPr>
          <w:b/>
          <w:bCs/>
          <w:color w:val="1D4ED8"/>
        </w:rPr>
        <w:t xml:space="preserve">Zustand</w:t>
      </w:r>
      <w:r>
        <w:t xml:space="preserve"> stores hold session/auth/UI state with localStorage hydration via the persist middleware; </w:t>
      </w:r>
      <w:r>
        <w:rPr>
          <w:b/>
          <w:bCs/>
          <w:color w:val="1D4ED8"/>
        </w:rPr>
        <w:t xml:space="preserve">TanStack Query</w:t>
      </w:r>
      <w:r>
        <w:t xml:space="preserve"> owns server data with per-resource cache keys. Forms use react-hook-form + Zod, mirroring backend DTO shapes so client and server validation stay in sync.</w:t>
      </w:r>
    </w:p>
    <w:p>
      <w:r>
        <w:br w:type="page"/>
      </w:r>
    </w:p>
    <w:p>
      <w:pPr>
        <w:pStyle w:val="Heading1"/>
      </w:pPr>
      <w:r>
        <w:t xml:space="preserve">4. Multi-tenancy</w:t>
      </w:r>
    </w:p>
    <w:p>
      <w:pPr>
        <w:pStyle w:val="Heading2"/>
      </w:pPr>
      <w:r>
        <w:t xml:space="preserve">4.1 Isolation model</w:t>
      </w:r>
    </w:p>
    <w:p>
      <w:r>
        <w:t xml:space="preserve">Tenancy is </w:t>
      </w:r>
      <w:r>
        <w:rPr>
          <w:b/>
          <w:bCs/>
        </w:rPr>
        <w:t xml:space="preserve">row-scoped within a shared schema</w:t>
      </w:r>
      <w:r>
        <w:t xml:space="preserve">. Every tenant-owned entity declares an </w:t>
      </w:r>
      <w:r>
        <w:rPr>
          <w:rFonts w:ascii="Consolas" w:cs="Consolas" w:eastAsia="Consolas" w:hAnsi="Consolas"/>
          <w:sz w:val="20"/>
          <w:szCs w:val="20"/>
        </w:rPr>
        <w:t xml:space="preserve">organization_id</w:t>
      </w:r>
      <w:r>
        <w:t xml:space="preserve"> column with a foreign key onto </w:t>
      </w:r>
      <w:r>
        <w:rPr>
          <w:rFonts w:ascii="Consolas" w:cs="Consolas" w:eastAsia="Consolas" w:hAnsi="Consolas"/>
          <w:sz w:val="20"/>
          <w:szCs w:val="20"/>
        </w:rPr>
        <w:t xml:space="preserve">organizations(id)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ON DELETE CASCADE</w:t>
      </w:r>
      <w:r>
        <w:t xml:space="preserve">. Authorization is enforced at three layers: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JWT payload</w:t>
      </w:r>
      <w:r>
        <w:t xml:space="preserve"> carries the user id; refresh tokens are bound to a session row in Redis.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Org membership lookup</w:t>
      </w:r>
      <w:r>
        <w:t xml:space="preserve"> — the request handler resolves the user’s active organization from the URL slug and validates membership in </w:t>
      </w:r>
      <w:r>
        <w:rPr>
          <w:rFonts w:ascii="Consolas" w:cs="Consolas" w:eastAsia="Consolas" w:hAnsi="Consolas"/>
          <w:sz w:val="20"/>
          <w:szCs w:val="20"/>
        </w:rPr>
        <w:t xml:space="preserve">organization_members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Repository-level filter</w:t>
      </w:r>
      <w:r>
        <w:t xml:space="preserve"> — every service queries by </w:t>
      </w:r>
      <w:r>
        <w:rPr>
          <w:rFonts w:ascii="Consolas" w:cs="Consolas" w:eastAsia="Consolas" w:hAnsi="Consolas"/>
          <w:sz w:val="20"/>
          <w:szCs w:val="20"/>
        </w:rPr>
        <w:t xml:space="preserve">organizationId</w:t>
      </w:r>
      <w:r>
        <w:t xml:space="preserve"> explicitly. There is currently no implicit row-level security in the database, so this filter is the line of defence.</w:t>
      </w:r>
    </w:p>
    <w:p>
      <w:pPr>
        <w:pStyle w:val="Heading2"/>
      </w:pPr>
      <w:r>
        <w:t xml:space="preserve">4.2 Verified by tests</w:t>
      </w:r>
    </w:p>
    <w:p>
      <w:r>
        <w:t xml:space="preserve">A dedicated end-to-end test, </w:t>
      </w:r>
      <w:r>
        <w:rPr>
          <w:rFonts w:ascii="Consolas" w:cs="Consolas" w:eastAsia="Consolas" w:hAnsi="Consolas"/>
          <w:sz w:val="20"/>
          <w:szCs w:val="20"/>
        </w:rPr>
        <w:t xml:space="preserve">api/test/multi-tenancy-isolation.e2e-spec.ts</w:t>
      </w:r>
      <w:r>
        <w:t xml:space="preserve">, asserts that a user in Org A cannot read or mutate any record belonging to Org B across the major modules. This is the most important behavioural test in the suite and should be expanded to cover every new entity.</w:t>
      </w:r>
    </w:p>
    <w:p>
      <w:pPr>
        <w:pStyle w:val="Heading2"/>
      </w:pPr>
      <w:r>
        <w:t xml:space="preserve">4.3 Known gaps</w:t>
      </w:r>
    </w:p>
    <w:p>
      <w:pPr>
        <w:pStyle w:val="ListParagraph"/>
        <w:numPr>
          <w:ilvl w:val="0"/>
          <w:numId w:val="2"/>
        </w:numPr>
      </w:pPr>
      <w:r>
        <w:t xml:space="preserve">There is no PostgreSQL row-level security policy as a backstop. A bug that omits the WHERE filter would leak data. Recommend adding RLS as a defence-in-depth step before public beta.</w:t>
      </w:r>
    </w:p>
    <w:p>
      <w:pPr>
        <w:pStyle w:val="ListParagraph"/>
        <w:numPr>
          <w:ilvl w:val="0"/>
          <w:numId w:val="2"/>
        </w:numPr>
      </w:pPr>
      <w:r>
        <w:t xml:space="preserve">Tenant context is implicit in the URL slug rather than carried in the JWT. Any new endpoint that forgets to read the slug or call </w:t>
      </w:r>
      <w:r>
        <w:rPr>
          <w:rFonts w:ascii="Consolas" w:cs="Consolas" w:eastAsia="Consolas" w:hAnsi="Consolas"/>
          <w:sz w:val="20"/>
          <w:szCs w:val="20"/>
        </w:rPr>
        <w:t xml:space="preserve">CurrentOrg</w:t>
      </w:r>
      <w:r>
        <w:t xml:space="preserve"> can default to the wrong org silently.</w:t>
      </w:r>
    </w:p>
    <w:p>
      <w:pPr>
        <w:pStyle w:val="ListParagraph"/>
        <w:numPr>
          <w:ilvl w:val="0"/>
          <w:numId w:val="2"/>
        </w:numPr>
      </w:pPr>
      <w:r>
        <w:t xml:space="preserve">Tenant-aware indexes are not consistently composite (organization_id, created_at). Several large tables would benefit from explicit composite indexes once data volumes grow.</w:t>
      </w:r>
    </w:p>
    <w:p>
      <w:r>
        <w:br w:type="page"/>
      </w:r>
    </w:p>
    <w:p>
      <w:pPr>
        <w:pStyle w:val="Heading1"/>
      </w:pPr>
      <w:r>
        <w:t xml:space="preserve">5. Auth, RBAC, and security</w:t>
      </w:r>
    </w:p>
    <w:p>
      <w:pPr>
        <w:pStyle w:val="Heading2"/>
      </w:pPr>
      <w:r>
        <w:t xml:space="preserve">5.1 Authentication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7056"/>
      </w:tblGrid>
      <w:tr>
        <w:trPr>
          <w:tblHeader/>
        </w:trPr>
        <w:tc>
          <w:tcPr>
            <w:tcW w:type="dxa" w:w="30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705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0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Password login</w:t>
            </w:r>
          </w:p>
        </w:tc>
        <w:tc>
          <w:tcPr>
            <w:tcW w:type="dxa" w:w="705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Email + password, bcrypt compare, returns access + refresh JWT pair.</w:t>
            </w:r>
          </w:p>
        </w:tc>
      </w:tr>
      <w:tr>
        <w:tc>
          <w:tcPr>
            <w:tcW w:type="dxa" w:w="30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MFA (TOTP)</w:t>
            </w:r>
          </w:p>
        </w:tc>
        <w:tc>
          <w:tcPr>
            <w:tcW w:type="dxa" w:w="705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speakeasy library; secret stored encrypted on the user row; backup codes JSON-array column; setup_completed_at timestamp.</w:t>
            </w:r>
          </w:p>
        </w:tc>
      </w:tr>
      <w:tr>
        <w:tc>
          <w:tcPr>
            <w:tcW w:type="dxa" w:w="30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Refresh</w:t>
            </w:r>
          </w:p>
        </w:tc>
        <w:tc>
          <w:tcPr>
            <w:tcW w:type="dxa" w:w="705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Refresh token submitted to /auth/refresh; rotated on every use; old refresh marked revoked.</w:t>
            </w:r>
          </w:p>
        </w:tc>
      </w:tr>
      <w:tr>
        <w:tc>
          <w:tcPr>
            <w:tcW w:type="dxa" w:w="30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Email verification</w:t>
            </w:r>
          </w:p>
        </w:tc>
        <w:tc>
          <w:tcPr>
            <w:tcW w:type="dxa" w:w="705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OTP-based via SMTP/Resend. Required before first login.</w:t>
            </w:r>
          </w:p>
        </w:tc>
      </w:tr>
      <w:tr>
        <w:tc>
          <w:tcPr>
            <w:tcW w:type="dxa" w:w="30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Password reset</w:t>
            </w:r>
          </w:p>
        </w:tc>
        <w:tc>
          <w:tcPr>
            <w:tcW w:type="dxa" w:w="705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Tokenised reset link with TTL. Reset clears all active refresh tokens.</w:t>
            </w:r>
          </w:p>
        </w:tc>
      </w:tr>
      <w:tr>
        <w:tc>
          <w:tcPr>
            <w:tcW w:type="dxa" w:w="30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 admin</w:t>
            </w:r>
          </w:p>
        </w:tc>
        <w:tc>
          <w:tcPr>
            <w:tcW w:type="dxa" w:w="705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Separate /api/v1/admin route tree guarded by SystemAdmin role decorator.</w:t>
            </w:r>
          </w:p>
        </w:tc>
      </w:tr>
    </w:tbl>
    <w:p>
      <w:pPr>
        <w:pStyle w:val="Heading2"/>
      </w:pPr>
      <w:r>
        <w:t xml:space="preserve">5.2 Authorisation — packages, roles, and permissions</w:t>
      </w:r>
    </w:p>
    <w:p>
      <w:r>
        <w:t xml:space="preserve">Authorization is a four-tier model: </w:t>
      </w:r>
      <w:r>
        <w:rPr>
          <w:b/>
          <w:bCs/>
        </w:rPr>
        <w:t xml:space="preserve">Package</w:t>
      </w:r>
      <w:r>
        <w:t xml:space="preserve"> (what features the org subscribed to) → </w:t>
      </w:r>
      <w:r>
        <w:rPr>
          <w:b/>
          <w:bCs/>
        </w:rPr>
        <w:t xml:space="preserve">Organization App</w:t>
      </w:r>
      <w:r>
        <w:t xml:space="preserve"> (which apps are enabled for this org) → </w:t>
      </w:r>
      <w:r>
        <w:rPr>
          <w:b/>
          <w:bCs/>
        </w:rPr>
        <w:t xml:space="preserve">Role</w:t>
      </w:r>
      <w:r>
        <w:t xml:space="preserve"> (template such as Owner, Admin, Manager, Staff) → </w:t>
      </w:r>
      <w:r>
        <w:rPr>
          <w:b/>
          <w:bCs/>
        </w:rPr>
        <w:t xml:space="preserve">Permission</w:t>
      </w:r>
      <w:r>
        <w:t xml:space="preserve"> (granular action: crm.lead.create, accounting.journal.approve, etc.). All four tiers are seeded on bootstrap from </w:t>
      </w:r>
      <w:r>
        <w:rPr>
          <w:rFonts w:ascii="Consolas" w:cs="Consolas" w:eastAsia="Consolas" w:hAnsi="Consolas"/>
          <w:sz w:val="20"/>
          <w:szCs w:val="20"/>
        </w:rPr>
        <w:t xml:space="preserve">api/src/database/seeds/</w:t>
      </w:r>
      <w:r>
        <w:t xml:space="preserve"> so a fresh deploy comes up with sensible defaults.</w:t>
      </w:r>
    </w:p>
    <w:p>
      <w:pPr>
        <w:pStyle w:val="Heading2"/>
      </w:pPr>
      <w:r>
        <w:t xml:space="preserve">5.3 Edge security</w:t>
      </w:r>
    </w:p>
    <w:p>
      <w:pPr>
        <w:pStyle w:val="ListParagraph"/>
        <w:numPr>
          <w:ilvl w:val="0"/>
          <w:numId w:val="2"/>
        </w:numPr>
      </w:pPr>
      <w:r>
        <w:t xml:space="preserve">Helmet sets CSP (self + data + https for images), X-Frame-Options, X-Content-Type-Options, Referrer-Policy.</w:t>
      </w:r>
    </w:p>
    <w:p>
      <w:pPr>
        <w:pStyle w:val="ListParagraph"/>
        <w:numPr>
          <w:ilvl w:val="0"/>
          <w:numId w:val="2"/>
        </w:numPr>
      </w:pPr>
      <w:r>
        <w:t xml:space="preserve">CORS validates origins dynamically against an allow-list and supports credentials.</w:t>
      </w:r>
    </w:p>
    <w:p>
      <w:pPr>
        <w:pStyle w:val="ListParagraph"/>
        <w:numPr>
          <w:ilvl w:val="0"/>
          <w:numId w:val="2"/>
        </w:numPr>
      </w:pPr>
      <w:r>
        <w:t xml:space="preserve">@nestjs/throttler caps API at 10 req/min globally; Nginx adds a second layer at the edge.</w:t>
      </w:r>
    </w:p>
    <w:p>
      <w:pPr>
        <w:pStyle w:val="ListParagraph"/>
        <w:numPr>
          <w:ilvl w:val="0"/>
          <w:numId w:val="2"/>
        </w:numPr>
      </w:pPr>
      <w:r>
        <w:t xml:space="preserve">Sensitive payload fields (</w:t>
      </w:r>
      <w:r>
        <w:rPr>
          <w:rFonts w:ascii="Consolas" w:cs="Consolas" w:eastAsia="Consolas" w:hAnsi="Consolas"/>
          <w:sz w:val="20"/>
          <w:szCs w:val="20"/>
        </w:rPr>
        <w:t xml:space="preserve">password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token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secret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authorization</w:t>
      </w:r>
      <w:r>
        <w:t xml:space="preserve">) are stripped before being sent to Sentry.</w:t>
      </w:r>
    </w:p>
    <w:p>
      <w:pPr>
        <w:pStyle w:val="ListParagraph"/>
        <w:numPr>
          <w:ilvl w:val="0"/>
          <w:numId w:val="2"/>
        </w:numPr>
      </w:pPr>
      <w:r>
        <w:t xml:space="preserve">Husky pre-commit hook runs migration:validate to catch schema drift before code lands on a branch.</w:t>
      </w:r>
    </w:p>
    <w:p>
      <w:r>
        <w:br w:type="page"/>
      </w:r>
    </w:p>
    <w:p>
      <w:pPr>
        <w:pStyle w:val="Heading1"/>
      </w:pPr>
      <w:r>
        <w:t xml:space="preserve">6. Integration surface</w:t>
      </w:r>
    </w:p>
    <w:p>
      <w:pPr>
        <w:pStyle w:val="Heading2"/>
      </w:pPr>
      <w:r>
        <w:t xml:space="preserve">6.1 Payment gateways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3"/>
        <w:gridCol w:w="1613"/>
        <w:gridCol w:w="1814"/>
        <w:gridCol w:w="5040"/>
      </w:tblGrid>
      <w:tr>
        <w:trPr>
          <w:tblHeader/>
        </w:trPr>
        <w:tc>
          <w:tcPr>
            <w:tcW w:type="dxa" w:w="16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Gateway</w:t>
            </w:r>
          </w:p>
        </w:tc>
        <w:tc>
          <w:tcPr>
            <w:tcW w:type="dxa" w:w="16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Webhook handled?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6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eSewa</w:t>
            </w:r>
          </w:p>
        </w:tc>
        <w:tc>
          <w:tcPr>
            <w:tcW w:type="dxa" w:w="16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Real API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Partial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Test/prod toggle from env. HMAC-SHA256 signature on outbound. Inbound webhook verification not explicit — add before beta.</w:t>
            </w:r>
          </w:p>
        </w:tc>
      </w:tr>
      <w:tr>
        <w:tc>
          <w:tcPr>
            <w:tcW w:type="dxa" w:w="16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Khalti</w:t>
            </w:r>
          </w:p>
        </w:tc>
        <w:tc>
          <w:tcPr>
            <w:tcW w:type="dxa" w:w="16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Real API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Standard verification flow.</w:t>
            </w:r>
          </w:p>
        </w:tc>
      </w:tr>
      <w:tr>
        <w:tc>
          <w:tcPr>
            <w:tcW w:type="dxa" w:w="16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ConnectIPS</w:t>
            </w:r>
          </w:p>
        </w:tc>
        <w:tc>
          <w:tcPr>
            <w:tcW w:type="dxa" w:w="16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Real API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Bank rails; longest settlement window.</w:t>
            </w:r>
          </w:p>
        </w:tc>
      </w:tr>
      <w:tr>
        <w:tc>
          <w:tcPr>
            <w:tcW w:type="dxa" w:w="16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IME Pay</w:t>
            </w:r>
          </w:p>
        </w:tc>
        <w:tc>
          <w:tcPr>
            <w:tcW w:type="dxa" w:w="16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Real API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Wallet rails.</w:t>
            </w:r>
          </w:p>
        </w:tc>
      </w:tr>
      <w:tr>
        <w:tc>
          <w:tcPr>
            <w:tcW w:type="dxa" w:w="16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PayPal</w:t>
            </w:r>
          </w:p>
        </w:tc>
        <w:tc>
          <w:tcPr>
            <w:tcW w:type="dxa" w:w="16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Real API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International route; standard PayPal SDK.</w:t>
            </w:r>
          </w:p>
        </w:tc>
      </w:tr>
      <w:tr>
        <w:tc>
          <w:tcPr>
            <w:tcW w:type="dxa" w:w="16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Stripe</w:t>
            </w:r>
          </w:p>
        </w:tc>
        <w:tc>
          <w:tcPr>
            <w:tcW w:type="dxa" w:w="161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Real API</w:t>
            </w:r>
          </w:p>
        </w:tc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Used for subscription billing in non-NPR markets.</w:t>
            </w:r>
          </w:p>
        </w:tc>
      </w:tr>
    </w:tbl>
    <w:p>
      <w:r>
        <w:t xml:space="preserve">All gateways persist transaction state in a single </w:t>
      </w:r>
      <w:r>
        <w:rPr>
          <w:rFonts w:ascii="Consolas" w:cs="Consolas" w:eastAsia="Consolas" w:hAnsi="Consolas"/>
          <w:sz w:val="20"/>
          <w:szCs w:val="20"/>
        </w:rPr>
        <w:t xml:space="preserve">payments</w:t>
      </w:r>
      <w:r>
        <w:t xml:space="preserve"> table with status enum (PENDING/COMPLETED/FAILED/REFUNDED) and a discriminator </w:t>
      </w:r>
      <w:r>
        <w:rPr>
          <w:rFonts w:ascii="Consolas" w:cs="Consolas" w:eastAsia="Consolas" w:hAnsi="Consolas"/>
          <w:sz w:val="20"/>
          <w:szCs w:val="20"/>
        </w:rPr>
        <w:t xml:space="preserve">payment_type</w:t>
      </w:r>
      <w:r>
        <w:t xml:space="preserve"> (SUBSCRIPTION/INVOICE_PAYMENT/MANUAL/REFUND). Reconciliation is allocation-driven via a separate </w:t>
      </w:r>
      <w:r>
        <w:rPr>
          <w:rFonts w:ascii="Consolas" w:cs="Consolas" w:eastAsia="Consolas" w:hAnsi="Consolas"/>
          <w:sz w:val="20"/>
          <w:szCs w:val="20"/>
        </w:rPr>
        <w:t xml:space="preserve">payment_allocations</w:t>
      </w:r>
      <w:r>
        <w:t xml:space="preserve"> table that links payments to invoices.</w:t>
      </w:r>
    </w:p>
    <w:p>
      <w:pPr>
        <w:pStyle w:val="Heading2"/>
      </w:pPr>
      <w:r>
        <w:t xml:space="preserve">6.2 Notification fan-out</w:t>
      </w:r>
    </w:p>
    <w:p>
      <w:r>
        <w:t xml:space="preserve">On state changes that matter (payment completed, invoice issued, lead assigned, ticket escalated), a NotificationService writes to </w:t>
      </w:r>
      <w:r>
        <w:rPr>
          <w:rFonts w:ascii="Consolas" w:cs="Consolas" w:eastAsia="Consolas" w:hAnsi="Consolas"/>
          <w:sz w:val="20"/>
          <w:szCs w:val="20"/>
        </w:rPr>
        <w:t xml:space="preserve">notifications</w:t>
      </w:r>
      <w:r>
        <w:t xml:space="preserve"> and dispatches via configured channels: in-app (Socket.IO push), email (SMTP/Resend), and SMS/WhatsApp where credentials are present (Twilio + a WhatsApp send helper).</w:t>
      </w:r>
    </w:p>
    <w:p>
      <w:pPr>
        <w:pStyle w:val="Heading2"/>
      </w:pPr>
      <w:r>
        <w:t xml:space="preserve">6.3 Observability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5040"/>
      </w:tblGrid>
      <w:tr>
        <w:trPr>
          <w:tblHeader/>
        </w:trPr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Tooling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Where it lives</w:t>
            </w:r>
          </w:p>
        </w:tc>
      </w:tr>
      <w:tr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Logs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Winston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Console (dev), JSON to stdout + rotated file in prod (5MB x 5 files)</w:t>
            </w:r>
          </w:p>
        </w:tc>
      </w:tr>
      <w:tr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Errors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Sentry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Optional via SENTRY_DSN; trace + profile sampling configurable</w:t>
            </w:r>
          </w:p>
        </w:tc>
      </w:tr>
      <w:tr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Metrics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Prometheus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/metrics scrape endpoint (no /api prefix); request counts and latency histograms</w:t>
            </w:r>
          </w:p>
        </w:tc>
      </w:tr>
      <w:tr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Health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@nestjs/terminus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/api/v1/health returns DB + Redis state</w:t>
            </w:r>
          </w:p>
        </w:tc>
      </w:tr>
      <w:tr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Audit</w:t>
            </w:r>
          </w:p>
        </w:tc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audit_logs table</w:t>
            </w:r>
          </w:p>
        </w:tc>
        <w:tc>
          <w:tcPr>
            <w:tcW w:type="dxa" w:w="50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 privileged action (role change, permission grant, payment override) is recorded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Deployment topology</w:t>
      </w:r>
    </w:p>
    <w:p>
      <w:pPr>
        <w:pStyle w:val="Heading2"/>
      </w:pPr>
      <w:r>
        <w:t xml:space="preserve">7.1 Reference deployment (self-hosted)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docker compose -f docker-compose.yml -f docker-compose.prod.yml up -d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services: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  postgres   (15)   → volume: postgres_data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  redis      (7)    → volume: redis_data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  api        (Nest) → depends on postgres + redis healthy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  frontend   (SPA)  → depends on api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  nginx      (TLS)  → fronts api + frontend, applies rate limits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Code"/>
      </w:pPr>
      <w:r>
        <w:rPr>
          <w:rFonts w:ascii="Consolas" w:cs="Consolas" w:eastAsia="Consolas" w:hAnsi="Consolas"/>
          <w:sz w:val="20"/>
          <w:szCs w:val="20"/>
        </w:rPr>
        <w:t xml:space="preserve">network: mero-jugx-network (bridge)</w:t>
      </w:r>
    </w:p>
    <w:p>
      <w:pPr>
        <w:pStyle w:val="Heading2"/>
      </w:pPr>
      <w:r>
        <w:t xml:space="preserve">7.2 Cloud paths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Railway</w:t>
      </w:r>
      <w:r>
        <w:t xml:space="preserve"> — connect the GitHub repo, set env vars, Procfile drives the boot. Suitable for a staging environment.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Vercel + Railway</w:t>
      </w:r>
      <w:r>
        <w:t xml:space="preserve"> — deploy </w:t>
      </w:r>
      <w:r>
        <w:rPr>
          <w:rFonts w:ascii="Consolas" w:cs="Consolas" w:eastAsia="Consolas" w:hAnsi="Consolas"/>
          <w:sz w:val="20"/>
          <w:szCs w:val="20"/>
        </w:rPr>
        <w:t xml:space="preserve">app/</w:t>
      </w:r>
      <w:r>
        <w:t xml:space="preserve"> to Vercel, </w:t>
      </w:r>
      <w:r>
        <w:rPr>
          <w:rFonts w:ascii="Consolas" w:cs="Consolas" w:eastAsia="Consolas" w:hAnsi="Consolas"/>
          <w:sz w:val="20"/>
          <w:szCs w:val="20"/>
        </w:rPr>
        <w:t xml:space="preserve">api/</w:t>
      </w:r>
      <w:r>
        <w:t xml:space="preserve"> to Railway, point </w:t>
      </w:r>
      <w:r>
        <w:rPr>
          <w:rFonts w:ascii="Consolas" w:cs="Consolas" w:eastAsia="Consolas" w:hAnsi="Consolas"/>
          <w:sz w:val="20"/>
          <w:szCs w:val="20"/>
        </w:rPr>
        <w:t xml:space="preserve">VITE_API_URL</w:t>
      </w:r>
      <w:r>
        <w:t xml:space="preserve"> at the Railway URL.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 Kubernetes</w:t>
      </w:r>
      <w:r>
        <w:t xml:space="preserve"> — not currently in scope. The compose file and Dockerfiles port cleanly to a Helm chart when needed.</w:t>
      </w:r>
    </w:p>
    <w:p>
      <w:pPr>
        <w:pStyle w:val="Heading2"/>
      </w:pPr>
      <w:r>
        <w:t xml:space="preserve">7.3 What is missing for a hardened production posture</w:t>
      </w:r>
    </w:p>
    <w:p>
      <w:pPr>
        <w:pStyle w:val="ListParagraph"/>
        <w:numPr>
          <w:ilvl w:val="0"/>
          <w:numId w:val="2"/>
        </w:numPr>
      </w:pPr>
      <w:r>
        <w:t xml:space="preserve">No managed Postgres failover. The compose file runs a single Postgres container with a local volume.</w:t>
      </w:r>
    </w:p>
    <w:p>
      <w:pPr>
        <w:pStyle w:val="ListParagraph"/>
        <w:numPr>
          <w:ilvl w:val="0"/>
          <w:numId w:val="2"/>
        </w:numPr>
      </w:pPr>
      <w:r>
        <w:t xml:space="preserve">No automated backups in the deploy artefacts. A scripts/db-init.sh exists but no scheduled pg_dump or PITR.</w:t>
      </w:r>
    </w:p>
    <w:p>
      <w:pPr>
        <w:pStyle w:val="ListParagraph"/>
        <w:numPr>
          <w:ilvl w:val="0"/>
          <w:numId w:val="2"/>
        </w:numPr>
      </w:pPr>
      <w:r>
        <w:t xml:space="preserve">Single API replica. The Nginx upstream block has commented placeholders for additional instances; horizontal scale is wiring-only away but untested.</w:t>
      </w:r>
    </w:p>
    <w:p>
      <w:pPr>
        <w:pStyle w:val="ListParagraph"/>
        <w:numPr>
          <w:ilvl w:val="0"/>
          <w:numId w:val="2"/>
        </w:numPr>
      </w:pPr>
      <w:r>
        <w:t xml:space="preserve">Secret management is .env-file-based. There is no Vault or cloud KMS integration; rotating JWT_SECRET would invalidate all sessions and require a coordinated bounce.</w:t>
      </w:r>
    </w:p>
    <w:p>
      <w:r>
        <w:br w:type="page"/>
      </w:r>
    </w:p>
    <w:p>
      <w:pPr>
        <w:pStyle w:val="Heading1"/>
      </w:pPr>
      <w:r>
        <w:t xml:space="preserve">8. As-built status by app</w:t>
      </w:r>
    </w:p>
    <w:p>
      <w:r>
        <w:t xml:space="preserve">This table summarises what each app looks like in the current commit. Detailed beta-blocker calls are in the </w:t>
      </w:r>
      <w:r>
        <w:rPr>
          <w:b/>
          <w:bCs/>
        </w:rPr>
        <w:t xml:space="preserve">Beta Readiness Report</w:t>
      </w:r>
      <w:r>
        <w:t xml:space="preserve">.</w:t>
      </w:r>
    </w:p>
    <w:tbl>
      <w:tblPr>
        <w:tblW w:type="dxa" w:w="1008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1008"/>
        <w:gridCol w:w="1210"/>
        <w:gridCol w:w="1210"/>
        <w:gridCol w:w="1210"/>
        <w:gridCol w:w="3629"/>
      </w:tblGrid>
      <w:tr>
        <w:trPr>
          <w:tblHeader/>
        </w:trPr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Entities</w:t>
            </w:r>
          </w:p>
        </w:tc>
        <w:tc>
          <w:tcPr>
            <w:tcW w:type="dxa" w:w="12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12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Frontend</w:t>
            </w:r>
          </w:p>
        </w:tc>
        <w:tc>
          <w:tcPr>
            <w:tcW w:type="dxa" w:w="12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62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Headline</w:t>
            </w:r>
          </w:p>
        </w:tc>
      </w:tr>
      <w:tr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Mero CRM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2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 ctrl / 4 svc</w:t>
            </w:r>
          </w:p>
        </w:tc>
        <w:tc>
          <w:tcPr>
            <w:tcW w:type="dxa" w:w="12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22 pages</w:t>
            </w:r>
          </w:p>
        </w:tc>
        <w:tc>
          <w:tcPr>
            <w:tcW w:type="dxa" w:w="12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62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Leads, deals, pipeline, quotes, invoices, payments, automation; e2e test coverage.</w:t>
            </w:r>
          </w:p>
        </w:tc>
      </w:tr>
      <w:tr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Mero Inventory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2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 / 6</w:t>
            </w:r>
          </w:p>
        </w:tc>
        <w:tc>
          <w:tcPr>
            <w:tcW w:type="dxa" w:w="12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19 pages</w:t>
            </w:r>
          </w:p>
        </w:tc>
        <w:tc>
          <w:tcPr>
            <w:tcW w:type="dxa" w:w="12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62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Products, warehouses, stock, POs, GRNs, shipments, requisitions, backorders, aging.</w:t>
            </w:r>
          </w:p>
        </w:tc>
      </w:tr>
      <w:tr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Mero Accounting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12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 / 4</w:t>
            </w:r>
          </w:p>
        </w:tc>
        <w:tc>
          <w:tcPr>
            <w:tcW w:type="dxa" w:w="12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14 pages</w:t>
            </w:r>
          </w:p>
        </w:tc>
        <w:tc>
          <w:tcPr>
            <w:tcW w:type="dxa" w:w="12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62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Most mature module: COA, JEs, invoicing, banking, fixed assets, multi-currency, year-end.</w:t>
            </w:r>
          </w:p>
        </w:tc>
      </w:tr>
      <w:tr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Mero Board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2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 / 8</w:t>
            </w:r>
          </w:p>
        </w:tc>
        <w:tc>
          <w:tcPr>
            <w:tcW w:type="dxa" w:w="12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 pages</w:t>
            </w:r>
          </w:p>
        </w:tc>
        <w:tc>
          <w:tcPr>
            <w:tcW w:type="dxa" w:w="12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62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Workspaces, projects, Kanban, task dependencies, time logging, templates.</w:t>
            </w:r>
          </w:p>
        </w:tc>
      </w:tr>
      <w:tr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Mero CMS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2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 / 6</w:t>
            </w:r>
          </w:p>
        </w:tc>
        <w:tc>
          <w:tcPr>
            <w:tcW w:type="dxa" w:w="12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 pages</w:t>
            </w:r>
          </w:p>
        </w:tc>
        <w:tc>
          <w:tcPr>
            <w:tcW w:type="dxa" w:w="12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62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Pages, posts, media, forms, simple website builder, SEO basics.</w:t>
            </w:r>
          </w:p>
        </w:tc>
      </w:tr>
      <w:tr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Mero HR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2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 / 12</w:t>
            </w:r>
          </w:p>
        </w:tc>
        <w:tc>
          <w:tcPr>
            <w:tcW w:type="dxa" w:w="12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17 pages</w:t>
            </w:r>
          </w:p>
        </w:tc>
        <w:tc>
          <w:tcPr>
            <w:tcW w:type="dxa" w:w="12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Beta</w:t>
            </w:r>
          </w:p>
        </w:tc>
        <w:tc>
          <w:tcPr>
            <w:tcW w:type="dxa" w:w="362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Employees, departments, attendance, payroll, leave, recruitment, performance, exit. Marked beta until production-validated.</w:t>
            </w:r>
          </w:p>
        </w:tc>
      </w:tr>
      <w:tr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Mero Khata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+ ledger</w:t>
            </w:r>
          </w:p>
        </w:tc>
        <w:tc>
          <w:tcPr>
            <w:tcW w:type="dxa" w:w="12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/ 2</w:t>
            </w:r>
          </w:p>
        </w:tc>
        <w:tc>
          <w:tcPr>
            <w:tcW w:type="dxa" w:w="12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 pages</w:t>
            </w:r>
          </w:p>
        </w:tc>
        <w:tc>
          <w:tcPr>
            <w:tcW w:type="dxa" w:w="12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Beta</w:t>
            </w:r>
          </w:p>
        </w:tc>
        <w:tc>
          <w:tcPr>
            <w:tcW w:type="dxa" w:w="362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Ledger, bank reconciliation, VAT, WhatsApp share. Narrow scope is intentional.</w:t>
            </w:r>
          </w:p>
        </w:tc>
      </w:tr>
      <w:tr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Mero Social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2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/ 1</w:t>
            </w:r>
          </w:p>
        </w:tc>
        <w:tc>
          <w:tcPr>
            <w:tcW w:type="dxa" w:w="12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page</w:t>
            </w:r>
          </w:p>
        </w:tc>
        <w:tc>
          <w:tcPr>
            <w:tcW w:type="dxa" w:w="12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Stub</w:t>
            </w:r>
          </w:p>
        </w:tc>
        <w:tc>
          <w:tcPr>
            <w:tcW w:type="dxa" w:w="362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Dashboard scaffold only.</w:t>
            </w:r>
          </w:p>
        </w:tc>
      </w:tr>
      <w:tr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Tickets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2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/ 1</w:t>
            </w:r>
          </w:p>
        </w:tc>
        <w:tc>
          <w:tcPr>
            <w:tcW w:type="dxa" w:w="12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 pages</w:t>
            </w:r>
          </w:p>
        </w:tc>
        <w:tc>
          <w:tcPr>
            <w:tcW w:type="dxa" w:w="12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362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Core CRUD works; SLA, escalation, reporting incomplete.</w:t>
            </w:r>
          </w:p>
        </w:tc>
      </w:tr>
      <w:tr>
        <w:tc>
          <w:tcPr>
            <w:tcW w:type="dxa" w:w="181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Chat</w:t>
            </w:r>
          </w:p>
        </w:tc>
        <w:tc>
          <w:tcPr>
            <w:tcW w:type="dxa" w:w="10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2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/ 2</w:t>
            </w:r>
          </w:p>
        </w:tc>
        <w:tc>
          <w:tcPr>
            <w:tcW w:type="dxa" w:w="12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pages</w:t>
            </w:r>
          </w:p>
        </w:tc>
        <w:tc>
          <w:tcPr>
            <w:tcW w:type="dxa" w:w="121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362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Direct + group chat over Socket.IO; admin chat exists; presence + read receipts partial.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Architectural recommendations before public beta</w:t>
      </w:r>
    </w:p>
    <w:p>
      <w:pPr>
        <w:pStyle w:val="Heading2"/>
      </w:pPr>
      <w:r>
        <w:t xml:space="preserve">9.1 Must do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Add Postgres row-level security policies.</w:t>
      </w:r>
      <w:r>
        <w:t xml:space="preserve"> Defence-in-depth backstop for the per-query organization_id filter. Even a single leaked WHERE clause becomes catastrophic at multi-tenant scale.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Verify every payment webhook signature.</w:t>
      </w:r>
      <w:r>
        <w:t xml:space="preserve"> eSewa lacks an explicit inbound signature check. Add and add tests.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Pin bcrypt cost explicitly to 12.</w:t>
      </w:r>
      <w:r>
        <w:t xml:space="preserve"> The current default of 10 is acceptable but the value should be configured, not implicit.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Run the WebSocket gateway in a worker process.</w:t>
      </w:r>
      <w:r>
        <w:t xml:space="preserve"> Or at minimum cap the CPU time per connection. A misbehaving client should not be able to starve REST handlers.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Daily Postgres backups with PITR.</w:t>
      </w:r>
      <w:r>
        <w:t xml:space="preserve"> Self-managed Postgres without a backup story is a single power failure away from disaster.</w:t>
      </w:r>
    </w:p>
    <w:p>
      <w:pPr>
        <w:pStyle w:val="Heading2"/>
      </w:pPr>
      <w:r>
        <w:t xml:space="preserve">9.2 Should do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Promote tenant context from URL slug to JWT claim.</w:t>
      </w:r>
      <w:r>
        <w:t xml:space="preserve"> Removes the silent default-to-wrong-org failure mode for any new endpoint.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Composite indexes on (organization_id, created_at)</w:t>
      </w:r>
      <w:r>
        <w:t xml:space="preserve"> for every list view. Cheap to add now, expensive to add when tables are 10M+ rows.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OpenTelemetry instrumentation alongside Sentry.</w:t>
      </w:r>
      <w:r>
        <w:t xml:space="preserve"> Sentry captures errors well; OTEL gives end-to-end traces across HTTP → DB → Redis → webhook for performance work.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Admin dashboard build-out.</w:t>
      </w:r>
      <w:r>
        <w:t xml:space="preserve"> The system admin surface is roughly 20% complete per the team’s own task list — it is the operator console for the beta and needs to be functional.</w:t>
      </w:r>
    </w:p>
    <w:p>
      <w:pPr>
        <w:pStyle w:val="Heading2"/>
      </w:pPr>
      <w:r>
        <w:t xml:space="preserve">9.3 Nice to have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Per-app deployable artefacts.</w:t>
      </w:r>
      <w:r>
        <w:t xml:space="preserve"> Once Chat or Social need their own scaling profile, the modular monolith should be teased apart along that seam.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Feature flags.</w:t>
      </w:r>
      <w:r>
        <w:t xml:space="preserve"> Gradual rollout of new modules to specific orgs requires a flag service. LaunchDarkly or a homegrown table will both work; pick one before beta sign-ups start.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residency contract.</w:t>
      </w:r>
      <w:r>
        <w:t xml:space="preserve"> Selling into Nepal-regulated verticals will require an explicit statement of where data lives and how exports work. Include it in the beta agreement.</w:t>
      </w:r>
    </w:p>
    <w:p>
      <w:r>
        <w:br w:type="page"/>
      </w:r>
    </w:p>
    <w:p>
      <w:pPr>
        <w:pStyle w:val="Heading1"/>
      </w:pPr>
      <w:r>
        <w:t xml:space="preserve">10. Glossary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7560"/>
      </w:tblGrid>
      <w:tr>
        <w:trPr>
          <w:tblHeader/>
        </w:trPr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single tenant. Owns its own users, data, app subscriptions, and audit trail.</w:t>
            </w:r>
          </w:p>
        </w:tc>
      </w:tr>
      <w:tr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Branch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 optional sub-unit within an organization; some apps support branch-scoped views.</w:t>
            </w:r>
          </w:p>
        </w:tc>
      </w:tr>
      <w:tr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Package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Subscription tier. Determines which apps and feature flags are available to an organization.</w:t>
            </w:r>
          </w:p>
        </w:tc>
      </w:tr>
      <w:tr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Marketplace app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business module under api/marketplace/ — CRM, Inventory, etc.</w:t>
            </w:r>
          </w:p>
        </w:tc>
      </w:tr>
      <w:tr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Khata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Nepali for “account” / “ledger”. Mero Khata is a lightweight bookkeeping app aimed at small traders.</w:t>
            </w:r>
          </w:p>
        </w:tc>
      </w:tr>
      <w:tr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GRN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Goods Receipt Note — inventory event when stock physically arrives against a purchase order.</w:t>
            </w:r>
          </w:p>
        </w:tc>
      </w:tr>
      <w:tr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JE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Journal Entry — the atomic accounting transaction in Mero Accounting.</w:t>
            </w:r>
          </w:p>
        </w:tc>
      </w:tr>
      <w:tr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MFA / TOTP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Multi-factor authentication / Time-based One-Time Password (RFC 6238).</w:t>
            </w:r>
          </w:p>
        </w:tc>
      </w:tr>
      <w:tr>
        <w:tc>
          <w:tcPr>
            <w:tcW w:type="dxa" w:w="25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RLS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Row-level security — a Postgres feature that restricts row visibility based on session variables.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Mero Jugx  •  Blendwit Pvt. Ltd.  •  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B7280"/>
        <w:sz w:val="18"/>
        <w:szCs w:val="18"/>
      </w:rPr>
      <w:t xml:space="preserve">Mero Jugx — System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0"/>
    </w:pPr>
    <w:rPr>
      <w:rFonts w:ascii="Calibri" w:cs="Calibri" w:eastAsia="Calibri" w:hAnsi="Calibri"/>
      <w:b/>
      <w:bCs/>
      <w:color w:val="1F2937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240" w:before="0"/>
    </w:pPr>
    <w:rPr>
      <w:rFonts w:ascii="Calibri" w:cs="Calibri" w:eastAsia="Calibri" w:hAnsi="Calibri"/>
      <w:i/>
      <w:iCs/>
      <w:color w:val="6B7280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1D4ED8" w:sz="8" w:space="4"/>
      </w:pBdr>
      <w:spacing w:after="160" w:before="360"/>
      <w:outlineLvl w:val="0"/>
    </w:pPr>
    <w:rPr>
      <w:rFonts w:ascii="Calibri" w:cs="Calibri" w:eastAsia="Calibri" w:hAnsi="Calibri"/>
      <w:b/>
      <w:bCs/>
      <w:color w:val="1D4ED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D4ED8"/>
      <w:sz w:val="24"/>
      <w:szCs w:val="24"/>
    </w:rPr>
  </w:style>
  <w:style w:type="paragraph" w:styleId="Caption">
    <w:name w:val="Caption"/>
    <w:basedOn w:val="Normal"/>
    <w:next w:val="Normal"/>
    <w:qFormat/>
    <w:pPr>
      <w:spacing w:after="200" w:before="40"/>
    </w:pPr>
    <w:rPr>
      <w:rFonts w:ascii="Calibri" w:cs="Calibri" w:eastAsia="Calibri" w:hAnsi="Calibri"/>
      <w:i/>
      <w:iCs/>
      <w:color w:val="6B7280"/>
      <w:sz w:val="18"/>
      <w:szCs w:val="18"/>
    </w:rPr>
  </w:style>
  <w:style w:type="paragraph" w:styleId="Code">
    <w:name w:val="Code"/>
    <w:basedOn w:val="Normal"/>
    <w:next w:val="Normal"/>
    <w:qFormat/>
    <w:pPr>
      <w:shd w:fill="F3F4F6" w:val="clear"/>
      <w:spacing w:after="60" w:before="60"/>
      <w:ind w:left="200" w:right="200"/>
    </w:pPr>
    <w:rPr>
      <w:rFonts w:ascii="Consolas" w:cs="Consolas" w:eastAsia="Consolas" w:hAnsi="Consolas"/>
      <w:color w:val="1F2937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Mero Jugx — System Architecture</dc:title>
  <dc:creator>Claude (Mero Jugx audit)</dc:creator>
  <dc:description>Generated for Mero Jugx beta-readiness review</dc:description>
  <cp:lastModifiedBy>Un-named</cp:lastModifiedBy>
  <cp:revision>1</cp:revision>
  <dcterms:created xsi:type="dcterms:W3CDTF">2026-04-26T19:54:32.326Z</dcterms:created>
  <dcterms:modified xsi:type="dcterms:W3CDTF">2026-04-26T19:54:32.326Z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