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Database Design</w:t>
      </w:r>
    </w:p>
    <w:p>
      <w:pPr>
        <w:pStyle w:val="Subtitle"/>
      </w:pPr>
      <w:r>
        <w:t xml:space="preserve">Mero Jugx — 152+ entities across 9 business domains</w:t>
      </w:r>
    </w:p>
    <w:p>
      <w:pP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Design (v1.0)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TypeORM (migrations as source of truth)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Tenancy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shared schema; row-scoped by organization_id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84+ files across core/ and per-app folders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Seeds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core seeds + per-app role/data seeds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Engineering, Data, Founders, New Hires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t xml:space="preserve">How to read this document</w:t>
      </w:r>
    </w:p>
    <w:p>
      <w:r>
        <w:t xml:space="preserve">The schema is large but consistently structured. Sections 2 through 10 group entities by business domain. Each domain table lists the entity, the conceptual purpose, the tenancy column, and notable relationships. Section 11 covers the multi-tenant isolation pattern; Section 12 covers indexing, migrations, and seeds; Section 13 catalogues the gaps to close before public beta.</w:t>
      </w:r>
    </w:p>
    <w:p>
      <w:r>
        <w:br w:type="page"/>
      </w:r>
    </w:p>
    <w:p>
      <w:pPr>
        <w:pStyle w:val="Heading1"/>
      </w:pPr>
      <w:r>
        <w:t xml:space="preserve">1. Domain map</w:t>
      </w:r>
    </w:p>
    <w:p>
      <w:r>
        <w:t xml:space="preserve">The schema is divided into nine domains. Every business entity belongs to exactly one domain and most carry </w:t>
      </w:r>
      <w:r>
        <w:rPr>
          <w:rFonts w:ascii="Consolas" w:cs="Consolas" w:eastAsia="Consolas" w:hAnsi="Consolas"/>
          <w:sz w:val="20"/>
          <w:szCs w:val="20"/>
        </w:rPr>
        <w:t xml:space="preserve">organization_id</w:t>
      </w:r>
      <w:r>
        <w:t xml:space="preserve"> as a foreign key into </w:t>
      </w:r>
      <w:r>
        <w:rPr>
          <w:rFonts w:ascii="Consolas" w:cs="Consolas" w:eastAsia="Consolas" w:hAnsi="Consolas"/>
          <w:sz w:val="20"/>
          <w:szCs w:val="20"/>
        </w:rPr>
        <w:t xml:space="preserve">organizations(id)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ON DELETE CASCADE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621"/>
        <w:gridCol w:w="1008"/>
        <w:gridCol w:w="5846"/>
      </w:tblGrid>
      <w:tr>
        <w:trPr>
          <w:tblHeader/>
        </w:trP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  <w:tc>
          <w:tcPr>
            <w:tcW w:type="dxa" w:w="5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&amp; Organization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Users, organizations, members, sessions, invitations, roles, permissions, packages, audit logs.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Leads, deals, clients, contacts, activities, pipelines, stages, quotes, invoices, payments, taxes, settings.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Products, warehouses, stock, suppliers, purchase orders, sales orders, GRNs, shipments, requisitions, backorders, movements.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Chart of accounts, journal entries, customer/vendor invoices, payment allocations, bank statements, cheques, fixed assets, budgets, cost centers, recurring.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Employees, departments, designations, attendance, leave requests, leave balances, shifts, payroll, recruitment, candidates, documents.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 / Tasks / Tickets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Boards, columns, tasks, tickets, task comments, attachments, watchers, workspaces, projects, epics.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Chats, members, messages, attachments, reactions, read status, calls, participants.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Khata (Ledger)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1+</w:t>
            </w:r>
          </w:p>
        </w:tc>
        <w:tc>
          <w:tcPr>
            <w:tcW w:type="dxa" w:w="5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 reconciliation, lightweight ledger for small traders.</w:t>
            </w:r>
          </w:p>
        </w:tc>
      </w:tr>
      <w:tr>
        <w:tc>
          <w:tcPr>
            <w:tcW w:type="dxa" w:w="6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 &amp; Misc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Pages, posts, media, forms, form submissions, workflows, webhooks, payments, app management.</w:t>
            </w:r>
          </w:p>
        </w:tc>
      </w:tr>
    </w:tbl>
    <w:p>
      <w:pPr>
        <w:pStyle w:val="Caption"/>
      </w:pPr>
      <w:r>
        <w:rPr>
          <w:i/>
          <w:iCs/>
          <w:color w:val="6B7280"/>
          <w:sz w:val="18"/>
          <w:szCs w:val="18"/>
        </w:rPr>
        <w:t xml:space="preserve">Approximate counts. The total exceeds 152 entities once shared marketplace tables (board templates, CRM activity types, etc.) are included.</w:t>
      </w:r>
    </w:p>
    <w:p>
      <w:r>
        <w:br w:type="page"/>
      </w:r>
    </w:p>
    <w:p>
      <w:pPr>
        <w:pStyle w:val="Heading1"/>
      </w:pPr>
      <w:r>
        <w:t xml:space="preserve">2. Auth &amp; Organization</w:t>
      </w:r>
    </w:p>
    <w:p>
      <w:r>
        <w:t xml:space="preserve">This is the foundation. Every other table joins to organizations either directly or via a chain to organization_members.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814"/>
        <w:gridCol w:w="5544"/>
      </w:tblGrid>
      <w:tr>
        <w:trPr>
          <w:tblHeader/>
        </w:trP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Tenant column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(self)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Tenant root. Holds slug, name, branding, country (default Nepal), timezone, default currency.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organization_members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Join between users and organizations with a role assignment. Composite uniqueness on (organization_id, user_id).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organization_apps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Which marketplace apps the organization has enabled. Driven by package.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(global)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 user identity. Not tenant-scoped — a user can belong to multiple organizations.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 (nullable)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refresh-token sessions. Nullable org for system-wide system-admin sessions.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invites by email with role assignment and expiry.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email_verifications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(by user_id)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OTPs and tokens for email verification and password reset.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 (nullable)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definitions; nullable for system-wide templates.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(global)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catalogue — verb.subject identifiers (e.g., crm.lead.create).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role_templates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(global)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role definitions seeded per package.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packages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(global)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Subscription tiers (Starter, Growth, Business, Enterprise) with feature matrix.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api_keys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Programmatic access tokens scoped to an org.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audit_logs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privileged action: actor, target, action, before/after JSON, timestamp.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CRM</w:t>
      </w:r>
    </w:p>
    <w:p>
      <w:r>
        <w:t xml:space="preserve">Sales pipeline up to invoiced. Quotes and invoices live here as the originating documents; Accounting picks them up for the books.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814"/>
        <w:gridCol w:w="5544"/>
      </w:tblGrid>
      <w:tr>
        <w:trPr>
          <w:tblHeader/>
        </w:trP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Tenant column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crm_leads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Top-of-funnel records with lead score, source, owner.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crm_deals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Qualified opportunities tied to a pipeline + stage.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crm_pipelines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definitions (Sales, Renewals, etc.).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crm_stages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Stages within a pipeline; ordered by sort_order.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crm_clients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Won customers; promoted from deals.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crm_contacts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 records that may be linked to leads, deals, or clients.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crm_activities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Calls, emails, meetings, tasks against any CRM record.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crm_quotes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Quotation documents with line items.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crm_invoices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documents — mirrors / hands off to accounting customer invoices.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crm_payments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receipts captured against CRM invoices.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crm_payment_modes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Cash, bank, eSewa, etc. — user-configurable.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crm_taxes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Tax rate definitions used on quotes and invoices.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crm_settings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Per-org behaviour: auto-numbering format, default pipeline, lead scoring weights.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Inventory</w:t>
      </w:r>
    </w:p>
    <w:p>
      <w:r>
        <w:t xml:space="preserve">Goods moving through the business. Stock movements are append-only — the canonical source of stock balance per warehouse.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814"/>
        <w:gridCol w:w="5544"/>
      </w:tblGrid>
      <w:tr>
        <w:trPr>
          <w:tblHeader/>
        </w:trP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Tenant column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SKUs with optional batch / serial tracking, unit, cost, sell price, tax.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Physical or logical locations holding stock.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(product, warehouse, batch) on-hand snapshot.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Append-only ledger — every IN/OUT/TRANSFER/ADJUSTMENT event.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stock_adjustments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Authorised manual adjustments with reason code.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suppliers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master records.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 with status, lines, expected delivery.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purchase_requisitions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request preceding a PO.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goods_receipt_notes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Acknowledgement of goods received against a PO; triggers IN movements.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sales_orders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Outbound orders; triggers OUT movements when fulfilled.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shipments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Outbound shipping events with tracking.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backorders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 lines that could not be fulfilled in full.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Accounting</w:t>
      </w:r>
    </w:p>
    <w:p>
      <w:r>
        <w:t xml:space="preserve">Most mature module by entity count. The Nepal chart of accounts is seeded from 007-nepal-chart-of-accounts.seed.ts.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814"/>
        <w:gridCol w:w="5544"/>
      </w:tblGrid>
      <w:tr>
        <w:trPr>
          <w:tblHeader/>
        </w:trP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Tenant column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Chart of accounts — hierarchical, type (Asset/Liability/Equity/Revenue/Expense), Nepal-COA seeded.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journal_entries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Atomic accounting transaction; header + lines (debit + credit balance).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customers_sales_invoices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invoice header + line items.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vendors_purchase_invoices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bill header + line items.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payment_allocations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Links payments to invoices for reconciliation.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bank_statements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Imported / entered bank lines for reconciliation.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cheques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Cheque issuance + tracking.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fixed_assets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Asset register with depreciation schedule and disposal events.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budgets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Budget lines per account / period.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cost_centers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 dimension on JE lines for management reporting.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recurring_transactions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Templates that fire on schedule (rent, salaries) into the JE flow.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exchange_rates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(global)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rates by currency; FX-sensitive transactions look up the as-of rate.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banking_fiscal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Fiscal-year and bank metadata required for Nepal compliance.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taxes / tds / excise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Nepal-specific tax handling — VAT, TDS, excise rates.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year_end_closings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Closing run records with the JEs they generated.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HR</w:t>
      </w:r>
    </w:p>
    <w:p>
      <w:r>
        <w:t xml:space="preserve">Marked beta. Feature complete in count but not yet production-validated against real payroll runs.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814"/>
        <w:gridCol w:w="5544"/>
      </w:tblGrid>
      <w:tr>
        <w:trPr>
          <w:tblHeader/>
        </w:trP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Tenant column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hr_employees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 master — personal details, employment dates, manager, department, designation, salary.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hr_departments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 tree.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hr_designations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titles / grades.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hr_attendance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punch-in / punch-out records, source (web, mobile, biometric import).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hr_leave_requests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applications with approval workflow and balance impact.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hr_leave_balances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(employee, leave_type) running balance updated by approved requests + accruals.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hr_shifts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Shift definitions and assignments.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hr_payroll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Payroll run header + per-employee lines; integrates with Accounting via JE.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hr_job_openings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Recruitment vacancies.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hr_candidates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Applicant pipeline per opening.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hr_documents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 file storage references (offer letters, IDs, contracts).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Board, Tasks, and Tickets</w:t>
      </w:r>
    </w:p>
    <w:p>
      <w:r>
        <w:t xml:space="preserve">Project management spans Mero Board (workspaces, projects, kanban) and the Tickets module (support / bug tracking flavour).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814"/>
        <w:gridCol w:w="5544"/>
      </w:tblGrid>
      <w:tr>
        <w:trPr>
          <w:tblHeader/>
        </w:trP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Tenant column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board_workspaces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Top-level grouping; can have many projects + boards.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board_projects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containers within a workspace.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Cross-app project record (also referenced by CRM, Accounting).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epics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Multi-task initiatives within a project.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Kanban / Scrum boards under a project.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board_columns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Column definitions per board (To Do / Doing / Done).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Cards on a board; have status, assignees, priority, dependencies, time logs.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task_comments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Threaded comments on tasks.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task_attachments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references on tasks.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task_watchers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Subscribers for change notifications.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Customer-facing tickets with SLA fields, priority, assignee.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Chat</w:t>
      </w:r>
    </w:p>
    <w:p>
      <w:r>
        <w:t xml:space="preserve">Real-time messaging over Socket.IO. Currently in-progress — admin chat works, presence and read receipts are partial.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814"/>
        <w:gridCol w:w="5544"/>
      </w:tblGrid>
      <w:tr>
        <w:trPr>
          <w:tblHeader/>
        </w:trP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Tenant column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Conversation root — 1:1, group, or channel.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chat_members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Membership of a chat with role (admin/member).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 body, sender, timestamps, edit history.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message_attachments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pointers attached to a message.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message_reactions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Emoji reactions per (message, user).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message_read_status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Per-user last-read marker per chat.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call_sessions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Voice/video call sessions metadata.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call_participants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Joiners / leavers within a call session.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Khata and CMS</w:t>
      </w:r>
    </w:p>
    <w:p>
      <w:pPr>
        <w:pStyle w:val="Heading2"/>
      </w:pPr>
      <w:r>
        <w:t xml:space="preserve">9.1 Khata (lightweight ledger)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814"/>
        <w:gridCol w:w="5544"/>
      </w:tblGrid>
      <w:tr>
        <w:trPr>
          <w:tblHeader/>
        </w:trP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Tenant column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khata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Per-customer running balance — a denormalised ledger optimised for the small-trader use case.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khata_entries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Individual debit/credit entries; produces a running balance.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bank_reconciliation_runs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Reconciliation jobs against imported statements.</w:t>
            </w:r>
          </w:p>
        </w:tc>
      </w:tr>
    </w:tbl>
    <w:p>
      <w:pPr>
        <w:pStyle w:val="Heading2"/>
      </w:pPr>
      <w:r>
        <w:t xml:space="preserve">9.2 CMS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814"/>
        <w:gridCol w:w="5544"/>
      </w:tblGrid>
      <w:tr>
        <w:trPr>
          <w:tblHeader/>
        </w:trP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Tenant column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cms_page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content pages (About, Pricing) for the org’s public site.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cms_post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Blog post entries.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cms_media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Uploaded media references.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cms_form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form definitions (contact, lead capture).</w:t>
            </w:r>
          </w:p>
        </w:tc>
      </w:tr>
      <w:tr>
        <w:tc>
          <w:tcPr>
            <w:tcW w:type="dxa" w:w="2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cms_form_submission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55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Submissions captured against a form.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Multi-tenant isolation pattern</w:t>
      </w:r>
    </w:p>
    <w:p>
      <w:pPr>
        <w:pStyle w:val="Heading2"/>
      </w:pPr>
      <w:r>
        <w:t xml:space="preserve">10.1 The shape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@Entity('crm_leads')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export class CrmLead {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@PrimaryGeneratedColumn('uuid') id: string;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@Column({ name: 'organization_id', type: 'uuid' })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organizationId: string;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@ManyToOne(() =&gt; Organization, { onDelete: 'CASCADE' })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@JoinColumn({ name: 'organization_id' })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organization: Organization;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// ... domain columns ...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Caption"/>
      </w:pPr>
      <w:r>
        <w:rPr>
          <w:i/>
          <w:iCs/>
          <w:color w:val="6B7280"/>
          <w:sz w:val="18"/>
          <w:szCs w:val="18"/>
        </w:rPr>
        <w:t xml:space="preserve">Pattern is consistent across every business entity. The CASCADE protects against orphaned rows when an organization is hard-deleted.</w:t>
      </w:r>
    </w:p>
    <w:p>
      <w:pPr>
        <w:pStyle w:val="Heading2"/>
      </w:pPr>
      <w:r>
        <w:t xml:space="preserve">10.2 The contract</w:t>
      </w:r>
    </w:p>
    <w:p>
      <w:pPr>
        <w:pStyle w:val="ListParagraph"/>
        <w:numPr>
          <w:ilvl w:val="0"/>
          <w:numId w:val="2"/>
        </w:numPr>
      </w:pPr>
      <w:r>
        <w:t xml:space="preserve">Every </w:t>
      </w: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UPDATE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DELETE</w:t>
      </w:r>
      <w:r>
        <w:t xml:space="preserve"> on a tenant table MUST be filtered by </w:t>
      </w:r>
      <w:r>
        <w:rPr>
          <w:rFonts w:ascii="Consolas" w:cs="Consolas" w:eastAsia="Consolas" w:hAnsi="Consolas"/>
          <w:sz w:val="20"/>
          <w:szCs w:val="20"/>
        </w:rPr>
        <w:t xml:space="preserve">organizationId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active organization is resolved from the URL slug (</w:t>
      </w:r>
      <w:r>
        <w:rPr>
          <w:rFonts w:ascii="Consolas" w:cs="Consolas" w:eastAsia="Consolas" w:hAnsi="Consolas"/>
          <w:sz w:val="20"/>
          <w:szCs w:val="20"/>
        </w:rPr>
        <w:t xml:space="preserve">/org/:slug/...</w:t>
      </w:r>
      <w:r>
        <w:t xml:space="preserve">) and validated against </w:t>
      </w:r>
      <w:r>
        <w:rPr>
          <w:rFonts w:ascii="Consolas" w:cs="Consolas" w:eastAsia="Consolas" w:hAnsi="Consolas"/>
          <w:sz w:val="20"/>
          <w:szCs w:val="20"/>
        </w:rPr>
        <w:t xml:space="preserve">organization_members</w:t>
      </w:r>
      <w:r>
        <w:t xml:space="preserve"> by the guard chain.</w:t>
      </w:r>
    </w:p>
    <w:p>
      <w:pPr>
        <w:pStyle w:val="ListParagraph"/>
        <w:numPr>
          <w:ilvl w:val="0"/>
          <w:numId w:val="2"/>
        </w:numPr>
      </w:pPr>
      <w:r>
        <w:t xml:space="preserve">Cross-tenant references must be rejected at the validation layer — e.g., creating a CRM invoice that references an Accounting customer from a different organization should fail before the SQL runs.</w:t>
      </w:r>
    </w:p>
    <w:p>
      <w:pPr>
        <w:pStyle w:val="Heading2"/>
      </w:pPr>
      <w:r>
        <w:t xml:space="preserve">10.3 Defence in depth (recommended before beta)</w:t>
      </w:r>
    </w:p>
    <w:p>
      <w:pPr>
        <w:pStyle w:val="ListParagraph"/>
        <w:numPr>
          <w:ilvl w:val="0"/>
          <w:numId w:val="2"/>
        </w:numPr>
      </w:pPr>
      <w:r>
        <w:t xml:space="preserve">Add Postgres </w:t>
      </w:r>
      <w:r>
        <w:rPr>
          <w:b/>
          <w:bCs/>
        </w:rPr>
        <w:t xml:space="preserve">row-level security</w:t>
      </w:r>
      <w:r>
        <w:t xml:space="preserve"> policies on every business table: </w:t>
      </w:r>
      <w:r>
        <w:rPr>
          <w:rFonts w:ascii="Consolas" w:cs="Consolas" w:eastAsia="Consolas" w:hAnsi="Consolas"/>
          <w:sz w:val="20"/>
          <w:szCs w:val="20"/>
        </w:rPr>
        <w:t xml:space="preserve">USING (organization_id = current_setting('app.current_org')::uuid)</w:t>
      </w:r>
      <w:r>
        <w:t xml:space="preserve">. Enforce via a session-variable hook in the connection pool. This catches any forgotten WHERE clause.</w:t>
      </w:r>
    </w:p>
    <w:p>
      <w:pPr>
        <w:pStyle w:val="ListParagraph"/>
        <w:numPr>
          <w:ilvl w:val="0"/>
          <w:numId w:val="2"/>
        </w:numPr>
      </w:pPr>
      <w:r>
        <w:t xml:space="preserve">Promote tenant context to a JWT claim so it survives even when the URL slug is missing.</w:t>
      </w:r>
    </w:p>
    <w:p>
      <w:r>
        <w:br w:type="page"/>
      </w:r>
    </w:p>
    <w:p>
      <w:pPr>
        <w:pStyle w:val="Heading1"/>
      </w:pPr>
      <w:r>
        <w:t xml:space="preserve">11. Indexes, migrations, seeds</w:t>
      </w:r>
    </w:p>
    <w:p>
      <w:pPr>
        <w:pStyle w:val="Heading2"/>
      </w:pPr>
      <w:r>
        <w:t xml:space="preserve">11.1 Indexing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 pattern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key on id (UUID)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entity. UUIDv4 to avoid leaking sequence information across tenants.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Foreign key on organization_id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Indexed implicitly by FK; not always with a covering composite.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(organization_id, created_at)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Recommended composite for every list view. Currently inconsistent — see Gaps.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(organization_id, code)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Applied where natural keys exist (product SKU, account code, lead reference).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 indexes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Used sparingly — e.g., active sessions only.</w:t>
            </w:r>
          </w:p>
        </w:tc>
      </w:tr>
    </w:tbl>
    <w:p>
      <w:pPr>
        <w:pStyle w:val="Heading2"/>
      </w:pPr>
      <w:r>
        <w:t xml:space="preserve">11.2 Migrations</w:t>
      </w:r>
    </w:p>
    <w:p>
      <w:r>
        <w:t xml:space="preserve">Migrations live under </w:t>
      </w:r>
      <w:r>
        <w:rPr>
          <w:rFonts w:ascii="Consolas" w:cs="Consolas" w:eastAsia="Consolas" w:hAnsi="Consolas"/>
          <w:sz w:val="20"/>
          <w:szCs w:val="20"/>
        </w:rPr>
        <w:t xml:space="preserve">api/src/database/migrations/</w:t>
      </w:r>
      <w:r>
        <w:t xml:space="preserve"> with one folder per app: </w:t>
      </w:r>
      <w:r>
        <w:rPr>
          <w:rFonts w:ascii="Consolas" w:cs="Consolas" w:eastAsia="Consolas" w:hAnsi="Consolas"/>
          <w:sz w:val="20"/>
          <w:szCs w:val="20"/>
        </w:rPr>
        <w:t xml:space="preserve">core/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mero-crm/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mero-inventory/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mero-accounting/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mero-board/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mero-hr/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mero-khata/</w:t>
      </w:r>
      <w:r>
        <w:t xml:space="preserve">. Migrations are timestamped and idempotent.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5645"/>
      </w:tblGrid>
      <w:tr>
        <w:trPr>
          <w:tblHeader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count</w:t>
            </w:r>
          </w:p>
        </w:tc>
        <w:tc>
          <w:tcPr>
            <w:tcW w:type="dxa" w:w="56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core/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6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Users, orgs, auth, payments, notifications, audit, branding, indexes.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mero-board/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6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Workspaces, tasks, templates, time tracking, ticket enhancements.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mero-crm/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6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Leads, deals, activities, invoices, payment modes, role/permission seeds.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mero-inventory/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6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Products, warehouses, stock, POs, GRNs, suppliers, sales orders.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mero-accounting/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6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COA, JEs, invoices, assets, budgets, cost accounting, multi-currency.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mero-hr/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Employees, departments, payroll, recruitment.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mero-khata/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 reconciliation, ledger.</w:t>
            </w:r>
          </w:p>
        </w:tc>
      </w:tr>
    </w:tbl>
    <w:p>
      <w:r>
        <w:t xml:space="preserve">A husky pre-commit hook runs </w:t>
      </w:r>
      <w:r>
        <w:rPr>
          <w:rFonts w:ascii="Consolas" w:cs="Consolas" w:eastAsia="Consolas" w:hAnsi="Consolas"/>
          <w:sz w:val="20"/>
          <w:szCs w:val="20"/>
        </w:rPr>
        <w:t xml:space="preserve">npm run migration:validate</w:t>
      </w:r>
      <w:r>
        <w:t xml:space="preserve"> to catch drift between entity definitions and the migration set before code lands on a branch.</w:t>
      </w:r>
    </w:p>
    <w:p>
      <w:pPr>
        <w:pStyle w:val="Heading2"/>
      </w:pPr>
      <w:r>
        <w:t xml:space="preserve">11.3 Seeds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6048"/>
      </w:tblGrid>
      <w:tr>
        <w:trPr>
          <w:tblHeader/>
        </w:trPr>
        <w:tc>
          <w:tcPr>
            <w:tcW w:type="dxa" w:w="40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Seed file</w:t>
            </w:r>
          </w:p>
        </w:tc>
        <w:tc>
          <w:tcPr>
            <w:tcW w:type="dxa" w:w="60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001-packages.seed.ts</w:t>
            </w:r>
          </w:p>
        </w:tc>
        <w:tc>
          <w:tcPr>
            <w:tcW w:type="dxa" w:w="60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Subscription tier catalogue.</w:t>
            </w:r>
          </w:p>
        </w:tc>
      </w:tr>
      <w:tr>
        <w:tc>
          <w:tcPr>
            <w:tcW w:type="dxa" w:w="40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002-permissions.seed.ts</w:t>
            </w:r>
          </w:p>
        </w:tc>
        <w:tc>
          <w:tcPr>
            <w:tcW w:type="dxa" w:w="60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catalogue — verb.subject identifiers.</w:t>
            </w:r>
          </w:p>
        </w:tc>
      </w:tr>
      <w:tr>
        <w:tc>
          <w:tcPr>
            <w:tcW w:type="dxa" w:w="40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003-roles.seed.ts</w:t>
            </w:r>
          </w:p>
        </w:tc>
        <w:tc>
          <w:tcPr>
            <w:tcW w:type="dxa" w:w="60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org roles (Owner, Admin, Manager, Staff).</w:t>
            </w:r>
          </w:p>
        </w:tc>
      </w:tr>
      <w:tr>
        <w:tc>
          <w:tcPr>
            <w:tcW w:type="dxa" w:w="40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004-package-features.seed.ts</w:t>
            </w:r>
          </w:p>
        </w:tc>
        <w:tc>
          <w:tcPr>
            <w:tcW w:type="dxa" w:w="60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Which apps + features each package unlocks.</w:t>
            </w:r>
          </w:p>
        </w:tc>
      </w:tr>
      <w:tr>
        <w:tc>
          <w:tcPr>
            <w:tcW w:type="dxa" w:w="40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005-role-templates.seed.ts</w:t>
            </w:r>
          </w:p>
        </w:tc>
        <w:tc>
          <w:tcPr>
            <w:tcW w:type="dxa" w:w="60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 roles bound to packages.</w:t>
            </w:r>
          </w:p>
        </w:tc>
      </w:tr>
      <w:tr>
        <w:tc>
          <w:tcPr>
            <w:tcW w:type="dxa" w:w="40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006-system-admin-user.seed.ts</w:t>
            </w:r>
          </w:p>
        </w:tc>
        <w:tc>
          <w:tcPr>
            <w:tcW w:type="dxa" w:w="60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Bootstrap system administrator account.</w:t>
            </w:r>
          </w:p>
        </w:tc>
      </w:tr>
      <w:tr>
        <w:tc>
          <w:tcPr>
            <w:tcW w:type="dxa" w:w="40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007-nepal-chart-of-accounts.seed.ts</w:t>
            </w:r>
          </w:p>
        </w:tc>
        <w:tc>
          <w:tcPr>
            <w:tcW w:type="dxa" w:w="60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Nepal-localised COA — critical for Accounting bootstrap.</w:t>
            </w:r>
          </w:p>
        </w:tc>
      </w:tr>
      <w:tr>
        <w:tc>
          <w:tcPr>
            <w:tcW w:type="dxa" w:w="40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per-app role/permission seeds</w:t>
            </w:r>
          </w:p>
        </w:tc>
        <w:tc>
          <w:tcPr>
            <w:tcW w:type="dxa" w:w="60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App-level role + permission additions for CRM, Inventory, Board, HR.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Schema gaps to close before beta</w:t>
      </w:r>
    </w:p>
    <w:p>
      <w:pPr>
        <w:pStyle w:val="Heading3"/>
      </w:pPr>
      <w:r>
        <w:t xml:space="preserve">Missing or thin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Composite indexes.</w:t>
      </w:r>
      <w:r>
        <w:t xml:space="preserve"> Add </w:t>
      </w:r>
      <w:r>
        <w:rPr>
          <w:rFonts w:ascii="Consolas" w:cs="Consolas" w:eastAsia="Consolas" w:hAnsi="Consolas"/>
          <w:sz w:val="20"/>
          <w:szCs w:val="20"/>
        </w:rPr>
        <w:t xml:space="preserve">(organization_id, created_at)</w:t>
      </w:r>
      <w:r>
        <w:t xml:space="preserve"> on every list-view table. Cheap now, expensive at 10M+ rows.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 row-level security.</w:t>
      </w:r>
      <w:r>
        <w:t xml:space="preserve"> Defence-in-depth backstop for the application-level filter.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 delete columns.</w:t>
      </w:r>
      <w:r>
        <w:t xml:space="preserve"> Mixed today — some entities use soft-delete, others hard-delete. Standardise on </w:t>
      </w:r>
      <w:r>
        <w:rPr>
          <w:rFonts w:ascii="Consolas" w:cs="Consolas" w:eastAsia="Consolas" w:hAnsi="Consolas"/>
          <w:sz w:val="20"/>
          <w:szCs w:val="20"/>
        </w:rPr>
        <w:t xml:space="preserve">deleted_at</w:t>
      </w:r>
      <w:r>
        <w:t xml:space="preserve"> for everything that gets a UI list.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Tenant-scoped uniqueness on natural keys.</w:t>
      </w:r>
      <w:r>
        <w:t xml:space="preserve"> Audit every </w:t>
      </w:r>
      <w:r>
        <w:rPr>
          <w:rFonts w:ascii="Consolas" w:cs="Consolas" w:eastAsia="Consolas" w:hAnsi="Consolas"/>
          <w:sz w:val="20"/>
          <w:szCs w:val="20"/>
        </w:rPr>
        <w:t xml:space="preserve">UNIQUE</w:t>
      </w:r>
      <w:r>
        <w:t xml:space="preserve"> constraint to confirm it includes </w:t>
      </w:r>
      <w:r>
        <w:rPr>
          <w:rFonts w:ascii="Consolas" w:cs="Consolas" w:eastAsia="Consolas" w:hAnsi="Consolas"/>
          <w:sz w:val="20"/>
          <w:szCs w:val="20"/>
        </w:rPr>
        <w:t xml:space="preserve">organization_id</w:t>
      </w:r>
      <w:r>
        <w:t xml:space="preserve"> — a global unique constraint here would silently break sign-ups.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Materialised views for reporting.</w:t>
      </w:r>
      <w:r>
        <w:t xml:space="preserve"> Sales by month, AR aging, stock valuation — currently computed at query time. Will not scale.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trail completeness.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audit_logs</w:t>
      </w:r>
      <w:r>
        <w:t xml:space="preserve"> exists but coverage is uneven. Define the minimum set of audited actions and enforce.</w:t>
      </w:r>
    </w:p>
    <w:p>
      <w:pPr>
        <w:pStyle w:val="Heading3"/>
      </w:pPr>
      <w:r>
        <w:t xml:space="preserve">Schema constraints worth adding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CHECK (debit + credit &gt; 0)</w:t>
      </w:r>
      <w:r>
        <w:t xml:space="preserve"> on journal_entry_lines.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CHECK (quantity_in_stock &gt;= 0)</w:t>
      </w:r>
      <w:r>
        <w:t xml:space="preserve"> on stock unless backorders are intended.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EXCLUDE constraints</w:t>
      </w:r>
      <w:r>
        <w:t xml:space="preserve"> on hr_attendance to prevent overlapping shifts per employee.</w:t>
      </w:r>
    </w:p>
    <w:p>
      <w:pPr>
        <w:pStyle w:val="ListParagraph"/>
        <w:numPr>
          <w:ilvl w:val="0"/>
          <w:numId w:val="2"/>
        </w:numPr>
      </w:pPr>
      <w:r>
        <w:t xml:space="preserve">FK </w:t>
      </w:r>
      <w:r>
        <w:rPr>
          <w:rFonts w:ascii="Consolas" w:cs="Consolas" w:eastAsia="Consolas" w:hAnsi="Consolas"/>
          <w:sz w:val="20"/>
          <w:szCs w:val="20"/>
        </w:rPr>
        <w:t xml:space="preserve">ON DELETE RESTRICT</w:t>
      </w:r>
      <w:r>
        <w:t xml:space="preserve"> on accounts referenced by posted journal entries (today the cascade can hide referential integrity bugs).</w:t>
      </w:r>
    </w:p>
    <w:p>
      <w:pPr>
        <w:pStyle w:val="Heading3"/>
      </w:pPr>
      <w:r>
        <w:t xml:space="preserve">Operational gaps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Backups.</w:t>
      </w:r>
      <w:r>
        <w:t xml:space="preserve"> No scheduled </w:t>
      </w:r>
      <w:r>
        <w:rPr>
          <w:rFonts w:ascii="Consolas" w:cs="Consolas" w:eastAsia="Consolas" w:hAnsi="Consolas"/>
          <w:sz w:val="20"/>
          <w:szCs w:val="20"/>
        </w:rPr>
        <w:t xml:space="preserve">pg_dump</w:t>
      </w:r>
      <w:r>
        <w:t xml:space="preserve"> or PITR in the deployment artefacts. Single power failure away from disaster.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 pool sizing.</w:t>
      </w:r>
      <w:r>
        <w:t xml:space="preserve"> Min 5 / max 20 is fine for one API replica but undersized once horizontal scale starts.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Statement timeout.</w:t>
      </w:r>
      <w:r>
        <w:t xml:space="preserve"> Set </w:t>
      </w:r>
      <w:r>
        <w:rPr>
          <w:rFonts w:ascii="Consolas" w:cs="Consolas" w:eastAsia="Consolas" w:hAnsi="Consolas"/>
          <w:sz w:val="20"/>
          <w:szCs w:val="20"/>
        </w:rPr>
        <w:t xml:space="preserve">DB_STATEMENT_TIMEOUT</w:t>
      </w:r>
      <w:r>
        <w:t xml:space="preserve"> explicitly to prevent runaway queries from any single tenant impacting all tenants.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Mero Jugx  •  Blendwit Pvt. Ltd.  •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Mero Jugx — Database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2937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i/>
      <w:iCs/>
      <w:color w:val="6B7280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D4ED8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D4ED8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4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Code">
    <w:name w:val="Code"/>
    <w:basedOn w:val="Normal"/>
    <w:next w:val="Normal"/>
    <w:qFormat/>
    <w:pPr>
      <w:shd w:fill="F3F4F6" w:val="clear"/>
      <w:spacing w:after="60" w:before="60"/>
      <w:ind w:left="200" w:right="200"/>
    </w:pPr>
    <w:rPr>
      <w:rFonts w:ascii="Consolas" w:cs="Consolas" w:eastAsia="Consolas" w:hAnsi="Consolas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Mero Jugx — Database Design</dc:title>
  <dc:creator>Claude (Mero Jugx audit)</dc:creator>
  <dc:description>Generated for Mero Jugx beta-readiness review</dc:description>
  <cp:lastModifiedBy>Un-named</cp:lastModifiedBy>
  <cp:revision>1</cp:revision>
  <dcterms:created xsi:type="dcterms:W3CDTF">2026-04-26T19:56:42.431Z</dcterms:created>
  <dcterms:modified xsi:type="dcterms:W3CDTF">2026-04-26T19:56:42.431Z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