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A44"/>
          <w:sz w:val="56"/>
          <w:szCs w:val="56"/>
        </w:rPr>
        <w:t xml:space="preserve">Travel Case</w:t>
      </w:r>
    </w:p>
    <w:p>
      <w:pPr>
        <w:spacing w:after="40"/>
      </w:pPr>
      <w:r>
        <w:rPr>
          <w:b/>
          <w:bCs/>
          <w:color w:val="B8860B"/>
          <w:sz w:val="30"/>
          <w:szCs w:val="30"/>
        </w:rPr>
        <w:t xml:space="preserve">Product Requirements Document (PRD)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Sabre internship deliverable  |  Draft v1  |  July 27, 2026  |  Companion to: Travel Case SRS</w:t>
      </w:r>
    </w:p>
    <w:p>
      <w:pPr>
        <w:pStyle w:val="Heading1"/>
        <w:spacing w:after="160" w:before="360"/>
      </w:pPr>
      <w:r>
        <w:t xml:space="preserve">1. Purpose of This Document</w:t>
      </w:r>
    </w:p>
    <w:p>
      <w:pPr>
        <w:spacing w:after="160"/>
      </w:pPr>
      <w:r>
        <w:t xml:space="preserve">This PRD sits upstream of the Travel Case Software Requirements Specification (SRS). The SRS defines detailed, API-level functional and technical requirements for the development team. This PRD defines the product rationale: the problem, the users, what is actually a priority given the timeline, and what still needs a decision before build. Where content overlaps with the SRS (functional requirements by vertical), this document summarizes; the SRS remains the source of technical detail.</w:t>
      </w:r>
    </w:p>
    <w:p>
      <w:pPr>
        <w:pStyle w:val="Heading1"/>
        <w:spacing w:after="160" w:before="360"/>
      </w:pPr>
      <w:r>
        <w:t xml:space="preserve">2. Product Overview</w:t>
      </w:r>
    </w:p>
    <w:p>
      <w:pPr>
        <w:spacing w:after="160"/>
      </w:pPr>
      <w:r>
        <w:t xml:space="preserve">Travel Case is a full-service Online Travel Agency (OTA) built on Sabre's GDS — flights, hotels, and car rentals under a single integration — extended with airport transfers, travel insurance, and activities/tours, serving both individual travelers (B2C) and reselling travel agents (B2B) from launch. Benchmarked against Priceline, Opodo, Kiwi.com, and Ixigo.</w:t>
      </w:r>
    </w:p>
    <w:p>
      <w:pPr>
        <w:spacing w:after="160"/>
      </w:pPr>
      <w:r>
        <w:rPr>
          <w:i/>
          <w:iCs/>
        </w:rPr>
        <w:t xml:space="preserve">Working assumption (not yet confirmed with a product sponsor): Sabre requires a direct-facing OTA product covering its own GDS content plus adjacent services, for both retail travelers and reselling agents. This should be confirmed rather than treated as settled — see Section 16.</w:t>
      </w:r>
    </w:p>
    <w:p>
      <w:pPr>
        <w:pStyle w:val="Heading1"/>
        <w:spacing w:after="160" w:before="360"/>
      </w:pPr>
      <w:r>
        <w:t xml:space="preserve">3. Goals &amp;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E4E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TBD — intentionally left open.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acquisition, GMV, booking-volume, or conversion targets have been defined or assumed. These need to come from product/business stakeholders before build kickoff, since they should drive prioritization decisions in Section 5, not follow from them.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4. Target Users</w:t>
      </w:r>
    </w:p>
    <w:p>
      <w:pPr>
        <w:pStyle w:val="Heading2"/>
        <w:spacing w:after="120" w:before="240"/>
      </w:pPr>
      <w:r>
        <w:t xml:space="preserve">4.1 B2C — Individual Traveler</w:t>
      </w:r>
    </w:p>
    <w:p>
      <w:pPr>
        <w:spacing w:after="160"/>
      </w:pPr>
      <w:r>
        <w:t xml:space="preserve">Searches and books flights, hotels, cars, and add-on services for their own trip, ideally in one flow. Needs: transparent pricing across all verticals, one unified checkout/cart where possible, a single confirmation for a multi-part trip.</w:t>
      </w:r>
    </w:p>
    <w:p>
      <w:pPr>
        <w:pStyle w:val="Heading2"/>
        <w:spacing w:after="120" w:before="240"/>
      </w:pPr>
      <w:r>
        <w:t xml:space="preserve">4.2 B2B — Reselling Travel Agent</w:t>
      </w:r>
    </w:p>
    <w:p>
      <w:pPr>
        <w:spacing w:after="160"/>
      </w:pPr>
      <w:r>
        <w:t xml:space="preserve">Books across all verticals on behalf of clients at agent rates. Needs: fast approval, visible markup/commission per vertical, consolidated booking history across flights/hotels/cars/services.</w:t>
      </w:r>
    </w:p>
    <w:p>
      <w:pPr>
        <w:pStyle w:val="Heading1"/>
        <w:spacing w:after="160" w:before="360"/>
      </w:pPr>
      <w:r>
        <w:t xml:space="preserve">5. Scope &amp; Prioritization</w:t>
      </w:r>
    </w:p>
    <w:p>
      <w:pPr>
        <w:spacing w:after="160"/>
      </w:pPr>
      <w:r>
        <w:t xml:space="preserve">Requested scope: five verticals (flights, hotels, cars, transfers + insurance, activities/tours), B2C + B2B, web only, inside a 1–3 month build window.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426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— Day one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Flights, hotels, car rentals via Sabre; core B2C booking + unified checkout; core B2B layer (registration, approval, per-vertical markup, dashboard)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Sabre certification is the fixed critical-path constraint regardless of any other decision — this is the one thing that must start week 1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Fast-follow, target within MVP window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Airport transfers, travel insurance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Separate, smaller integrations outside Sabre's scope; can run in parallel without blocking certification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Recommended fast-follow after MVP launch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Activities/tours (Viator/GetYourGuide-style)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Requested as in-scope for MVP, but see the risk flag below before treating this as fixed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E4E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Risk flag: activities/tours in the MVP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SRS already treats 4 verticals in 1–3 months as tight, with single-vendor Sabre certification as the one mitigating factor. Adding activities/tours is a third non-Sabre integration (alongside transfers and insurance), on a timeline where the fixed 4–8 week certification window already consumes most of the available time. My recommendation is to sequence activities/tours as a post-launch fast-follow. If it stays in the MVP as requested, the 1–3 month window should be treated as no longer realistic — either the timeline extends or something else moves out. This is a decision for whoever owns the timeline commitment, not something to quietly absorb.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6. Functional Capabilities by Vertical (Summary)</w:t>
      </w:r>
    </w:p>
    <w:p>
      <w:pPr>
        <w:spacing w:after="160"/>
      </w:pPr>
      <w:r>
        <w:t xml:space="preserve">Full API-level requirements are specified in the SRS, Section 6. Summary: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Flights: search/filter by price, duration, stops, airline; fare rules shown pre-purchase; e-ticket/PNR via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Hotels: search/filter by price, star rating, guest rating, amenities; cancellation policy shown pre-booking. Known constraint: Sabre's hotel photography/branding is weaker than dedicated hotel platforms — plan UI fallback treatment (consistent card sizing, fallback imagery).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 rentals: search/filter by price, vehicle type, transmission, supplier; insurance/excess terms shown pre-booking.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Transfers + insurance: add-ons offered at checkout, sourced via separate provider/affiliate integrations outside Sabre.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Activities/tours: not yet specified at API/vendor level — needs its own scoping pass if it stays in MVP (see Section 5).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7. Cross-Vertical Requirements (Summary)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Unified cart/checkout: pay once for a multi-vertical trip, not per 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trip confirmation summarizing all booked components, each with its own supplier reference attached.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login, one booking history view across all verticals.</w:t>
      </w:r>
    </w:p>
    <w:p>
      <w:pPr>
        <w:pStyle w:val="Heading1"/>
        <w:spacing w:after="160" w:before="360"/>
      </w:pPr>
      <w:r>
        <w:t xml:space="preserve">8. B2B Agent Layer (Summary)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sign-up with business verification; admin approval before activation.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Agent-specific pricing/markup applied consistently across verticals (see Section 10 for recommended bands).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booking history and commission reporting across all verticals in one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Deferred (out of MVP): white-label branding, sub-agent hierarchies, credit/wallet booking, bulk booking tools.</w:t>
      </w:r>
    </w:p>
    <w:p>
      <w:pPr>
        <w:pStyle w:val="Heading1"/>
        <w:spacing w:after="160" w:before="360"/>
      </w:pPr>
      <w:r>
        <w:t xml:space="preserve">9. Payments &amp; Currency Strategy</w:t>
      </w:r>
    </w:p>
    <w:p>
      <w:pPr>
        <w:spacing w:after="160"/>
      </w:pPr>
      <w:r>
        <w:t xml:space="preserve">Recommendation: launch with four currencies — NGN (home market), USD (dominant travel-booking currency and largest diaspora corridor), GBP, and EUR (the two other major diaspora/travel corridors into Nigeria and West Africa). “Global” as stated is not a realistic MVP currency list; a genuinely global set (100+ currencies) is not something an MVP should try to support. This is a recommendation, not a confirmed decision — it needs sign-off from whoever owns pricing/markets.</w:t>
      </w:r>
    </w:p>
    <w:p>
      <w:pPr>
        <w:spacing w:after="160"/>
      </w:pPr>
      <w:r>
        <w:t xml:space="preserve">Payment gateways: at least one gateway for Nigeria/Africa (e.g., Paystack or Flutterwave) plus one for international cards (e.g., Stripe). PCI-DSS compliance required — no raw card data stored, tokenization via gateway.</w:t>
      </w:r>
    </w:p>
    <w:p>
      <w:pPr>
        <w:pStyle w:val="Heading1"/>
        <w:spacing w:after="160" w:before="360"/>
      </w:pPr>
      <w:r>
        <w:t xml:space="preserve">10. Commission / Markup Model</w:t>
      </w:r>
    </w:p>
    <w:p>
      <w:pPr>
        <w:spacing w:after="160"/>
      </w:pPr>
      <w:r>
        <w:t xml:space="preserve">What this covers: whether a B2B agent earns the same percentage markup regardless of what they book, or whether the percentage differs by vertical. Industry norm is that it differs — airline commissions are thin because GDS/airline rules already cap them, while hotels, cars, and affiliate-style add-ons carry fatter margins. Recommended starting bands, pending confirmation from Sabre's commercial team: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Band</w:t>
            </w:r>
          </w:p>
        </w:tc>
        <w:tc>
          <w:tcPr>
            <w:tcW w:type="dxa" w:w="3426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Flights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~3–5%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GDS/airline commission structures leave little room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~10–12%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OTA hotel margin range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 rentals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~8–10%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Mid-range margin, between flights and hotels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Transfers / insurance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~15–20%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Affiliate-style products typically pay the highest rate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These are starting-point figures based on general OTA industry practice, not numbers specific to Travel Case's actual supplier agreements. Treat as a draft for the commercial team to confirm or correct.</w:t>
      </w:r>
    </w:p>
    <w:p>
      <w:pPr>
        <w:pStyle w:val="Heading1"/>
        <w:spacing w:after="160" w:before="360"/>
      </w:pPr>
      <w:r>
        <w:t xml:space="preserve">11. Non-Functional Requirements (Pointer)</w:t>
      </w:r>
    </w:p>
    <w:p>
      <w:pPr>
        <w:spacing w:after="160"/>
      </w:pPr>
      <w:r>
        <w:t xml:space="preserve">Full detail in SRS Section 11: HTTPS everywhere, tokenized payments, encrypted PII, role-based access control; search latency across three supplier APIs must be parallelized, not chained; IATA/airline ticketing rules; NDPR/GDPR depending on user base.</w:t>
      </w:r>
    </w:p>
    <w:p>
      <w:pPr>
        <w:pStyle w:val="Heading1"/>
        <w:spacing w:after="160" w:before="360"/>
      </w:pPr>
      <w:r>
        <w:t xml:space="preserve">12. Assumptions &amp;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Sabre initiative — no external GDS contract or procurement dependency; sandbox/dev credentials are an internal request, not a vendor negotiation. This removes a risk the SRS had flagged as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Sabre certification (4–8 weeks) remains the fixed critical-path constraint no matter what else is decided — it should start in week 1, in parallel with non-Sabre-dependent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“Travel Case” is confirmed as a distinct project from the earlier “Travelbox” project, with no shared codebase or assets expected.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Development team and budget are already in place (per SRS Section 13) — this document assumes no hiring/procurement delay.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currency list (Section 9) and commission bands (Section 10) above are recommendations pending sign-off, not confirmed product decisions.</w:t>
      </w:r>
    </w:p>
    <w:p>
      <w:pPr>
        <w:pStyle w:val="Heading1"/>
        <w:spacing w:after="160" w:before="360"/>
      </w:pPr>
      <w:r>
        <w:t xml:space="preserve">13.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300"/>
        <w:gridCol w:w="3526"/>
      </w:tblGrid>
      <w:tr>
        <w:tc>
          <w:tcPr>
            <w:tcW w:type="dxa" w:w="2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26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5-vertical scope (incl. activities/tours) in 1–3 months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Defer activities/tours to post-launch, or extend the timeline — don't absorb silently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Sabre certification consumes most of the build window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certification submission in week 1, no exceptions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 content quality weaker than dedicated hotel platforms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UI fallback treatment (card sizing, fallback imagery) up front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Multi-supplier search latency (flights + hotels + cars)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Parallelize supplier API calls; never chain them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Currency &amp; commission decisions still pending sign-off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 before payments/commission engineering starts, not mid-build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14. Timeline &amp;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6826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Sabre sandbox integration + certification submission begins; transfers/insurance integration scoping starts in parallel; UI/UX and non-GDS build (accounts, admin, agent approval workflow) begins concurrently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1–8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Sabre certification runs in parallel with build — this is the critical path for the whole MVP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2–6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B2C + B2B core build across flights, hotels, and car rentals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4–8 (if in scope)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Transfers + travel insurance integration and checkout add-on flow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Post-certification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go-live gated by Sabre's certification sign-off, not internal readiness alone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Post-MVP (recommended)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Activities/tours integration and launch, once core verticals are stable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15. Out of Scope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 (web only, responsive)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White-label B2B branding / full white-label portal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Sub-agent hierarchies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Credit/wallet-based booking for agents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Bulk booking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Cross-airline “virtual interlining” (Kiwi.com-style)</w:t>
      </w:r>
    </w:p>
    <w:p>
      <w:pPr>
        <w:pStyle w:val="Heading1"/>
        <w:spacing w:after="160" w:before="360"/>
      </w:pPr>
      <w:r>
        <w:t xml:space="preserve">16. Open Items Requiring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final currency list and payment gateway priority (recommendation: NGN/USD/GBP/EUR, Paystack or Flutterwave + Stripe)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commission/markup bands per vertical (recommendation given in Section 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whether activities/tours stays P0 or moves to P1/post-launch given the timeline impact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goals &amp; success metrics (Section 3) with product/business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internal Sabre stakeholder(s) who sign off at each milestone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2026-07-27T10:01:22.643Z</dcterms:created>
  <dcterms:modified xsi:type="dcterms:W3CDTF">2026-07-27T10:01:22.657Z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