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Inter" w:cs="Inter" w:eastAsia="Inter" w:hAnsi="Inter"/>
          <w:b/>
          <w:bCs/>
          <w:color w:val="C9A24B"/>
          <w:sz w:val="56"/>
          <w:szCs w:val="56"/>
        </w:rPr>
        <w:t xml:space="preserve">Travel Case</w:t>
      </w:r>
    </w:p>
    <w:p>
      <w:pPr>
        <w:spacing w:after="60"/>
      </w:pPr>
      <w:r>
        <w:rPr>
          <w:rFonts w:ascii="Inter" w:cs="Inter" w:eastAsia="Inter" w:hAnsi="Inter"/>
          <w:color w:val="666666"/>
          <w:sz w:val="28"/>
          <w:szCs w:val="28"/>
        </w:rPr>
        <w:t xml:space="preserve">Product Requirements Document (PRD)</w:t>
      </w:r>
    </w:p>
    <w:p>
      <w:pPr>
        <w:spacing w:after="4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Draft v2  |  Updated after supervisor review  |  Companion to: Travel Case SRS, URD  |  August 2026</w:t>
      </w:r>
    </w:p>
    <w:p>
      <w:pPr>
        <w:pStyle w:val="Heading1"/>
        <w:spacing w:after="200" w:before="400"/>
      </w:pPr>
      <w:r>
        <w:t xml:space="preserve">1. Purpose of This Document</w:t>
      </w:r>
    </w:p>
    <w:p>
      <w:pPr>
        <w:spacing w:after="150"/>
      </w:pPr>
      <w:r>
        <w:t xml:space="preserve">This PRD sits upstream of the Travel Case Software Requirements Specification (SRS). The SRS defines detailed, API-level functional and technical requirements for the development team. This PRD defines the product rationale: the problem, the users, the pricing model, and what still needs a decision before build. This version replaces the earlier fixed-commission-band pricing model with a wholesale/reseller model, following direct feedback from a stakeholder review — Sections 9 and 10 are the ones that changed substantially.</w:t>
      </w:r>
    </w:p>
    <w:p>
      <w:pPr>
        <w:pStyle w:val="Heading1"/>
        <w:spacing w:after="200" w:before="400"/>
      </w:pPr>
      <w:r>
        <w:t xml:space="preserve">2. Product Overview</w:t>
      </w:r>
    </w:p>
    <w:p>
      <w:pPr>
        <w:spacing w:after="150"/>
      </w:pPr>
      <w:r>
        <w:t xml:space="preserve">Travel Case is a full-service Online Travel Agency (OTA) built on Sabre's GDS — flights, hotels, and car rentals under a single integration — extended with airport transfers, travel insurance, and activities/tours, serving both individual travelers (B2C) and reselling travel agents (B2B) from launch. Benchmarked against Priceline, Opodo, Kiwi.com, Ixigo, and Wakanow.</w:t>
      </w:r>
    </w:p>
    <w:p>
      <w:pPr>
        <w:spacing w:after="150"/>
      </w:pPr>
      <w:r>
        <w:t xml:space="preserve">The B2B relationship works like a wholesale supply arrangement: an approved agent buys at Travel Case's net rate, the same way a shop buys stock from a wholesaler, and then resells to their own client at whatever price they set. The client sees the agent's business name on the itinerary and receipt, not Travel Case's — just as a shop's receipt carries its own name even though a wholesaler supplied the product inside.</w:t>
      </w:r>
    </w:p>
    <w:p>
      <w:pPr>
        <w:pStyle w:val="Heading1"/>
        <w:spacing w:after="200" w:before="400"/>
      </w:pPr>
      <w:r>
        <w:t xml:space="preserve">3. Goals &amp; Success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blHeader/>
        </w:trPr>
        <w:tc>
          <w:tcPr>
            <w:tcW w:type="dxa" w:w="9350"/>
            <w:shd w:fill="0B254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 acquisition, GMV, booking-volume, or conversion targets have been defined or assumed. These need to come from product/business stakeholders before build kickoff.</w:t>
            </w:r>
          </w:p>
        </w:tc>
      </w:tr>
    </w:tbl>
    <w:p>
      <w:pPr>
        <w:pStyle w:val="Heading1"/>
        <w:spacing w:after="200" w:before="400"/>
      </w:pPr>
      <w:r>
        <w:t xml:space="preserve">4. Target Users</w:t>
      </w:r>
    </w:p>
    <w:p>
      <w:pPr>
        <w:pStyle w:val="Heading2"/>
        <w:spacing w:after="120" w:before="260"/>
      </w:pPr>
      <w:r>
        <w:t xml:space="preserve">4.1 B2C — Individual Traveler</w:t>
      </w:r>
    </w:p>
    <w:p>
      <w:pPr>
        <w:spacing w:after="150"/>
      </w:pPr>
      <w:r>
        <w:t xml:space="preserve">Searches and books flights, hotels, cars, and add-on services for their own trip, ideally in one flow. Needs: transparent pricing, one unified checkout/cart, a single confirmation for a multi-part trip.</w:t>
      </w:r>
    </w:p>
    <w:p>
      <w:pPr>
        <w:pStyle w:val="Heading2"/>
        <w:spacing w:after="120" w:before="260"/>
      </w:pPr>
      <w:r>
        <w:t xml:space="preserve">4.2 B2B — Reselling Travel Agent</w:t>
      </w:r>
    </w:p>
    <w:p>
      <w:pPr>
        <w:spacing w:after="150"/>
      </w:pPr>
      <w:r>
        <w:t xml:space="preserve">Buys at Travel Case's net rate and resells to their own clients at a price they control. Needs: visibility into the true net rate, full control over their own markup, a white-labeled itinerary/receipt carrying their own business identity, and booking statuses that reflect real travel-industry states rather than a generic placeholder.</w:t>
      </w:r>
    </w:p>
    <w:p>
      <w:pPr>
        <w:pStyle w:val="Heading1"/>
        <w:spacing w:after="200" w:before="400"/>
      </w:pPr>
      <w:r>
        <w:t xml:space="preserve">5. Scope &amp; Prioritization</w:t>
      </w:r>
    </w:p>
    <w:p>
      <w:pPr>
        <w:spacing w:after="150"/>
      </w:pPr>
      <w:r>
        <w:t xml:space="preserve">Scope: flights, hotels, cars, transfers/insurance, and activities/tours; B2C + B2B with wholesale pricing; web only; inside a 1–3 month build window.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50"/>
      </w:tblGrid>
      <w:tr>
        <w:trPr>
          <w:tblHeader/>
        </w:trPr>
        <w:tc>
          <w:tcPr>
            <w:tcW w:type="dxa" w:w="2200"/>
            <w:shd w:fill="0B254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400"/>
            <w:shd w:fill="0B254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50"/>
            <w:shd w:fill="0B254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P0 — Day one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Flights, hotels, car rentals via Sabre; core B2C booking + unified checkout; B2B wholesale pricing engine (net rate, agent-set markup, markup override); white-labeled itinerary/receipt; class-of-service selection at ticketing; itinerary email with PNR; agent booking statuses (pending/confirmed/flown/cancelled)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Sabre certification is the fixed critical-path constraint regardless of any other decision — it starts week 1. The wholesale pricing engine and white-label itinerary are now core to the B2B value proposition, not an add-on.</w:t>
            </w:r>
          </w:p>
        </w:tc>
      </w:tr>
      <w:tr>
        <w:tc>
          <w:tcPr>
            <w:tcW w:type="dxa" w:w="22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P1 — Fast-follow, target within MVP window</w:t>
            </w:r>
          </w:p>
        </w:tc>
        <w:tc>
          <w:tcPr>
            <w:tcW w:type="dxa" w:w="44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Airport transfers, travel insurance</w:t>
            </w:r>
          </w:p>
        </w:tc>
        <w:tc>
          <w:tcPr>
            <w:tcW w:type="dxa" w:w="275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Separate, smaller integrations outside Sabre's scope; run in parallel without blocking certification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P2 — Recommended fast-follow after MVP launch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Sub-agent hierarchies, credit/wallet-based agent booking, bulk booking tools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Genuine agent conveniences, but not required to prove out the core wholesale-resale model</w:t>
            </w:r>
          </w:p>
        </w:tc>
      </w:tr>
    </w:tbl>
    <w:p>
      <w:pPr>
        <w:pStyle w:val="Heading1"/>
        <w:spacing w:after="200" w:before="400"/>
      </w:pPr>
      <w:r>
        <w:t xml:space="preserve">6. Functional Capabilities by Vertical (Summary)</w:t>
      </w:r>
    </w:p>
    <w:p>
      <w:pPr>
        <w:spacing w:after="150"/>
      </w:pPr>
      <w:r>
        <w:t xml:space="preserve">Full API-level requirements are specified in the SRS, Section 6. Summary: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Flights: search/filter by price, duration, stops, airline; fare rules and class of service shown pre-purchase; e-ticket/PNR via email.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Hotels: search/filter by price, star rating, guest rating, amenities; cancellation policy shown pre-booking. Known constraint: Sabre's hotel photography/branding is weaker than dedicated hotel platforms — UI plans for fallback imagery.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 rentals: search/filter by price, vehicle type, transmission, supplier; insurance/excess terms shown pre-booking.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Transfers + insurance: add-ons offered at checkout, sourced via separate provider/affiliate integrations outside Sabre.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Activities/tours: sourced via a dedicated activities API (Viator or GetYourGuide-style), its own search-and-book flow, not just a checkout add-on.</w:t>
      </w:r>
    </w:p>
    <w:p>
      <w:pPr>
        <w:pStyle w:val="Heading1"/>
        <w:spacing w:after="200" w:before="400"/>
      </w:pPr>
      <w:r>
        <w:t xml:space="preserve">7. Cross-Vertical Requirements (Summary)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Unified cart/checkout: pay once for a multi-vertical trip, not per component.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trip confirmation summarizing all booked components, each with its own supplier reference and PNR (for flights) attached.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login, one booking history view across all verticals.</w:t>
      </w:r>
    </w:p>
    <w:p>
      <w:pPr>
        <w:pStyle w:val="Heading1"/>
        <w:spacing w:after="200" w:before="400"/>
      </w:pPr>
      <w:r>
        <w:t xml:space="preserve">8. B2B Agent Layer (Summary)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 sign-up with business verification; admin approval before activation.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 rate visible to the agent on every search result — this is their cost, never shown to their client.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 sets a default markup percentage (overall or per vertical); can override it per booking, so long as the resulting price doesn't fall below the net 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Itinerary and receipt sent to the client carry the agent's own business name and logo; underlying PNR/airline/ticket data still shows as issued through Travel Case/Sabre.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 selects class of service on behalf of the client at the ticketing step.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 can email the itinerary and booking details, including the PNR, directly to their client from the platform.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 booking history shows real statuses: pending, confirmed, flown, cancelled — with net rate, client price, and margin per booking.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Deferred (out of MVP): sub-agent hierarchies, credit/wallet booking, bulk booking tools.</w:t>
      </w:r>
    </w:p>
    <w:p>
      <w:pPr>
        <w:pStyle w:val="Heading1"/>
        <w:spacing w:after="200" w:before="400"/>
      </w:pPr>
      <w:r>
        <w:t xml:space="preserve">9. Pricing Model — Wholesale / Net Rate</w:t>
      </w:r>
    </w:p>
    <w:p>
      <w:pPr>
        <w:spacing w:after="150"/>
      </w:pPr>
      <w:r>
        <w:t xml:space="preserve">This replaces the earlier fixed-commission-band model entirely. The relationship is a wholesale supply arrangement, not a percentage commission set by Travel Case: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Travel Case quotes every fare/rate to an approved agent at a net rate — the agent's actual cost.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agent decides their own client-facing price by applying a markup on top of the net rate. This can be a saved default (per vertical or overall) applied automatically, or a manual override entered per booking.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 is no Travel Case-imposed commission percentage — the agent's margin is entirely a function of their own markup decision, the same way a retailer decides its own retail price on wholesale stock.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Markup is bounded on both ends: a 0% floor (client price can equal net rate, never below it) and a maximum markup percentage per vertical, set by Travel Case admin. Flights, hotels, cars, and other services each have their own cap, since realistic margins differ by vertical.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Submitting a markup above the vertical's cap is hard-blocked by the system — the booking cannot proceed until the agent enters a value within range. This is enforced automatically, not left as an advisory warning.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net rate is never exposed to the client under any circumstance — not on the itinerary, not in the confirmation email, not through any client-facing view.</w:t>
      </w:r>
    </w:p>
    <w:p>
      <w:pPr>
        <w:pStyle w:val="Heading1"/>
        <w:spacing w:after="200" w:before="400"/>
      </w:pPr>
      <w:r>
        <w:t xml:space="preserve">10. White-Label Itinerary and Receipt</w:t>
      </w:r>
    </w:p>
    <w:p>
      <w:pPr>
        <w:spacing w:after="150"/>
      </w:pPr>
      <w:r>
        <w:t xml:space="preserve">An agent's clients should experience the booking as coming from the agent's own business, not from Travel Case — consistent with the wholesale relationship in Section 9.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Agents configure a business name and logo once, in account settings.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itinerary and receipt generated for that agent's bookings displays their business name/logo as the seller.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underlying PNR, airline, flight numbers, and any GDS-issued ticket data still show as issued through Travel Case/Sabre — this is factual travel document data and isn't altered by white-labeling, the same way a real airline ticket always discloses its operating carrier regardless of which agency sold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agent can send this white-labeled itinerary directly to their client by email from within the platform, including the PNR and full booking details, without needing to export or manually forward anything.</w:t>
      </w:r>
    </w:p>
    <w:p>
      <w:pPr>
        <w:pStyle w:val="Heading1"/>
        <w:spacing w:after="200" w:before="400"/>
      </w:pPr>
      <w:r>
        <w:t xml:space="preserve">11. Non-Functional Requirements (Pointer)</w:t>
      </w:r>
    </w:p>
    <w:p>
      <w:pPr>
        <w:spacing w:after="150"/>
      </w:pPr>
      <w:r>
        <w:t xml:space="preserve">Full detail in SRS Section 11: HTTPS everywhere, tokenized payments, encrypted PII, role-based access control; search latency across supplier APIs must be parallelized, not chained; IATA/airline ticketing rules; NDPR/GDPR depending on user base. Net rate data is treated as sensitive and must never be reachable from a client-facing session.</w:t>
      </w:r>
    </w:p>
    <w:p>
      <w:pPr>
        <w:pStyle w:val="Heading1"/>
        <w:spacing w:after="200" w:before="400"/>
      </w:pPr>
      <w:r>
        <w:t xml:space="preserve">12. Assumptions &amp;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Internal Sabre initiative — no external GDS contract or procurement dependency; sandbox/dev credentials are an internal request.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Sabre certification (4–8 weeks) remains the fixed critical-path constraint no matter what else is decided — it starts in week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“Travel Case” is confirmed as a distinct project from the earlier “Travelbox” project, with no shared codebase or assets expected.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 team and budget are already in place.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wholesale/net-rate pricing model (Sections 9–10) is a confirmed product decision from stakeholder review, replacing the earlier draft commission bands — it is not a pending recommendation.</w:t>
      </w:r>
    </w:p>
    <w:p>
      <w:pPr>
        <w:pStyle w:val="Heading1"/>
        <w:spacing w:after="200" w:before="400"/>
      </w:pPr>
      <w:r>
        <w:t xml:space="preserve">13. Risks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50"/>
      </w:tblGrid>
      <w:tr>
        <w:trPr>
          <w:tblHeader/>
        </w:trPr>
        <w:tc>
          <w:tcPr>
            <w:tcW w:type="dxa" w:w="2600"/>
            <w:shd w:fill="0B254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shd w:fill="0B254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shd w:fill="0B254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50"/>
            <w:shd w:fill="0B254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5-vertical scope in 1–3 months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1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Activities/tours runs as its own parallel workstream from week 1, not sequenced after Sabre</w:t>
            </w:r>
          </w:p>
        </w:tc>
      </w:tr>
      <w:tr>
        <w:tc>
          <w:tcPr>
            <w:tcW w:type="dxa" w:w="26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Sabre certification consumes most of the build window</w:t>
            </w:r>
          </w:p>
        </w:tc>
        <w:tc>
          <w:tcPr>
            <w:tcW w:type="dxa" w:w="13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15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Start certification submission in week 1, no exceptions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Agent prices below net rate or above vertical cap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1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Both bounds are system-enforced (0% floor, per-vertical cap) with hard-blocked submission — residual risk is implementation bugs, not policy ambiguity</w:t>
            </w:r>
          </w:p>
        </w:tc>
      </w:tr>
      <w:tr>
        <w:tc>
          <w:tcPr>
            <w:tcW w:type="dxa" w:w="26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Net rate accidentally exposed to a client</w:t>
            </w:r>
          </w:p>
        </w:tc>
        <w:tc>
          <w:tcPr>
            <w:tcW w:type="dxa" w:w="13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15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Treat net rate as a sensitive field end-to-end; never include it in any client-facing template, email, or API response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Hotel content quality weaker than dedicated hotel platforms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1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Design UI fallback treatment (card sizing, fallback imagery) up front</w:t>
            </w:r>
          </w:p>
        </w:tc>
      </w:tr>
      <w:tr>
        <w:tc>
          <w:tcPr>
            <w:tcW w:type="dxa" w:w="26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Multi-supplier search latency (flights + hotels + cars)</w:t>
            </w:r>
          </w:p>
        </w:tc>
        <w:tc>
          <w:tcPr>
            <w:tcW w:type="dxa" w:w="13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15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Parallelize supplier API calls; never chain them</w:t>
            </w:r>
          </w:p>
        </w:tc>
      </w:tr>
    </w:tbl>
    <w:p>
      <w:pPr>
        <w:pStyle w:val="Heading1"/>
        <w:spacing w:after="200" w:before="400"/>
      </w:pPr>
      <w:r>
        <w:t xml:space="preserve">14. Timeline &amp; Milestones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0B254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7150"/>
            <w:shd w:fill="0B254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71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Sabre sandbox integration + certification submission begins; activities/tours integration scoping starts in parallel; UI/UX and non-GDS build (accounts, admin, agent approval workflow, wholesale pricing engine) begins concurrently</w:t>
            </w:r>
          </w:p>
        </w:tc>
      </w:tr>
      <w:tr>
        <w:tc>
          <w:tcPr>
            <w:tcW w:type="dxa" w:w="22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Weeks 1–8</w:t>
            </w:r>
          </w:p>
        </w:tc>
        <w:tc>
          <w:tcPr>
            <w:tcW w:type="dxa" w:w="715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Sabre certification runs in parallel with build — this is the critical path for the whole MVP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Weeks 2–6</w:t>
            </w:r>
          </w:p>
        </w:tc>
        <w:tc>
          <w:tcPr>
            <w:tcW w:type="dxa" w:w="71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B2C + B2B core build across flights, hotels, and car rentals, including the net-rate/markup pricing engine and white-label itinerary templates</w:t>
            </w:r>
          </w:p>
        </w:tc>
      </w:tr>
      <w:tr>
        <w:tc>
          <w:tcPr>
            <w:tcW w:type="dxa" w:w="220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Weeks 4–8</w:t>
            </w:r>
          </w:p>
        </w:tc>
        <w:tc>
          <w:tcPr>
            <w:tcW w:type="dxa" w:w="7150"/>
            <w:shd w:fill="F5F0EA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Transfers, travel insurance, and activities/tours integration and checkout add-on flow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Post-certification</w:t>
            </w:r>
          </w:p>
        </w:tc>
        <w:tc>
          <w:tcPr>
            <w:tcW w:type="dxa" w:w="71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Production go-live gated by Sabre's certification sign-off, not internal readiness alone</w:t>
            </w:r>
          </w:p>
        </w:tc>
      </w:tr>
    </w:tbl>
    <w:p>
      <w:pPr>
        <w:pStyle w:val="Heading1"/>
        <w:spacing w:after="200" w:before="400"/>
      </w:pPr>
      <w:r>
        <w:t xml:space="preserve">15. Out of Scope (MVP)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Native mobile app (web only, responsive)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Sub-agent hierarchies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Credit/wallet-based booking for agents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Bulk booking 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Cross-airline “virtual interlining” (Kiwi.com-style)</w:t>
      </w:r>
    </w:p>
    <w:p>
      <w:pPr>
        <w:pStyle w:val="Heading1"/>
        <w:spacing w:after="200" w:before="400"/>
      </w:pPr>
      <w:r>
        <w:t xml:space="preserve">16. Open Items Requiring Sign-off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the actual maximum markup percentages per vertical at launch (flights, hotels, cars, other services)? The rule (0% floor, per-vertical cap, hard block above it) is confirmed — the specific numbers still need sign-off from the commercial team.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“flown” status determined — automatically once the travel date passes, or via a sync back from Sabre confirming the ticket was used?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the white-labeled itinerary need agent-level customization beyond logo/business name (colors, footer contact details)?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final currency list and payment gateway priority.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internal Sabre stakeholder(s) who sign off at each milestone.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Inter" w:cs="Inter" w:eastAsia="Inter" w:hAnsi="Inter"/>
      <w:b/>
      <w:bCs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2026-08-11T07:48:07.286Z</dcterms:created>
  <dcterms:modified xsi:type="dcterms:W3CDTF">2026-08-11T07:48:07.286Z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