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HR ATTRITION ANALYSIS</w:t>
      </w:r>
    </w:p>
    <w:p>
      <w:pPr>
        <w:spacing w:after="300"/>
      </w:pPr>
      <w:r>
        <w:rPr>
          <w:i/>
          <w:iCs/>
          <w:color w:val="595959"/>
          <w:sz w:val="24"/>
          <w:szCs w:val="24"/>
        </w:rPr>
        <w:t xml:space="preserve">Executive Summary — Prepared for Stakeholders</w:t>
      </w:r>
    </w:p>
    <w:p>
      <w:pPr>
        <w:pBdr>
          <w:bottom w:val="single" w:color="1F3864" w:sz="6" w:space="8"/>
        </w:pBdr>
        <w:spacing w:after="300"/>
      </w:pPr>
      <w:r>
        <w:rPr>
          <w:color w:val="595959"/>
          <w:sz w:val="20"/>
          <w:szCs w:val="20"/>
        </w:rPr>
        <w:t xml:space="preserve">Prepared by Blessing Nwakanma | Data Analyst</w:t>
      </w:r>
    </w:p>
    <w:p>
      <w:pPr>
        <w:pStyle w:val="Heading1"/>
        <w:spacing w:after="150" w:before="300"/>
      </w:pPr>
      <w:r>
        <w:rPr>
          <w:b/>
          <w:bCs/>
          <w:color w:val="1F3864"/>
          <w:sz w:val="28"/>
          <w:szCs w:val="28"/>
        </w:rPr>
        <w:t xml:space="preserve">Overview</w:t>
      </w:r>
    </w:p>
    <w:p>
      <w:pPr>
        <w:spacing w:after="160" w:line="300"/>
      </w:pPr>
      <w:r>
        <w:rPr>
          <w:sz w:val="22"/>
          <w:szCs w:val="22"/>
        </w:rPr>
        <w:t xml:space="preserve">This analysis examines workforce attrition across 1,470 employees to identify where the organization is losing people and why. The goal is to move beyond the headline turnover number and pinpoint the specific, actionable factors driving exits — so leadership can prioritize interventions with the highest expected impact on retention.</w:t>
      </w:r>
    </w:p>
    <w:p>
      <w:pPr>
        <w:pStyle w:val="Heading1"/>
        <w:spacing w:after="150" w:before="300"/>
      </w:pPr>
      <w:r>
        <w:rPr>
          <w:b/>
          <w:bCs/>
          <w:color w:val="1F3864"/>
          <w:sz w:val="28"/>
          <w:szCs w:val="28"/>
        </w:rPr>
        <w:t xml:space="preserve">Headline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9E2F3" w:val="clear"/>
            <w:tcMar>
              <w:top w:type="dxa" w:w="150"/>
              <w:left w:type="dxa" w:w="120"/>
              <w:bottom w:type="dxa" w:w="150"/>
              <w:right w:type="dxa" w:w="120"/>
            </w:tcMar>
            <w:vAlign w:val="center"/>
          </w:tcPr>
          <w:p>
            <w:pPr>
              <w:jc w:val="center"/>
            </w:pPr>
            <w:r>
              <w:rPr>
                <w:b/>
                <w:bCs/>
                <w:color w:val="1F3864"/>
                <w:sz w:val="32"/>
                <w:szCs w:val="32"/>
              </w:rPr>
              <w:t xml:space="preserve">1,470</w:t>
            </w:r>
          </w:p>
          <w:p>
            <w:pPr>
              <w:jc w:val="center"/>
            </w:pPr>
            <w:r>
              <w:rPr>
                <w:color w:val="595959"/>
                <w:sz w:val="18"/>
                <w:szCs w:val="18"/>
              </w:rPr>
              <w:t xml:space="preserve">Employees Analyzed</w:t>
            </w:r>
          </w:p>
        </w:tc>
        <w:tc>
          <w:tcPr>
            <w:tcW w:type="pct" w:w="25%"/>
            <w:shd w:fill="D9E2F3" w:val="clear"/>
            <w:tcMar>
              <w:top w:type="dxa" w:w="150"/>
              <w:left w:type="dxa" w:w="120"/>
              <w:bottom w:type="dxa" w:w="150"/>
              <w:right w:type="dxa" w:w="120"/>
            </w:tcMar>
            <w:vAlign w:val="center"/>
          </w:tcPr>
          <w:p>
            <w:pPr>
              <w:jc w:val="center"/>
            </w:pPr>
            <w:r>
              <w:rPr>
                <w:b/>
                <w:bCs/>
                <w:color w:val="1F3864"/>
                <w:sz w:val="32"/>
                <w:szCs w:val="32"/>
              </w:rPr>
              <w:t xml:space="preserve">16.1%</w:t>
            </w:r>
          </w:p>
          <w:p>
            <w:pPr>
              <w:jc w:val="center"/>
            </w:pPr>
            <w:r>
              <w:rPr>
                <w:color w:val="595959"/>
                <w:sz w:val="18"/>
                <w:szCs w:val="18"/>
              </w:rPr>
              <w:t xml:space="preserve">Overall Attrition Rate</w:t>
            </w:r>
          </w:p>
        </w:tc>
        <w:tc>
          <w:tcPr>
            <w:tcW w:type="pct" w:w="25%"/>
            <w:shd w:fill="D9E2F3" w:val="clear"/>
            <w:tcMar>
              <w:top w:type="dxa" w:w="150"/>
              <w:left w:type="dxa" w:w="120"/>
              <w:bottom w:type="dxa" w:w="150"/>
              <w:right w:type="dxa" w:w="120"/>
            </w:tcMar>
            <w:vAlign w:val="center"/>
          </w:tcPr>
          <w:p>
            <w:pPr>
              <w:jc w:val="center"/>
            </w:pPr>
            <w:r>
              <w:rPr>
                <w:b/>
                <w:bCs/>
                <w:color w:val="1F3864"/>
                <w:sz w:val="32"/>
                <w:szCs w:val="32"/>
              </w:rPr>
              <w:t xml:space="preserve">237</w:t>
            </w:r>
          </w:p>
          <w:p>
            <w:pPr>
              <w:jc w:val="center"/>
            </w:pPr>
            <w:r>
              <w:rPr>
                <w:color w:val="595959"/>
                <w:sz w:val="18"/>
                <w:szCs w:val="18"/>
              </w:rPr>
              <w:t xml:space="preserve">Employees Who Left</w:t>
            </w:r>
          </w:p>
        </w:tc>
        <w:tc>
          <w:tcPr>
            <w:tcW w:type="pct" w:w="25%"/>
            <w:shd w:fill="D9E2F3" w:val="clear"/>
            <w:tcMar>
              <w:top w:type="dxa" w:w="150"/>
              <w:left w:type="dxa" w:w="120"/>
              <w:bottom w:type="dxa" w:w="150"/>
              <w:right w:type="dxa" w:w="120"/>
            </w:tcMar>
            <w:vAlign w:val="center"/>
          </w:tcPr>
          <w:p>
            <w:pPr>
              <w:jc w:val="center"/>
            </w:pPr>
            <w:r>
              <w:rPr>
                <w:b/>
                <w:bCs/>
                <w:color w:val="1F3864"/>
                <w:sz w:val="32"/>
                <w:szCs w:val="32"/>
              </w:rPr>
              <w:t xml:space="preserve">36.9</w:t>
            </w:r>
          </w:p>
          <w:p>
            <w:pPr>
              <w:jc w:val="center"/>
            </w:pPr>
            <w:r>
              <w:rPr>
                <w:color w:val="595959"/>
                <w:sz w:val="18"/>
                <w:szCs w:val="18"/>
              </w:rPr>
              <w:t xml:space="preserve">Average Employee Age</w:t>
            </w:r>
          </w:p>
        </w:tc>
      </w:tr>
    </w:tbl>
    <w:p>
      <w:pPr>
        <w:spacing w:before="300"/>
      </w:pPr>
    </w:p>
    <w:p>
      <w:pPr>
        <w:pStyle w:val="Heading1"/>
        <w:spacing w:after="150" w:before="300"/>
      </w:pPr>
      <w:r>
        <w:rPr>
          <w:b/>
          <w:bCs/>
          <w:color w:val="1F3864"/>
          <w:sz w:val="28"/>
          <w:szCs w:val="28"/>
        </w:rPr>
        <w:t xml:space="preserve">Key Findings</w:t>
      </w:r>
    </w:p>
    <w:p>
      <w:pPr>
        <w:spacing w:after="160" w:line="300"/>
      </w:pPr>
      <w:r>
        <w:rPr>
          <w:sz w:val="22"/>
          <w:szCs w:val="22"/>
        </w:rPr>
        <w:t xml:space="preserve">Attrition is not evenly distributed across the workforce. It is heavily concentrated among a small number of identifiable groups, which means retention efforts can be targeted rather than applied broadly.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F3864" w:val="clear"/>
            <w:tcMar>
              <w:top w:type="dxa" w:w="100"/>
              <w:left w:type="dxa" w:w="120"/>
              <w:bottom w:type="dxa" w:w="100"/>
              <w:right w:type="dxa" w:w="120"/>
            </w:tcMar>
          </w:tcPr>
          <w:p>
            <w:r>
              <w:rPr>
                <w:b/>
                <w:bCs/>
                <w:color w:val="FFFFFF"/>
                <w:sz w:val="20"/>
                <w:szCs w:val="20"/>
              </w:rPr>
              <w:t xml:space="preserve">Factor</w:t>
            </w:r>
          </w:p>
        </w:tc>
        <w:tc>
          <w:tcPr>
            <w:tcW w:type="pct" w:w="15%"/>
            <w:shd w:fill="1F3864" w:val="clear"/>
            <w:tcMar>
              <w:top w:type="dxa" w:w="100"/>
              <w:left w:type="dxa" w:w="120"/>
              <w:bottom w:type="dxa" w:w="100"/>
              <w:right w:type="dxa" w:w="120"/>
            </w:tcMar>
          </w:tcPr>
          <w:p>
            <w:r>
              <w:rPr>
                <w:b/>
                <w:bCs/>
                <w:color w:val="FFFFFF"/>
                <w:sz w:val="20"/>
                <w:szCs w:val="20"/>
              </w:rPr>
              <w:t xml:space="preserve">Higher-Risk Group</w:t>
            </w:r>
          </w:p>
        </w:tc>
        <w:tc>
          <w:tcPr>
            <w:tcW w:type="pct" w:w="15%"/>
            <w:shd w:fill="1F3864" w:val="clear"/>
            <w:tcMar>
              <w:top w:type="dxa" w:w="100"/>
              <w:left w:type="dxa" w:w="120"/>
              <w:bottom w:type="dxa" w:w="100"/>
              <w:right w:type="dxa" w:w="120"/>
            </w:tcMar>
          </w:tcPr>
          <w:p>
            <w:r>
              <w:rPr>
                <w:b/>
                <w:bCs/>
                <w:color w:val="FFFFFF"/>
                <w:sz w:val="20"/>
                <w:szCs w:val="20"/>
              </w:rPr>
              <w:t xml:space="preserve">Lower-Risk Group</w:t>
            </w:r>
          </w:p>
        </w:tc>
        <w:tc>
          <w:tcPr>
            <w:tcW w:type="pct" w:w="48%"/>
            <w:shd w:fill="1F3864" w:val="clear"/>
            <w:tcMar>
              <w:top w:type="dxa" w:w="100"/>
              <w:left w:type="dxa" w:w="120"/>
              <w:bottom w:type="dxa" w:w="100"/>
              <w:right w:type="dxa" w:w="120"/>
            </w:tcMar>
          </w:tcPr>
          <w:p>
            <w:r>
              <w:rPr>
                <w:b/>
                <w:bCs/>
                <w:color w:val="FFFFFF"/>
                <w:sz w:val="20"/>
                <w:szCs w:val="20"/>
              </w:rPr>
              <w:t xml:space="preserve">Insight</w:t>
            </w:r>
          </w:p>
        </w:tc>
      </w:tr>
      <w:tr>
        <w:tc>
          <w:tcPr>
            <w:tcW w:type="pct" w:w="22%"/>
            <w:tcMar>
              <w:top w:type="dxa" w:w="100"/>
              <w:left w:type="dxa" w:w="120"/>
              <w:bottom w:type="dxa" w:w="100"/>
              <w:right w:type="dxa" w:w="120"/>
            </w:tcMar>
          </w:tcPr>
          <w:p>
            <w:r>
              <w:rPr>
                <w:b/>
                <w:bCs/>
                <w:sz w:val="20"/>
                <w:szCs w:val="20"/>
              </w:rPr>
              <w:t xml:space="preserve">Overtime</w:t>
            </w:r>
          </w:p>
        </w:tc>
        <w:tc>
          <w:tcPr>
            <w:tcW w:type="pct" w:w="15%"/>
            <w:tcMar>
              <w:top w:type="dxa" w:w="100"/>
              <w:left w:type="dxa" w:w="120"/>
              <w:bottom w:type="dxa" w:w="100"/>
              <w:right w:type="dxa" w:w="120"/>
            </w:tcMar>
          </w:tcPr>
          <w:p>
            <w:r>
              <w:rPr>
                <w:sz w:val="20"/>
                <w:szCs w:val="20"/>
              </w:rPr>
              <w:t xml:space="preserve">Works overtime: 30.5%</w:t>
            </w:r>
          </w:p>
        </w:tc>
        <w:tc>
          <w:tcPr>
            <w:tcW w:type="pct" w:w="15%"/>
            <w:tcMar>
              <w:top w:type="dxa" w:w="100"/>
              <w:left w:type="dxa" w:w="120"/>
              <w:bottom w:type="dxa" w:w="100"/>
              <w:right w:type="dxa" w:w="120"/>
            </w:tcMar>
          </w:tcPr>
          <w:p>
            <w:r>
              <w:rPr>
                <w:sz w:val="20"/>
                <w:szCs w:val="20"/>
              </w:rPr>
              <w:t xml:space="preserve">No overtime: 10.4%</w:t>
            </w:r>
          </w:p>
        </w:tc>
        <w:tc>
          <w:tcPr>
            <w:tcW w:type="pct" w:w="48%"/>
            <w:tcMar>
              <w:top w:type="dxa" w:w="100"/>
              <w:left w:type="dxa" w:w="120"/>
              <w:bottom w:type="dxa" w:w="100"/>
              <w:right w:type="dxa" w:w="120"/>
            </w:tcMar>
          </w:tcPr>
          <w:p>
            <w:r>
              <w:rPr>
                <w:sz w:val="20"/>
                <w:szCs w:val="20"/>
              </w:rPr>
              <w:t xml:space="preserve">The single strongest driver of attrition in the dataset. Employees working overtime are nearly 3x more likely to leave.</w:t>
            </w:r>
          </w:p>
        </w:tc>
      </w:tr>
      <w:tr>
        <w:tc>
          <w:tcPr>
            <w:tcW w:type="pct" w:w="22%"/>
            <w:tcMar>
              <w:top w:type="dxa" w:w="100"/>
              <w:left w:type="dxa" w:w="120"/>
              <w:bottom w:type="dxa" w:w="100"/>
              <w:right w:type="dxa" w:w="120"/>
            </w:tcMar>
          </w:tcPr>
          <w:p>
            <w:r>
              <w:rPr>
                <w:b/>
                <w:bCs/>
                <w:sz w:val="20"/>
                <w:szCs w:val="20"/>
              </w:rPr>
              <w:t xml:space="preserve">Business Travel</w:t>
            </w:r>
          </w:p>
        </w:tc>
        <w:tc>
          <w:tcPr>
            <w:tcW w:type="pct" w:w="15%"/>
            <w:tcMar>
              <w:top w:type="dxa" w:w="100"/>
              <w:left w:type="dxa" w:w="120"/>
              <w:bottom w:type="dxa" w:w="100"/>
              <w:right w:type="dxa" w:w="120"/>
            </w:tcMar>
          </w:tcPr>
          <w:p>
            <w:r>
              <w:rPr>
                <w:sz w:val="20"/>
                <w:szCs w:val="20"/>
              </w:rPr>
              <w:t xml:space="preserve">Frequent traveler: 24.9%</w:t>
            </w:r>
          </w:p>
        </w:tc>
        <w:tc>
          <w:tcPr>
            <w:tcW w:type="pct" w:w="15%"/>
            <w:tcMar>
              <w:top w:type="dxa" w:w="100"/>
              <w:left w:type="dxa" w:w="120"/>
              <w:bottom w:type="dxa" w:w="100"/>
              <w:right w:type="dxa" w:w="120"/>
            </w:tcMar>
          </w:tcPr>
          <w:p>
            <w:r>
              <w:rPr>
                <w:sz w:val="20"/>
                <w:szCs w:val="20"/>
              </w:rPr>
              <w:t xml:space="preserve">No travel: 8.0%</w:t>
            </w:r>
          </w:p>
        </w:tc>
        <w:tc>
          <w:tcPr>
            <w:tcW w:type="pct" w:w="48%"/>
            <w:tcMar>
              <w:top w:type="dxa" w:w="100"/>
              <w:left w:type="dxa" w:w="120"/>
              <w:bottom w:type="dxa" w:w="100"/>
              <w:right w:type="dxa" w:w="120"/>
            </w:tcMar>
          </w:tcPr>
          <w:p>
            <w:r>
              <w:rPr>
                <w:sz w:val="20"/>
                <w:szCs w:val="20"/>
              </w:rPr>
              <w:t xml:space="preserve">Attrition rises steadily with travel frequency, suggesting travel-related burnout is a meaningful factor.</w:t>
            </w:r>
          </w:p>
        </w:tc>
      </w:tr>
      <w:tr>
        <w:tc>
          <w:tcPr>
            <w:tcW w:type="pct" w:w="22%"/>
            <w:tcMar>
              <w:top w:type="dxa" w:w="100"/>
              <w:left w:type="dxa" w:w="120"/>
              <w:bottom w:type="dxa" w:w="100"/>
              <w:right w:type="dxa" w:w="120"/>
            </w:tcMar>
          </w:tcPr>
          <w:p>
            <w:r>
              <w:rPr>
                <w:b/>
                <w:bCs/>
                <w:sz w:val="20"/>
                <w:szCs w:val="20"/>
              </w:rPr>
              <w:t xml:space="preserve">Marital Status</w:t>
            </w:r>
          </w:p>
        </w:tc>
        <w:tc>
          <w:tcPr>
            <w:tcW w:type="pct" w:w="15%"/>
            <w:tcMar>
              <w:top w:type="dxa" w:w="100"/>
              <w:left w:type="dxa" w:w="120"/>
              <w:bottom w:type="dxa" w:w="100"/>
              <w:right w:type="dxa" w:w="120"/>
            </w:tcMar>
          </w:tcPr>
          <w:p>
            <w:r>
              <w:rPr>
                <w:sz w:val="20"/>
                <w:szCs w:val="20"/>
              </w:rPr>
              <w:t xml:space="preserve">Single: 25.5%</w:t>
            </w:r>
          </w:p>
        </w:tc>
        <w:tc>
          <w:tcPr>
            <w:tcW w:type="pct" w:w="15%"/>
            <w:tcMar>
              <w:top w:type="dxa" w:w="100"/>
              <w:left w:type="dxa" w:w="120"/>
              <w:bottom w:type="dxa" w:w="100"/>
              <w:right w:type="dxa" w:w="120"/>
            </w:tcMar>
          </w:tcPr>
          <w:p>
            <w:r>
              <w:rPr>
                <w:sz w:val="20"/>
                <w:szCs w:val="20"/>
              </w:rPr>
              <w:t xml:space="preserve">Divorced: 10.1%</w:t>
            </w:r>
          </w:p>
        </w:tc>
        <w:tc>
          <w:tcPr>
            <w:tcW w:type="pct" w:w="48%"/>
            <w:tcMar>
              <w:top w:type="dxa" w:w="100"/>
              <w:left w:type="dxa" w:w="120"/>
              <w:bottom w:type="dxa" w:w="100"/>
              <w:right w:type="dxa" w:w="120"/>
            </w:tcMar>
          </w:tcPr>
          <w:p>
            <w:r>
              <w:rPr>
                <w:sz w:val="20"/>
                <w:szCs w:val="20"/>
              </w:rPr>
              <w:t xml:space="preserve">Single employees leave at more than double the rate of divorced employees and roughly 2x married employees (12.5%).</w:t>
            </w:r>
          </w:p>
        </w:tc>
      </w:tr>
      <w:tr>
        <w:tc>
          <w:tcPr>
            <w:tcW w:type="pct" w:w="22%"/>
            <w:tcMar>
              <w:top w:type="dxa" w:w="100"/>
              <w:left w:type="dxa" w:w="120"/>
              <w:bottom w:type="dxa" w:w="100"/>
              <w:right w:type="dxa" w:w="120"/>
            </w:tcMar>
          </w:tcPr>
          <w:p>
            <w:r>
              <w:rPr>
                <w:b/>
                <w:bCs/>
                <w:sz w:val="20"/>
                <w:szCs w:val="20"/>
              </w:rPr>
              <w:t xml:space="preserve">Job Satisfaction</w:t>
            </w:r>
          </w:p>
        </w:tc>
        <w:tc>
          <w:tcPr>
            <w:tcW w:type="pct" w:w="15%"/>
            <w:tcMar>
              <w:top w:type="dxa" w:w="100"/>
              <w:left w:type="dxa" w:w="120"/>
              <w:bottom w:type="dxa" w:w="100"/>
              <w:right w:type="dxa" w:w="120"/>
            </w:tcMar>
          </w:tcPr>
          <w:p>
            <w:r>
              <w:rPr>
                <w:sz w:val="20"/>
                <w:szCs w:val="20"/>
              </w:rPr>
              <w:t xml:space="preserve">Lowest rating (1): 22.8%</w:t>
            </w:r>
          </w:p>
        </w:tc>
        <w:tc>
          <w:tcPr>
            <w:tcW w:type="pct" w:w="15%"/>
            <w:tcMar>
              <w:top w:type="dxa" w:w="100"/>
              <w:left w:type="dxa" w:w="120"/>
              <w:bottom w:type="dxa" w:w="100"/>
              <w:right w:type="dxa" w:w="120"/>
            </w:tcMar>
          </w:tcPr>
          <w:p>
            <w:r>
              <w:rPr>
                <w:sz w:val="20"/>
                <w:szCs w:val="20"/>
              </w:rPr>
              <w:t xml:space="preserve">Highest rating (4): 11.3%</w:t>
            </w:r>
          </w:p>
        </w:tc>
        <w:tc>
          <w:tcPr>
            <w:tcW w:type="pct" w:w="48%"/>
            <w:tcMar>
              <w:top w:type="dxa" w:w="100"/>
              <w:left w:type="dxa" w:w="120"/>
              <w:bottom w:type="dxa" w:w="100"/>
              <w:right w:type="dxa" w:w="120"/>
            </w:tcMar>
          </w:tcPr>
          <w:p>
            <w:r>
              <w:rPr>
                <w:sz w:val="20"/>
                <w:szCs w:val="20"/>
              </w:rPr>
              <w:t xml:space="preserve">Satisfaction is a strong predictor of exit risk independent of pay or role.</w:t>
            </w:r>
          </w:p>
        </w:tc>
      </w:tr>
      <w:tr>
        <w:tc>
          <w:tcPr>
            <w:tcW w:type="pct" w:w="22%"/>
            <w:tcMar>
              <w:top w:type="dxa" w:w="100"/>
              <w:left w:type="dxa" w:w="120"/>
              <w:bottom w:type="dxa" w:w="100"/>
              <w:right w:type="dxa" w:w="120"/>
            </w:tcMar>
          </w:tcPr>
          <w:p>
            <w:r>
              <w:rPr>
                <w:b/>
                <w:bCs/>
                <w:sz w:val="20"/>
                <w:szCs w:val="20"/>
              </w:rPr>
              <w:t xml:space="preserve">Department</w:t>
            </w:r>
          </w:p>
        </w:tc>
        <w:tc>
          <w:tcPr>
            <w:tcW w:type="pct" w:w="15%"/>
            <w:tcMar>
              <w:top w:type="dxa" w:w="100"/>
              <w:left w:type="dxa" w:w="120"/>
              <w:bottom w:type="dxa" w:w="100"/>
              <w:right w:type="dxa" w:w="120"/>
            </w:tcMar>
          </w:tcPr>
          <w:p>
            <w:r>
              <w:rPr>
                <w:sz w:val="20"/>
                <w:szCs w:val="20"/>
              </w:rPr>
              <w:t xml:space="preserve">Sales: 20.6%</w:t>
            </w:r>
          </w:p>
        </w:tc>
        <w:tc>
          <w:tcPr>
            <w:tcW w:type="pct" w:w="15%"/>
            <w:tcMar>
              <w:top w:type="dxa" w:w="100"/>
              <w:left w:type="dxa" w:w="120"/>
              <w:bottom w:type="dxa" w:w="100"/>
              <w:right w:type="dxa" w:w="120"/>
            </w:tcMar>
          </w:tcPr>
          <w:p>
            <w:r>
              <w:rPr>
                <w:sz w:val="20"/>
                <w:szCs w:val="20"/>
              </w:rPr>
              <w:t xml:space="preserve">R&amp;D: 13.8%</w:t>
            </w:r>
          </w:p>
        </w:tc>
        <w:tc>
          <w:tcPr>
            <w:tcW w:type="pct" w:w="48%"/>
            <w:tcMar>
              <w:top w:type="dxa" w:w="100"/>
              <w:left w:type="dxa" w:w="120"/>
              <w:bottom w:type="dxa" w:w="100"/>
              <w:right w:type="dxa" w:w="120"/>
            </w:tcMar>
          </w:tcPr>
          <w:p>
            <w:r>
              <w:rPr>
                <w:sz w:val="20"/>
                <w:szCs w:val="20"/>
              </w:rPr>
              <w:t xml:space="preserve">Sales and HR (19.0%) run notably hotter than R&amp;D, pointing to team-level rather than company-wide causes.</w:t>
            </w:r>
          </w:p>
        </w:tc>
      </w:tr>
      <w:tr>
        <w:tc>
          <w:tcPr>
            <w:tcW w:type="pct" w:w="22%"/>
            <w:tcMar>
              <w:top w:type="dxa" w:w="100"/>
              <w:left w:type="dxa" w:w="120"/>
              <w:bottom w:type="dxa" w:w="100"/>
              <w:right w:type="dxa" w:w="120"/>
            </w:tcMar>
          </w:tcPr>
          <w:p>
            <w:r>
              <w:rPr>
                <w:b/>
                <w:bCs/>
                <w:sz w:val="20"/>
                <w:szCs w:val="20"/>
              </w:rPr>
              <w:t xml:space="preserve">Gender</w:t>
            </w:r>
          </w:p>
        </w:tc>
        <w:tc>
          <w:tcPr>
            <w:tcW w:type="pct" w:w="15%"/>
            <w:tcMar>
              <w:top w:type="dxa" w:w="100"/>
              <w:left w:type="dxa" w:w="120"/>
              <w:bottom w:type="dxa" w:w="100"/>
              <w:right w:type="dxa" w:w="120"/>
            </w:tcMar>
          </w:tcPr>
          <w:p>
            <w:r>
              <w:rPr>
                <w:sz w:val="20"/>
                <w:szCs w:val="20"/>
              </w:rPr>
              <w:t xml:space="preserve">Male: 17.0%</w:t>
            </w:r>
          </w:p>
        </w:tc>
        <w:tc>
          <w:tcPr>
            <w:tcW w:type="pct" w:w="15%"/>
            <w:tcMar>
              <w:top w:type="dxa" w:w="100"/>
              <w:left w:type="dxa" w:w="120"/>
              <w:bottom w:type="dxa" w:w="100"/>
              <w:right w:type="dxa" w:w="120"/>
            </w:tcMar>
          </w:tcPr>
          <w:p>
            <w:r>
              <w:rPr>
                <w:sz w:val="20"/>
                <w:szCs w:val="20"/>
              </w:rPr>
              <w:t xml:space="preserve">Female: 14.8%</w:t>
            </w:r>
          </w:p>
        </w:tc>
        <w:tc>
          <w:tcPr>
            <w:tcW w:type="pct" w:w="48%"/>
            <w:tcMar>
              <w:top w:type="dxa" w:w="100"/>
              <w:left w:type="dxa" w:w="120"/>
              <w:bottom w:type="dxa" w:w="100"/>
              <w:right w:type="dxa" w:w="120"/>
            </w:tcMar>
          </w:tcPr>
          <w:p>
            <w:r>
              <w:rPr>
                <w:sz w:val="20"/>
                <w:szCs w:val="20"/>
              </w:rPr>
              <w:t xml:space="preserve">A modest gap exists but is far smaller than the gaps driven by overtime, travel, or satisfaction.</w:t>
            </w:r>
          </w:p>
        </w:tc>
      </w:tr>
    </w:tbl>
    <w:p>
      <w:pPr>
        <w:pStyle w:val="Heading1"/>
        <w:spacing w:after="150" w:before="300"/>
      </w:pPr>
      <w:r>
        <w:rPr>
          <w:b/>
          <w:bCs/>
          <w:color w:val="1F3864"/>
          <w:sz w:val="28"/>
          <w:szCs w:val="28"/>
        </w:rPr>
        <w:t xml:space="preserve">What This Means for the Business</w:t>
      </w:r>
    </w:p>
    <w:p>
      <w:pPr>
        <w:pStyle w:val="ListParagraph"/>
        <w:numPr>
          <w:ilvl w:val="0"/>
          <w:numId w:val="1"/>
        </w:numPr>
        <w:spacing w:after="100" w:line="280"/>
      </w:pPr>
      <w:r>
        <w:rPr>
          <w:sz w:val="22"/>
          <w:szCs w:val="22"/>
        </w:rPr>
        <w:t xml:space="preserve">Attrition is driven primarily by workload and work-life balance — not compensation alone — with overtime standing out as the single largest lever available to leadership.</w:t>
      </w:r>
    </w:p>
    <w:p>
      <w:pPr>
        <w:pStyle w:val="ListParagraph"/>
        <w:numPr>
          <w:ilvl w:val="0"/>
          <w:numId w:val="1"/>
        </w:numPr>
        <w:spacing w:after="100" w:line="280"/>
      </w:pPr>
      <w:r>
        <w:rPr>
          <w:sz w:val="22"/>
          <w:szCs w:val="22"/>
        </w:rPr>
        <w:t xml:space="preserve">Risk compounds: an employee who works overtime, travels frequently, and reports low satisfaction represents a significantly higher flight risk than any one factor alone would suggest.</w:t>
      </w:r>
    </w:p>
    <w:p>
      <w:pPr>
        <w:pStyle w:val="ListParagraph"/>
        <w:numPr>
          <w:ilvl w:val="0"/>
          <w:numId w:val="1"/>
        </w:numPr>
        <w:spacing w:after="100" w:line="280"/>
      </w:pPr>
      <w:r>
        <w:rPr>
          <w:sz w:val="22"/>
          <w:szCs w:val="22"/>
        </w:rPr>
        <w:t xml:space="preserve">Sales and HR should be treated as priority departments for retention initiatives, given attrition rates well above the company average.</w:t>
      </w:r>
    </w:p>
    <w:p>
      <w:pPr>
        <w:pStyle w:val="ListParagraph"/>
        <w:numPr>
          <w:ilvl w:val="0"/>
          <w:numId w:val="1"/>
        </w:numPr>
        <w:spacing w:after="100" w:line="280"/>
      </w:pPr>
      <w:r>
        <w:rPr>
          <w:sz w:val="22"/>
          <w:szCs w:val="22"/>
        </w:rPr>
        <w:t xml:space="preserve">Single employees may benefit from targeted engagement or support programs, given their elevated exit rate relative to married and divorced colleagues.</w:t>
      </w:r>
    </w:p>
    <w:p>
      <w:pPr>
        <w:pStyle w:val="Heading1"/>
        <w:spacing w:after="150" w:before="300"/>
      </w:pPr>
      <w:r>
        <w:rPr>
          <w:b/>
          <w:bCs/>
          <w:color w:val="1F3864"/>
          <w:sz w:val="28"/>
          <w:szCs w:val="28"/>
        </w:rPr>
        <w:t xml:space="preserve">Recommendations</w:t>
      </w:r>
    </w:p>
    <w:p>
      <w:pPr>
        <w:pStyle w:val="ListParagraph"/>
        <w:numPr>
          <w:ilvl w:val="0"/>
          <w:numId w:val="1"/>
        </w:numPr>
        <w:spacing w:after="100" w:line="280"/>
      </w:pPr>
      <w:r>
        <w:rPr>
          <w:sz w:val="22"/>
          <w:szCs w:val="22"/>
        </w:rPr>
        <w:t xml:space="preserve">Audit overtime allocation in Sales and R&amp;D, and evaluate workload redistribution or staffing increases in the highest-overtime teams.</w:t>
      </w:r>
    </w:p>
    <w:p>
      <w:pPr>
        <w:pStyle w:val="ListParagraph"/>
        <w:numPr>
          <w:ilvl w:val="0"/>
          <w:numId w:val="1"/>
        </w:numPr>
        <w:spacing w:after="100" w:line="280"/>
      </w:pPr>
      <w:r>
        <w:rPr>
          <w:sz w:val="22"/>
          <w:szCs w:val="22"/>
        </w:rPr>
        <w:t xml:space="preserve">Review travel policies for frequent travelers, including caps on travel frequency or additional compensation/recovery time.</w:t>
      </w:r>
    </w:p>
    <w:p>
      <w:pPr>
        <w:pStyle w:val="ListParagraph"/>
        <w:numPr>
          <w:ilvl w:val="0"/>
          <w:numId w:val="1"/>
        </w:numPr>
        <w:spacing w:after="100" w:line="280"/>
      </w:pPr>
      <w:r>
        <w:rPr>
          <w:sz w:val="22"/>
          <w:szCs w:val="22"/>
        </w:rPr>
        <w:t xml:space="preserve">Introduce a pulse-survey process to catch declining job satisfaction early, particularly in Sales and HR.</w:t>
      </w:r>
    </w:p>
    <w:p>
      <w:pPr>
        <w:pStyle w:val="ListParagraph"/>
        <w:numPr>
          <w:ilvl w:val="0"/>
          <w:numId w:val="1"/>
        </w:numPr>
        <w:spacing w:after="100" w:line="280"/>
      </w:pPr>
      <w:r>
        <w:rPr>
          <w:sz w:val="22"/>
          <w:szCs w:val="22"/>
        </w:rPr>
        <w:t xml:space="preserve">Pilot a targeted retention program for single employees and low-tenure staff, who show disproportionate exit risk.</w:t>
      </w:r>
    </w:p>
    <w:p>
      <w:pPr>
        <w:pStyle w:val="ListParagraph"/>
        <w:numPr>
          <w:ilvl w:val="0"/>
          <w:numId w:val="1"/>
        </w:numPr>
        <w:spacing w:after="100" w:line="280"/>
      </w:pPr>
      <w:r>
        <w:rPr>
          <w:sz w:val="22"/>
          <w:szCs w:val="22"/>
        </w:rPr>
        <w:t xml:space="preserve">Reassess this analysis quarterly to track whether interventions are moving the attrition rate, and refresh the underlying data as new hires and exits occur.</w:t>
      </w:r>
    </w:p>
    <w:p>
      <w:pPr>
        <w:pStyle w:val="Heading1"/>
        <w:spacing w:after="150" w:before="300"/>
      </w:pPr>
      <w:r>
        <w:rPr>
          <w:b/>
          <w:bCs/>
          <w:color w:val="1F3864"/>
          <w:sz w:val="28"/>
          <w:szCs w:val="28"/>
        </w:rPr>
        <w:t xml:space="preserve">Methodology</w:t>
      </w:r>
    </w:p>
    <w:p>
      <w:pPr>
        <w:spacing w:after="160" w:line="300"/>
      </w:pPr>
      <w:r>
        <w:rPr>
          <w:sz w:val="22"/>
          <w:szCs w:val="22"/>
        </w:rPr>
        <w:t xml:space="preserve">The analysis draws on 1,470 employee records covering department, job role, overtime status, business travel frequency, marital status, job and environmental satisfaction, work-life balance, relationship satisfaction, salary hike, tenure, and distance from home. Pivot tables were used in Excel to segment attrition by each variable, with an accompanying Power BI dashboard built for interactive exploration by department, role, and demographic group.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2026-08-11T15:29:31.927Z</dcterms:created>
  <dcterms:modified xsi:type="dcterms:W3CDTF">2026-08-11T15:29:31.949Z</dcterms:modified>
</cp:coreProperties>
</file>

<file path=docProps/custom.xml><?xml version="1.0" encoding="utf-8"?>
<Properties xmlns="http://schemas.openxmlformats.org/officeDocument/2006/custom-properties" xmlns:vt="http://schemas.openxmlformats.org/officeDocument/2006/docPropsVTypes"/>
</file>