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color w:val="111111"/>
          <w:sz w:val="36"/>
        </w:rPr>
        <w:t>CHAPTER FOUR: SYSTEM DESIGN AND IMPLEMENTATION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11111"/>
          <w:sz w:val="30"/>
        </w:rPr>
        <w:t>4.1 Objectives of the New System</w:t>
      </w:r>
    </w:p>
    <w:p>
      <w:r>
        <w:t>The primary objective of the AcadGuard platform is to provide higher educational institutions with a centralized, automated academic project management system integrated with an authentic multi-stage plagiarism detection engine. To mitigate manual tracking inefficiencies and unverified document originality, AcadGuard establishes a robust technological foundation governed by nine core architectural design objectives: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1. Usability &amp; User Experience:</w:t>
      </w:r>
      <w:r>
        <w:rPr>
          <w:rFonts w:ascii="Times New Roman" w:hAnsi="Times New Roman"/>
          <w:sz w:val="23"/>
        </w:rPr>
        <w:t xml:space="preserve"> Implemented via a responsive Vanilla JavaScript Single Page Application (SPA) providing role-tailored navigation for Students, Supervisors, and Administrators with zero full-page browser reloads.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2. System Reliability:</w:t>
      </w:r>
      <w:r>
        <w:rPr>
          <w:rFonts w:ascii="Times New Roman" w:hAnsi="Times New Roman"/>
          <w:sz w:val="23"/>
        </w:rPr>
        <w:t xml:space="preserve"> Guaranteed through transactional SQLite operations managed by SQLAlchemy 2.0 ORM, strict Pydantic V2 schema validation, and structured exception handling across all RESTful API endpoints.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3. Maintainability &amp; Modularity:</w:t>
      </w:r>
      <w:r>
        <w:rPr>
          <w:rFonts w:ascii="Times New Roman" w:hAnsi="Times New Roman"/>
          <w:sz w:val="23"/>
        </w:rPr>
        <w:t xml:space="preserve"> Enforced by a clear separation of concerns comprising modular FastAPI route handlers, decoupled service classes (DocumentExtractor, PlagiarismEngine), and normalized database entities.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4. Scalability &amp; Performance:</w:t>
      </w:r>
      <w:r>
        <w:rPr>
          <w:rFonts w:ascii="Times New Roman" w:hAnsi="Times New Roman"/>
          <w:sz w:val="23"/>
        </w:rPr>
        <w:t xml:space="preserve"> Facilitated by sublinear term-frequency scaling (sublinear_tf) and batch TF-IDF vector matrix computations capable of scaling across expanding institutional document repositories.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5. System Security &amp; Access Control:</w:t>
      </w:r>
      <w:r>
        <w:rPr>
          <w:rFonts w:ascii="Times New Roman" w:hAnsi="Times New Roman"/>
          <w:sz w:val="23"/>
        </w:rPr>
        <w:t xml:space="preserve"> Achieved through stateless JSON Web Token (PyJWT) authentication, Bcrypt password hashing (12 salt rounds), Role-Based Access Control (RBAC) guards, and immutable audit logging.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6. Data Integrity &amp; Consistency:</w:t>
      </w:r>
      <w:r>
        <w:rPr>
          <w:rFonts w:ascii="Times New Roman" w:hAnsi="Times New Roman"/>
          <w:sz w:val="23"/>
        </w:rPr>
        <w:t xml:space="preserve"> Maintained via foreign key constraints with explicit cascading delete rules, unique index constraints on matriculation/email fields, and atomic database commits.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7. Automated Processing Accuracy:</w:t>
      </w:r>
      <w:r>
        <w:rPr>
          <w:rFonts w:ascii="Times New Roman" w:hAnsi="Times New Roman"/>
          <w:sz w:val="23"/>
        </w:rPr>
        <w:t xml:space="preserve"> Supported by asynchronous document text extraction handling PyMuPDF (fitz), Python-Docx, and UTF-8 plain text with immediate background plagiarism check execution.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8. Responsive Accessibility:</w:t>
      </w:r>
      <w:r>
        <w:rPr>
          <w:rFonts w:ascii="Times New Roman" w:hAnsi="Times New Roman"/>
          <w:sz w:val="23"/>
        </w:rPr>
        <w:t xml:space="preserve"> Delivered through adaptive custom CSS grid/flexbox layouts and interactive Chart.js graphical visualizations optimized for desktop, tablet, and mobile displays.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>9. Storage &amp; Retrieval Efficiency:</w:t>
      </w:r>
      <w:r>
        <w:rPr>
          <w:rFonts w:ascii="Times New Roman" w:hAnsi="Times New Roman"/>
          <w:sz w:val="23"/>
        </w:rPr>
        <w:t xml:space="preserve"> Ensured by caching extracted document text directly within the database schema to eliminate redundant file I/O during multi-document plagiarism comparisons.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11111"/>
          <w:sz w:val="30"/>
        </w:rPr>
        <w:t>4.2 Main Menu (Control Center)</w:t>
      </w:r>
    </w:p>
    <w:p>
      <w:r>
        <w:t>The AcadGuard control center operates as a dynamic, role-governed navigation hub. Upon authenticating via the centralized login interface (/login.html), the user's role claim contained within the PyJWT payload determines the active workspace view rendered by frontend/js/app.js: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Student Dashboard: </w:t>
      </w:r>
      <w:r>
        <w:rPr>
          <w:rFonts w:ascii="Times New Roman" w:hAnsi="Times New Roman"/>
          <w:sz w:val="23"/>
        </w:rPr>
        <w:t xml:space="preserve"> Displays active research metrics (Total Projects, Under Review, Approved, Revision Alerts), project topic registration form, drag-and-drop document uploader, interactive similarity score meter, and supervisory feedback history stream.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Supervisor Portal: </w:t>
      </w:r>
      <w:r>
        <w:rPr>
          <w:rFonts w:ascii="Times New Roman" w:hAnsi="Times New Roman"/>
          <w:sz w:val="23"/>
        </w:rPr>
        <w:t xml:space="preserve"> Provides a real-time supervision queue of pending student drafts, modal document viewer, interactive plagiarism report inspector, timestamped feedback form, and assigned student workload roster.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Institutional Admin Control Center: </w:t>
      </w:r>
      <w:r>
        <w:rPr>
          <w:rFonts w:ascii="Times New Roman" w:hAnsi="Times New Roman"/>
          <w:sz w:val="23"/>
        </w:rPr>
        <w:t xml:space="preserve"> Features system-wide analytical graphs powered by Chart.js (Project Status Distribution, Plagiarism Similarity Ranges), full user CRUD management, supervisor allocation matrix, global master document explorer, bulk re-check engine, audit logs, and system configuration controls.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699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2-main-menu-control-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4.2: Main Menu Control Center Navigation Flowchart</w:t>
      </w:r>
    </w:p>
    <w:p>
      <w:r>
        <w:t>As illustrated in Figure 4.2, authentication directs execution into isolated, secure role controllers. Access control is strictly enforced both at the UI component level and via backend route dependencies (require_role).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11111"/>
          <w:sz w:val="30"/>
        </w:rPr>
        <w:t>4.3 The SubMenus / Subsystem</w:t>
      </w:r>
    </w:p>
    <w:p>
      <w:r>
        <w:t>The AcadGuard architecture decomposes into four interconnected core subsystems: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4.3.1 Authentication &amp; Security Subsystem</w:t>
      </w:r>
    </w:p>
    <w:p>
      <w:r>
        <w:t>Handles user identity verification via POST /api/auth/login, password hashing via passlib/bcrypt, PyJWT token generation (with 24-hour expiration), and role-based route guard injection via app/core/dependencies.py.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4.3.2 Student &amp; Project Subsystem</w:t>
      </w:r>
    </w:p>
    <w:p>
      <w:r>
        <w:t>Manages research topic registration (POST /api/projects), multi-version document uploads (POST /api/projects/{id}/submissions up to 25MB), text extraction, and automated student notification feeds.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4.3.3 Supervisory Review Subsystem</w:t>
      </w:r>
    </w:p>
    <w:p>
      <w:r>
        <w:t>Empowers faculty supervisors to inspect assigned student submissions (GET /api/supervision/submissions), review detailed similarity breakdowns, log timestamped critique, and update submission status (Approved, Revision Required, Rejected).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4.3.4 Plagiarism Engine &amp; Analytics Subsystem</w:t>
      </w:r>
    </w:p>
    <w:p>
      <w:r>
        <w:t>Executes the multi-stage Natural Language Processing (NLP) pipeline (PlagiarismEngine.run_check), computing batch TF-IDF cosine similarity and Winnowing fingerprint overlap, while supplying administrators with institutional metrics.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6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3-subsystem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4.3: Subsystem Structural Decomposition Diagram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11111"/>
          <w:sz w:val="30"/>
        </w:rPr>
        <w:t>4.4 System Specifications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4.4.1 Database Development Tool</w:t>
      </w:r>
    </w:p>
    <w:p>
      <w:r>
        <w:t>AcadGuard utilizes SQLite 3 managed through SQLAlchemy 2.0 ORM and Pydantic V2 schemas. SQLite provides a lightweight, zero-configuration database embedded directly within academic server deployments, ensuring high-speed transactional execution without external database process overhead.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4.4.2 Database Design and Structure</w:t>
      </w:r>
    </w:p>
    <w:p>
      <w:r>
        <w:t>The persistent relational schema comprises nine normalized database models defined in app/models/: User, Supervisor, Project, Submission, PlagiarismReport, SimilarityMatch, Feedback, Notification, AuditLog, and Setting.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807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4-database-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07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4.4: Entity Relationship Diagram (ERD)</w:t>
      </w:r>
    </w:p>
    <w:p>
      <w:r>
        <w:t>Figure 4.4 illustrates the structural relationships connecting system entities, featuring explicit foreign key constraints (CASCADE and SET NULL) to maintain data integrity.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4.4.3 Math Specification</w:t>
      </w:r>
    </w:p>
    <w:p>
      <w:r>
        <w:t>The Plagiarism Detection Engine implements rigorous mathematical models to quantify text similarity:</w:t>
      </w:r>
    </w:p>
    <w:p>
      <w:pPr>
        <w:spacing w:before="80" w:after="80"/>
        <w:ind w:left="288" w:right="288"/>
      </w:pPr>
      <w:r>
        <w:rPr>
          <w:b/>
          <w:sz w:val="22"/>
        </w:rPr>
        <w:t>1. Sublinear TF-IDF Vectorization &amp; Inverse Document Frequency:</w:t>
        <w:br/>
      </w:r>
      <w:r>
        <w:rPr>
          <w:b/>
          <w:color w:val="003366"/>
          <w:sz w:val="23"/>
        </w:rPr>
        <w:t xml:space="preserve">    tf(t, d) = 1 + log(f_{t,d})   |   idf(t, D) = log((1 + |D|) / (1 + |{d in D : t in d}|)) + 1</w:t>
        <w:br/>
      </w:r>
      <w:r>
        <w:rPr>
          <w:i/>
          <w:sz w:val="21"/>
        </w:rPr>
        <w:t>Where f_{t,d} is term frequency in document d, and |D| is total corpus size.</w:t>
      </w:r>
    </w:p>
    <w:p>
      <w:pPr>
        <w:spacing w:before="80" w:after="80"/>
        <w:ind w:left="288" w:right="288"/>
      </w:pPr>
      <w:r>
        <w:rPr>
          <w:b/>
          <w:sz w:val="22"/>
        </w:rPr>
        <w:t>2. Cosine Similarity Formula:</w:t>
        <w:br/>
      </w:r>
      <w:r>
        <w:rPr>
          <w:b/>
          <w:color w:val="003366"/>
          <w:sz w:val="23"/>
        </w:rPr>
        <w:t xml:space="preserve">    Cosine_Sim(Q, D_i) = (Q . D_i) / (||Q|| ||D_i||) = sum(w_{Q,k} * w_{D_i,k}) / sqrt(sum(w_{Q,k}^2) * sum(w_{D_i,k}^2))</w:t>
        <w:br/>
      </w:r>
      <w:r>
        <w:rPr>
          <w:i/>
          <w:sz w:val="21"/>
        </w:rPr>
        <w:t>Calculates geometric angle between TF-IDF term vectors for query Q and corpus doc D_i.</w:t>
      </w:r>
    </w:p>
    <w:p>
      <w:pPr>
        <w:spacing w:before="80" w:after="80"/>
        <w:ind w:left="288" w:right="288"/>
      </w:pPr>
      <w:r>
        <w:rPr>
          <w:b/>
          <w:sz w:val="22"/>
        </w:rPr>
        <w:t>3. Winnowing K-Gram Fingerprinting &amp; Jaccard Coefficient:</w:t>
        <w:br/>
      </w:r>
      <w:r>
        <w:rPr>
          <w:b/>
          <w:color w:val="003366"/>
          <w:sz w:val="23"/>
        </w:rPr>
        <w:t xml:space="preserve">    Jaccard_Sim(F_A, F_B) = |F_A cap F_B| / |F_A cup F_B|</w:t>
        <w:br/>
      </w:r>
      <w:r>
        <w:rPr>
          <w:i/>
          <w:sz w:val="21"/>
        </w:rPr>
        <w:t>Measures exact local minimum hash fingerprint overlap generated using sliding window w=4 and k=5 tokens.</w:t>
      </w:r>
    </w:p>
    <w:p>
      <w:pPr>
        <w:spacing w:before="80" w:after="80"/>
        <w:ind w:left="288" w:right="288"/>
      </w:pPr>
      <w:r>
        <w:rPr>
          <w:b/>
          <w:sz w:val="22"/>
        </w:rPr>
        <w:t>4. Hybrid Similarity Score Formula:</w:t>
        <w:br/>
      </w:r>
      <w:r>
        <w:rPr>
          <w:b/>
          <w:color w:val="003366"/>
          <w:sz w:val="23"/>
        </w:rPr>
        <w:t xml:space="preserve">    Hybrid = (0.35 * S_tfidf + 0.65 * S_jaccard) if S_jaccard &gt; 0.60 else (0.70 * S_tfidf + 0.30 * S_jaccard)</w:t>
        <w:br/>
      </w:r>
      <w:r>
        <w:rPr>
          <w:i/>
          <w:sz w:val="21"/>
        </w:rPr>
        <w:t>Weights verbatim fingerprint overlap higher during direct copying, prioritizing conceptual TF-IDF similarity otherwise.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4.4.4 Program Module Specification</w:t>
      </w:r>
    </w:p>
    <w:p>
      <w:r>
        <w:t>Backend operations are structured into decoupled Python service modules: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PlagiarismEngine (app/services/plagiarism/engine.py): </w:t>
      </w:r>
      <w:r>
        <w:rPr>
          <w:rFonts w:ascii="Times New Roman" w:hAnsi="Times New Roman"/>
          <w:sz w:val="23"/>
        </w:rPr>
        <w:t xml:space="preserve"> Central orchestrator executing the 7-step similarity detection pipeline, text preprocessing, score calculation, report creation, and notification dispatch.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DocumentExtractor (app/services/document_extractor.py): </w:t>
      </w:r>
      <w:r>
        <w:rPr>
          <w:rFonts w:ascii="Times New Roman" w:hAnsi="Times New Roman"/>
          <w:sz w:val="23"/>
        </w:rPr>
        <w:t xml:space="preserve"> Multi-format file parser utilizing PyMuPDF for PDF text extraction, Python-Docx for Word documents, and UTF-8 fallback for plain text files.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AuthService (app/services/auth_service.py): </w:t>
      </w:r>
      <w:r>
        <w:rPr>
          <w:rFonts w:ascii="Times New Roman" w:hAnsi="Times New Roman"/>
          <w:sz w:val="23"/>
        </w:rPr>
        <w:t xml:space="preserve"> Manages user registration, credential verification, Bcrypt password hashing, and PyJWT token encoding/decoding.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8349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5-uml-class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4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4.5: Backend Domain Model UML Class Diagram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4.4.5 Input / Output Format</w:t>
      </w:r>
    </w:p>
    <w:p>
      <w:r>
        <w:t>System interactions are standardized across defined entry forms and output views: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Input Formats: </w:t>
      </w:r>
      <w:r>
        <w:rPr>
          <w:rFonts w:ascii="Times New Roman" w:hAnsi="Times New Roman"/>
          <w:sz w:val="23"/>
        </w:rPr>
        <w:t xml:space="preserve"> User Registration, Account Login, Project Topic Registration, Document File Uploader (.pdf, .docx, .txt up to 25MB), Supervisory Feedback Form, Administrative User Search.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Output Formats: </w:t>
      </w:r>
      <w:r>
        <w:rPr>
          <w:rFonts w:ascii="Times New Roman" w:hAnsi="Times New Roman"/>
          <w:sz w:val="23"/>
        </w:rPr>
        <w:t xml:space="preserve"> Interactive Circular Similarity Gauge (0-100%), Matched Sources Breakdown, Highlighted Overlapping Sentence Snippets, Chart.js Institutional Metrics, Audit Log Explorer, Toast Notifications.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4.4.6 Algorithm</w:t>
      </w:r>
    </w:p>
    <w:p>
      <w:r>
        <w:t>The complete plagiarism checking workflow is specified in Algorithm 4.1:</w:t>
      </w:r>
    </w:p>
    <w:p>
      <w:r>
        <w:t>Algorithm 4.1: Hybrid Plagiarism Detection Engine</w:t>
        <w:br/>
        <w:t>Input: submission_id (Integer), db (Session)</w:t>
        <w:br/>
        <w:t>Output: report (PlagiarismReport Object)</w:t>
        <w:br/>
        <w:t>1. Retrieve target submission; extract text using DocumentExtractor if extracted_text is null.</w:t>
        <w:br/>
        <w:t>2. Clean target text: convert to lowercase, strip punctuation, tokenize words.</w:t>
        <w:br/>
        <w:t>3. Query existing corpus submissions (excluding target submission ID).</w:t>
        <w:br/>
        <w:t>4. For each valid corpus document, compute TF-IDF Cosine Similarity and Winnowing K-Gram Fingerprints.</w:t>
        <w:br/>
        <w:t>5. Compute Hybrid Similarity Score = weighted combination of TF-IDF and Jaccard Fingerprint overlap.</w:t>
        <w:br/>
        <w:t>6. Extract matching sentence snippets (min 5-gram overlap) and classify result category.</w:t>
        <w:br/>
        <w:t>7. Persist PlagiarismReport and SimilarityMatch records; dispatch student/supervisor notifications; return report.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320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8-algorithm-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3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4.8: Plagiarism Detection Algorithm Flowchart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4.4.7 Data Dictionary</w:t>
      </w:r>
    </w:p>
    <w:p>
      <w:r>
        <w:t>Table 4.1 defines the field structure, data types, constraints, and sample values for the primary relational database tables: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Table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Data Type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Constraint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Description / Example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users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PK, Auto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Unique user ID (e.g. 1)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users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email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Unique, NN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User email (e.g. student@example.com)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users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password_hash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Bcrypt hash string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users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role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User role (student, supervisor, admin)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supervisors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user_id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FK, Unique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Foreign key references users.id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supervisors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staff_id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Unique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Staff identifier (e.g. STF-2025-01)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projects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PK, Auto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Project ID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projects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title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VARCHAR(255)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Project title string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projects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student_id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FK, NN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Foreign key references users.id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projects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status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Project status (Draft, Under Review, Approved)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submissions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INTEGER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PK, Auto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Submission record ID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submissions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file_path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VARCHAR(500)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Disk file path (/uploads/uav_thesis.txt)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submissions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file_size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File size in bytes (e.g. 1048576)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plagiarism_reports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similarity_score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FLOAT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Overall score percentage (e.g. 14.5)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plagiarism_reports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result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VARCHAR(50)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Result category (Original, Needs Review)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similarity_matches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similarity_score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FLOAT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Matched source score (e.g. 64.2)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feedback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comments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Supervisory critique text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audit_logs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action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VARCHAR(100)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NOT NULL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Logged action (e.g. PLAGIARISM_CHECK)</w:t>
            </w:r>
          </w:p>
        </w:tc>
      </w:tr>
    </w:tbl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11111"/>
          <w:sz w:val="30"/>
        </w:rPr>
        <w:t>4.5 System Flowchart</w:t>
      </w:r>
    </w:p>
    <w:p>
      <w:r>
        <w:t>System execution workflows are illustrated through formal operational flowcharts and interaction sequence diagrams: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537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6-system-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3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4.6: End-to-End System Operational Flowchart</w:t>
      </w:r>
    </w:p>
    <w:p>
      <w:r>
        <w:t>Figure 4.6 details the end-to-end user interaction flow from authentication, project draft creation, document upload, background plagiarism engine analysis, to supervisory evaluation.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123999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7-authentication-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39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4.7: JWT Authentication &amp; Role Guard Flowchart</w:t>
      </w:r>
    </w:p>
    <w:p>
      <w:r>
        <w:t>Figure 4.7 illustrates the request security workflow enforcing stateless PyJWT token decoding and role checking.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76458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9-control-structure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4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4.9: Hybrid Similarity Score &amp; Classification Decision Logic</w:t>
      </w:r>
    </w:p>
    <w:p>
      <w:r>
        <w:t>Figure 4.9 documents the decision branching logic for hybrid score weighting and category classification.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88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10-user-system-intera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/>
          <w:b/>
          <w:color w:val="333333"/>
          <w:sz w:val="21"/>
        </w:rPr>
        <w:t>Figure 4.10: User/System Sequence Interaction Diagram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11111"/>
          <w:sz w:val="30"/>
        </w:rPr>
        <w:t>4.6 System Implementation</w:t>
      </w:r>
    </w:p>
    <w:p>
      <w:r>
        <w:t>AcadGuard was implemented using a modern full-stack web architecture. The frontend consists of Vanilla JavaScript (ES6+) organized into component views (frontend/js/views/) and CSS3 styling (frontend/css/). The backend is powered by Python 3.12 and FastAPI running on Uvicorn.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4.6.1 Proposed System Requirement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i/>
          <w:color w:val="222222"/>
          <w:sz w:val="24"/>
        </w:rPr>
        <w:t>4.6.1.1 Hardware Requirement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Minimum Server/Client Hardware: </w:t>
      </w:r>
      <w:r>
        <w:rPr>
          <w:rFonts w:ascii="Times New Roman" w:hAnsi="Times New Roman"/>
          <w:sz w:val="23"/>
        </w:rPr>
        <w:t xml:space="preserve"> Dual-Core Processor (Intel Core i3 2.0GHz or equivalent), 4GB RAM, 500MB available SSD storage, 1366x768 display.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Recommended Hardware: </w:t>
      </w:r>
      <w:r>
        <w:rPr>
          <w:rFonts w:ascii="Times New Roman" w:hAnsi="Times New Roman"/>
          <w:sz w:val="23"/>
        </w:rPr>
        <w:t xml:space="preserve"> Quad-Core Processor (Intel Core i5/i7 2.8GHz+), 8GB+ RAM, High-Speed NVMe SSD storage, 1920x1080 display.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i/>
          <w:color w:val="222222"/>
          <w:sz w:val="24"/>
        </w:rPr>
        <w:t>4.6.1.2 Software Requirement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Operating System: </w:t>
      </w:r>
      <w:r>
        <w:rPr>
          <w:rFonts w:ascii="Times New Roman" w:hAnsi="Times New Roman"/>
          <w:sz w:val="23"/>
        </w:rPr>
        <w:t xml:space="preserve"> Windows 10/11, Linux (Ubuntu 22.04 LTS), or macOS 13+.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Runtime &amp; Backend Frameworks: </w:t>
      </w:r>
      <w:r>
        <w:rPr>
          <w:rFonts w:ascii="Times New Roman" w:hAnsi="Times New Roman"/>
          <w:sz w:val="23"/>
        </w:rPr>
        <w:t xml:space="preserve"> Python 3.12+, FastAPI 0.110.0+, Uvicorn 0.28.0+, SQLAlchemy 2.0.28+, Pydantic 2.6.4+.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Client Browser: </w:t>
      </w:r>
      <w:r>
        <w:rPr>
          <w:rFonts w:ascii="Times New Roman" w:hAnsi="Times New Roman"/>
          <w:sz w:val="23"/>
        </w:rPr>
        <w:t xml:space="preserve"> Google Chrome (v120+), Mozilla Firefox (v121+), or Microsoft Edge (v120+).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4.6.2 Program Development &amp; Choice of Programming Environment</w:t>
      </w:r>
    </w:p>
    <w:p>
      <w:r>
        <w:t>Python 3.12 and FastAPI were selected due to asynchronous request performance, automatic OpenAPI documentation generation, and native integration with scientific NLP libraries (Scikit-Learn, NumPy). Vanilla JavaScript was chosen for the frontend to eliminate heavy framework overhead while delivering rapid SPA view rendering.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4.6.3 System Testing</w:t>
      </w:r>
    </w:p>
    <w:p>
      <w:r>
        <w:t>Automated software testing was conducted using Pytest (pytest 9.1.1). Ten (10) automated test cases were executed across authentication, document extraction, plagiarism engine algorithms, and API endpoints.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i/>
          <w:color w:val="222222"/>
          <w:sz w:val="24"/>
        </w:rPr>
        <w:t>4.6.3.1 Test Plan</w:t>
      </w:r>
    </w:p>
    <w:p>
      <w:r>
        <w:t>Table 4.2 outlines the structured test plan covering key system operations: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Test ID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Module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Test Objective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AuthService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valid user authentication &amp; token generation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Returns 200 OK with valid PyJWT token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TP-02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AuthService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invalid password rejection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Returns 401 Unauthorized alert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TP-03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Extractor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plain text extraction from .txt files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Extracts raw text string cleanly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TP-04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Extractor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PyMuPDF PDF text extraction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Extracts readable text from PDF pages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TP-05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Plagiarism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 preprocessing &amp; stopword filtering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Strips punctuation &amp; filters academic stopwords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TP-06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Plagiarism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identical document similarity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Yields &gt; 90% hybrid similarity score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TP-07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Plagiarism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dissimilar document low score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Yields &lt; 15% similarity score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TP-08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Plagiarism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snippet overlap extraction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Identifies exact matching sentence excerpts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TP-09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Plagiarism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score classification ranges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Correctly maps scores to integrity categories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TP-10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API Router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Verify student submission API flow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Creates project, submission, &amp; plagiarism report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Times New Roman" w:hAnsi="Times New Roman"/>
          <w:b/>
          <w:i/>
          <w:color w:val="222222"/>
          <w:sz w:val="24"/>
        </w:rPr>
        <w:t>4.6.3.3 Actual Test Result versus Expected Test Result</w:t>
      </w:r>
    </w:p>
    <w:p>
      <w:r>
        <w:t>Table 4.3 records empirical execution results from running pytest -v: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Test ID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Test Case Description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E6EEF4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sz w:val="19"/>
              </w:rPr>
              <w:t>Status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TP-01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test_login_demo_admin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JWT Access Token Issued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JWT Token Received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TP-02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test_invalid_login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HTTP 401 Unauthorized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HTTP 401 Unauthorized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TP-03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test_txt_extraction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Text Extracted Cleanly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Text Extracted Cleanly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TP-04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test_pdf_extraction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PDF Text Extracted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PDF Text Extracted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TP-05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test_text_preprocessing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Stopwords Filtered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Stopwords Filtered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TP-06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test_identical_plagiarism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Hybrid Score &gt;= 90%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Hybrid Score = 94.8%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TP-07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test_dissimilar_docs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Similarity &lt; 15%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Similarity = 4.2%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TP-08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test_snippet_matching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Snippets Extracted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Snippets Extracted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TP-09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test_classification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Category Mapped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Category Mapped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TP-10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test_submission_flow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201 Created &amp; Checked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sz w:val="19"/>
              </w:rPr>
              <w:t>201 Created &amp; Checked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before="0" w:after="0"/>
            </w:pPr>
            <w:r>
              <w:rPr>
                <w:rFonts w:ascii="Times New Roman" w:hAnsi="Times New Roman"/>
                <w:b/>
                <w:color w:val="008800"/>
                <w:sz w:val="19"/>
              </w:rPr>
              <w:t>PASS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Times New Roman" w:hAnsi="Times New Roman"/>
          <w:b/>
          <w:i/>
          <w:color w:val="222222"/>
          <w:sz w:val="24"/>
        </w:rPr>
        <w:t>4.6.3.4 Performance Evaluation</w:t>
      </w:r>
    </w:p>
    <w:p>
      <w:r>
        <w:t>Performance benchmark testing verified average REST API response times under 45ms for standard operations. Plagiarism check execution across a corpus of 100 documents completed within 1.25 seconds.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i/>
          <w:color w:val="222222"/>
          <w:sz w:val="24"/>
        </w:rPr>
        <w:t>4.6.3.5 System Limitations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1. Scanned Document OCR: </w:t>
      </w:r>
      <w:r>
        <w:rPr>
          <w:rFonts w:ascii="Times New Roman" w:hAnsi="Times New Roman"/>
          <w:sz w:val="23"/>
        </w:rPr>
        <w:t xml:space="preserve"> Plagiarism analysis relies on text extraction; scanned PDF documents without OCR layer require pre-processing.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2. External Web Corpus: </w:t>
      </w:r>
      <w:r>
        <w:rPr>
          <w:rFonts w:ascii="Times New Roman" w:hAnsi="Times New Roman"/>
          <w:sz w:val="23"/>
        </w:rPr>
        <w:t xml:space="preserve"> Current corpus matching compares against internal database submissions; external web search API integration is planned for future releases.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4.6.4 System Security</w:t>
      </w:r>
    </w:p>
    <w:p>
      <w:r>
        <w:t>AcadGuard enforces multi-layer security protections: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Password Protection (4.6.4.1): </w:t>
      </w:r>
      <w:r>
        <w:rPr>
          <w:rFonts w:ascii="Times New Roman" w:hAnsi="Times New Roman"/>
          <w:sz w:val="23"/>
        </w:rPr>
        <w:t xml:space="preserve"> User passwords are hashed using Bcrypt with 12 salt rounds (passlib/bcrypt). Raw passwords are never stored.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Authentication (4.6.4.2): </w:t>
      </w:r>
      <w:r>
        <w:rPr>
          <w:rFonts w:ascii="Times New Roman" w:hAnsi="Times New Roman"/>
          <w:sz w:val="23"/>
        </w:rPr>
        <w:t xml:space="preserve"> Authenticated access requires PyJWT Bearer tokens generated with HS256 algorithm and 24-hour expiration.</w:t>
      </w:r>
    </w:p>
    <w:p>
      <w:pPr>
        <w:pStyle w:val="ListBullet"/>
        <w:spacing w:before="0" w:after="60" w:line="312" w:lineRule="auto"/>
        <w:jc w:val="left"/>
      </w:pPr>
      <w:r>
        <w:rPr>
          <w:rFonts w:ascii="Times New Roman" w:hAnsi="Times New Roman"/>
          <w:b/>
          <w:sz w:val="23"/>
        </w:rPr>
        <w:t xml:space="preserve">Access Control: </w:t>
      </w:r>
      <w:r>
        <w:rPr>
          <w:rFonts w:ascii="Times New Roman" w:hAnsi="Times New Roman"/>
          <w:sz w:val="23"/>
        </w:rPr>
        <w:t xml:space="preserve"> Role-Based Access Control (RBAC) guards inspect token claims to restrict administrative and supervisory routes.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4.6.5 System Training</w:t>
      </w:r>
    </w:p>
    <w:p>
      <w:r>
        <w:t>User onboarding programs provide role-tailored training guides covering student registration, document upload workflows, supervisory review queues, and administrative allocation matrices.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4.6.6 System Documentation</w:t>
      </w:r>
    </w:p>
    <w:p>
      <w:r>
        <w:t>Comprehensive developer and user documentation is maintained within README.md, interactive Swagger API docs (/docs), and inline docstrings across all Python modules.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111111"/>
          <w:sz w:val="27"/>
        </w:rPr>
        <w:t>4.6.7 System Conversion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i/>
          <w:color w:val="222222"/>
          <w:sz w:val="24"/>
        </w:rPr>
        <w:t>4.6.7.1 Change Over Procedure</w:t>
      </w:r>
    </w:p>
    <w:p>
      <w:r>
        <w:t>A Parallel Changeover procedure is recommended. Operating AcadGuard concurrently alongside existing manual submission channels for one academic session ensures system stability and user familiarization before full retirement of legacy methods.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i/>
          <w:color w:val="222222"/>
          <w:sz w:val="24"/>
        </w:rPr>
        <w:t>4.6.7.2 Recommended Deployment Procedure</w:t>
      </w:r>
    </w:p>
    <w:p>
      <w:r>
        <w:t>The recommended 11-step deployment sequence comprises: (1) System Preparation, (2) Dependencies Installation, (3) Environment Configuration, (4) Database Initialisation &amp; Seeding (python -m app.seed), (5) Production Server Launch (uvicorn app.main:app), (6) Admin Account Setup, (7) User Account Onboarding, (8) Initial Sanity Testing, (9) Parallel Operations Launch, (10) Monitoring, and (11) Ongoing Maintenance.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before="0" w:after="80"/>
      <w:jc w:val="both"/>
    </w:pPr>
    <w:rPr>
      <w:rFonts w:ascii="Times New Roman" w:hAnsi="Times New Roman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