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                        </w:t>
      </w:r>
      <w:r>
        <w:rPr>
          <w:rFonts w:ascii="Segoe UI Variable Text Semibold" w:hAnsi="Segoe UI Variable Text Semibold" w:cs="Segoe UI Variable Text Semibold" w:eastAsia="Segoe UI Variable Text Semibold"/>
          <w:b/>
          <w:color w:val="auto"/>
          <w:spacing w:val="0"/>
          <w:position w:val="0"/>
          <w:sz w:val="48"/>
          <w:shd w:fill="auto" w:val="clear"/>
        </w:rPr>
        <w:t xml:space="preserve">Bus topology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NAME: Blesson.S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REG NO.:192211174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Experiment no:2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bus topology using packet tracer.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AIM: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bus topology using Packet Tracer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           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10"/>
        </w:numPr>
        <w:tabs>
          <w:tab w:val="left" w:pos="1137" w:leader="none"/>
        </w:tabs>
        <w:spacing w:before="74" w:after="0" w:line="240"/>
        <w:ind w:right="2133" w:left="2893" w:hanging="22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10"/>
        </w:numPr>
        <w:tabs>
          <w:tab w:val="left" w:pos="1185" w:leader="none"/>
        </w:tabs>
        <w:spacing w:before="0" w:after="0" w:line="276"/>
        <w:ind w:right="0" w:left="1184" w:hanging="272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10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32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6: Now display the packet transmission in simulation mode.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BUS TOPOLOGY: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BUS Topologies using Packet Tracer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  <w:t xml:space="preserve">communication star is verified successful.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