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3AC2E"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Abstract</w:t>
      </w:r>
    </w:p>
    <w:p w14:paraId="6611269E"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Healthcare analytics increasingly relies on machine learning models to support diagnostic and decision-making processes. While such models have demonstrated high predictive performance across a range of medical tasks, their limited interpretability remains a significant barrier to adoption in clinical environments. Medical practitioners require not only accurate predictions but also transparent and explainable reasoning in order to trust and effectively utilize artificial intelligence systems in high-stakes healthcare settings.</w:t>
      </w:r>
    </w:p>
    <w:p w14:paraId="3B03674C"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This thesis investigates the use of multi-agent artificial intelligence systems for explainable healthcare analytics. The proposed approach decomposes the analytical workflow into multiple specialized agents responsible for data preprocessing, predictive </w:t>
      </w:r>
      <w:proofErr w:type="spellStart"/>
      <w:r w:rsidRPr="00E9397B">
        <w:rPr>
          <w:rFonts w:ascii="Times New Roman" w:eastAsia="Times New Roman" w:hAnsi="Times New Roman" w:cs="Times New Roman" w:hint="cs"/>
          <w:kern w:val="0"/>
          <w:sz w:val="36"/>
          <w:szCs w:val="36"/>
          <w:lang w:eastAsia="en-GB"/>
          <w14:ligatures w14:val="none"/>
        </w:rPr>
        <w:t>modeling</w:t>
      </w:r>
      <w:proofErr w:type="spellEnd"/>
      <w:r w:rsidRPr="00E9397B">
        <w:rPr>
          <w:rFonts w:ascii="Times New Roman" w:eastAsia="Times New Roman" w:hAnsi="Times New Roman" w:cs="Times New Roman" w:hint="cs"/>
          <w:kern w:val="0"/>
          <w:sz w:val="36"/>
          <w:szCs w:val="36"/>
          <w:lang w:eastAsia="en-GB"/>
          <w14:ligatures w14:val="none"/>
        </w:rPr>
        <w:t>, and explanation generation. By enabling collaboration between these agents, the system aims to improve both predictive accuracy and interpretability compared to traditional single-model pipelines. The framework is evaluated using publicly available healthcare datasets, including structured clinical data and, where applicable, medical imaging data.</w:t>
      </w:r>
    </w:p>
    <w:p w14:paraId="0C9E97AB"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Explainability methods such as SHAP and LIME are integrated directly into the agent workflow to provide both global and local explanations of model predictions. The performance of the multi-agent system is benchmarked against conventional monolithic models across three dimensions: predictive accuracy, quality of explanations, and collaboration efficiency. The results demonstrate that agent-based collaboration can enhance transparency while maintaining competitive predictive performance. The thesis concludes with a discussion of the practical implications of </w:t>
      </w:r>
      <w:r w:rsidRPr="00E9397B">
        <w:rPr>
          <w:rFonts w:ascii="Times New Roman" w:eastAsia="Times New Roman" w:hAnsi="Times New Roman" w:cs="Times New Roman" w:hint="cs"/>
          <w:kern w:val="0"/>
          <w:sz w:val="36"/>
          <w:szCs w:val="36"/>
          <w:lang w:eastAsia="en-GB"/>
          <w14:ligatures w14:val="none"/>
        </w:rPr>
        <w:lastRenderedPageBreak/>
        <w:t>agentic AI in healthcare decision support systems and outlines directions for future research.</w:t>
      </w:r>
    </w:p>
    <w:p w14:paraId="3B2D326B"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320C478A">
          <v:rect id="_x0000_i1025" alt="" style="width:451.3pt;height:.05pt;mso-width-percent:0;mso-height-percent:0;mso-width-percent:0;mso-height-percent:0" o:hralign="center" o:hrstd="t" o:hr="t" fillcolor="#a0a0a0" stroked="f"/>
        </w:pict>
      </w:r>
    </w:p>
    <w:p w14:paraId="4FF40EA8"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1. Introduction</w:t>
      </w:r>
    </w:p>
    <w:p w14:paraId="60E3306D"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rapid growth of digital healthcare data has accelerated the adoption of machine learning techniques for medical diagnosis, prognosis, and decision support. Advances in artificial intelligence have enabled the development of models capable of identifying complex patterns in clinical data that may not be readily apparent to human experts. As a result, data-driven systems are increasingly used to assist clinicians in tasks such as disease prediction, patient risk stratification, and medical image analysis.</w:t>
      </w:r>
    </w:p>
    <w:p w14:paraId="06C5A6EF"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Despite these advances, the widespread deployment of artificial intelligence in healthcare remains limited. One of the primary obstacles is the lack of interpretability associated with many high-performing machine learning models. Deep learning and ensemble-based methods often operate as black-box systems, producing predictions without providing meaningful explanations for their outputs. In clinical environments, where decisions can have significant consequences for patient outcomes, this lack of transparency raises concerns regarding trust, accountability, and ethical responsibility.</w:t>
      </w:r>
    </w:p>
    <w:p w14:paraId="67A1D06D"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Explainable artificial intelligence has emerged as a response to these challenges, offering techniques that aim to make model </w:t>
      </w:r>
      <w:proofErr w:type="spellStart"/>
      <w:r w:rsidRPr="00E9397B">
        <w:rPr>
          <w:rFonts w:ascii="Times New Roman" w:eastAsia="Times New Roman" w:hAnsi="Times New Roman" w:cs="Times New Roman" w:hint="cs"/>
          <w:kern w:val="0"/>
          <w:sz w:val="36"/>
          <w:szCs w:val="36"/>
          <w:lang w:eastAsia="en-GB"/>
          <w14:ligatures w14:val="none"/>
        </w:rPr>
        <w:t>behavior</w:t>
      </w:r>
      <w:proofErr w:type="spellEnd"/>
      <w:r w:rsidRPr="00E9397B">
        <w:rPr>
          <w:rFonts w:ascii="Times New Roman" w:eastAsia="Times New Roman" w:hAnsi="Times New Roman" w:cs="Times New Roman" w:hint="cs"/>
          <w:kern w:val="0"/>
          <w:sz w:val="36"/>
          <w:szCs w:val="36"/>
          <w:lang w:eastAsia="en-GB"/>
          <w14:ligatures w14:val="none"/>
        </w:rPr>
        <w:t xml:space="preserve"> more transparent and understandable to human users. However, explainability methods are often applied as post-hoc tools and remain loosely coupled with the predictive models they aim to interpret. This separation can </w:t>
      </w:r>
      <w:r w:rsidRPr="00E9397B">
        <w:rPr>
          <w:rFonts w:ascii="Times New Roman" w:eastAsia="Times New Roman" w:hAnsi="Times New Roman" w:cs="Times New Roman" w:hint="cs"/>
          <w:kern w:val="0"/>
          <w:sz w:val="36"/>
          <w:szCs w:val="36"/>
          <w:lang w:eastAsia="en-GB"/>
          <w14:ligatures w14:val="none"/>
        </w:rPr>
        <w:lastRenderedPageBreak/>
        <w:t>limit their effectiveness and reduce their practical usefulness in real-world healthcare settings.</w:t>
      </w:r>
    </w:p>
    <w:p w14:paraId="45C5C8E1"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At the same time, agentic artificial intelligence systems have gained attention as a means of structuring complex analytical workflows. Multi-agent systems consist of multiple autonomous components, each responsible for a specific task, which collaborate to achieve a common objective. Such systems have shown promise in domains such as robotics, business intelligence, and automated research, but their application in healthcare analytics remains relatively underexplored.</w:t>
      </w:r>
    </w:p>
    <w:p w14:paraId="4FB82D10"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This thesis explores whether a multi-agent approach can provide a structured and transparent alternative to traditional monolithic machine learning pipelines in healthcare. By assigning distinct responsibilities to specialized agents and embedding explainability directly into the analytical workflow, the proposed system aims to bridge the gap between predictive performance and interpretability.</w:t>
      </w:r>
    </w:p>
    <w:p w14:paraId="67A5AA08"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1C2150A7">
          <v:rect id="_x0000_i1026" alt="" style="width:451.3pt;height:.05pt;mso-width-percent:0;mso-height-percent:0;mso-width-percent:0;mso-height-percent:0" o:hralign="center" o:hrstd="t" o:hr="t" fillcolor="#a0a0a0" stroked="f"/>
        </w:pict>
      </w:r>
    </w:p>
    <w:p w14:paraId="5978F256"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1.1 Motivation</w:t>
      </w:r>
    </w:p>
    <w:p w14:paraId="0FF5A9A2"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motivation for this research arises from the growing demand for trustworthy artificial intelligence in healthcare. Clinical decision-making requires not only accurate predictions but also clear justifications that align with medical reasoning. Without interpretable explanations, clinicians may be reluctant to rely on AI-generated recommendations, limiting the potential benefits of data-driven healthcare systems.</w:t>
      </w:r>
    </w:p>
    <w:p w14:paraId="5E795DE7"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lastRenderedPageBreak/>
        <w:t xml:space="preserve">Multi-agent systems offer a promising paradigm for addressing this challenge. By decomposing the analytical process into specialized roles, such systems can improve modularity, transparency, and accountability. For example, separating data preprocessing, model training, and explanation generation into distinct agents allows each component to be developed, evaluated, and improved independently. This modularity aligns well with the requirements of regulated healthcare environments, where system </w:t>
      </w:r>
      <w:proofErr w:type="spellStart"/>
      <w:r w:rsidRPr="00E9397B">
        <w:rPr>
          <w:rFonts w:ascii="Times New Roman" w:eastAsia="Times New Roman" w:hAnsi="Times New Roman" w:cs="Times New Roman" w:hint="cs"/>
          <w:kern w:val="0"/>
          <w:sz w:val="36"/>
          <w:szCs w:val="36"/>
          <w:lang w:eastAsia="en-GB"/>
          <w14:ligatures w14:val="none"/>
        </w:rPr>
        <w:t>behavior</w:t>
      </w:r>
      <w:proofErr w:type="spellEnd"/>
      <w:r w:rsidRPr="00E9397B">
        <w:rPr>
          <w:rFonts w:ascii="Times New Roman" w:eastAsia="Times New Roman" w:hAnsi="Times New Roman" w:cs="Times New Roman" w:hint="cs"/>
          <w:kern w:val="0"/>
          <w:sz w:val="36"/>
          <w:szCs w:val="36"/>
          <w:lang w:eastAsia="en-GB"/>
          <w14:ligatures w14:val="none"/>
        </w:rPr>
        <w:t xml:space="preserve"> must be auditable and reproducible.</w:t>
      </w:r>
    </w:p>
    <w:p w14:paraId="71144DA4"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Furthermore, integrating explainability mechanisms as first-class components within an agentic framework may enhance their practical relevance. Rather than treating explanations as an afterthought, the proposed approach embeds them directly into the decision-making pipeline, ensuring that interpretability is considered throughout the analytical process.</w:t>
      </w:r>
    </w:p>
    <w:p w14:paraId="32F38DE8"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451FD023">
          <v:rect id="_x0000_i1027" alt="" style="width:451.3pt;height:.05pt;mso-width-percent:0;mso-height-percent:0;mso-width-percent:0;mso-height-percent:0" o:hralign="center" o:hrstd="t" o:hr="t" fillcolor="#a0a0a0" stroked="f"/>
        </w:pict>
      </w:r>
    </w:p>
    <w:p w14:paraId="4497C463"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1.2 Problem Statement</w:t>
      </w:r>
    </w:p>
    <w:p w14:paraId="0D55F245"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Although machine learning models have achieved strong performance in healthcare analytics, their lack of transparency remains a significant limitation. Traditional single-model pipelines prioritize predictive accuracy but provide limited insight into how decisions are made. As a result, clinicians may struggle to assess the reliability of model outputs or to identify potential sources of error or bias.</w:t>
      </w:r>
    </w:p>
    <w:p w14:paraId="353BEE8D"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Existing explainability techniques, while valuable, are often applied in isolation and do not fully address the complexity of real-world healthcare workflows. Moreover, the absence of structured collaboration between different analytical </w:t>
      </w:r>
      <w:r w:rsidRPr="00E9397B">
        <w:rPr>
          <w:rFonts w:ascii="Times New Roman" w:eastAsia="Times New Roman" w:hAnsi="Times New Roman" w:cs="Times New Roman" w:hint="cs"/>
          <w:kern w:val="0"/>
          <w:sz w:val="36"/>
          <w:szCs w:val="36"/>
          <w:lang w:eastAsia="en-GB"/>
          <w14:ligatures w14:val="none"/>
        </w:rPr>
        <w:lastRenderedPageBreak/>
        <w:t>components can lead to brittle systems that are difficult to maintain, evaluate, and extend.</w:t>
      </w:r>
    </w:p>
    <w:p w14:paraId="573B5483"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central problem addressed in this thesis is whether a structured multi-agent AI system can improve the interpretability of healthcare analytics without compromising predictive performance. Specifically, the research examines whether dividing responsibilities across specialized agents and enabling coordinated collaboration can produce more transparent and trustworthy analytical outcomes than conventional monolithic approaches.</w:t>
      </w:r>
    </w:p>
    <w:p w14:paraId="1A2615C3"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7080B4C4">
          <v:rect id="_x0000_i1028" alt="" style="width:451.3pt;height:.05pt;mso-width-percent:0;mso-height-percent:0;mso-width-percent:0;mso-height-percent:0" o:hralign="center" o:hrstd="t" o:hr="t" fillcolor="#a0a0a0" stroked="f"/>
        </w:pict>
      </w:r>
    </w:p>
    <w:p w14:paraId="421D8A18"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1.3 Research Question and Contributions</w:t>
      </w:r>
    </w:p>
    <w:p w14:paraId="024793AA"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This thesis seeks to answer the following research question:</w:t>
      </w:r>
    </w:p>
    <w:p w14:paraId="0EF8852D"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i/>
          <w:iCs/>
          <w:kern w:val="0"/>
          <w:sz w:val="36"/>
          <w:szCs w:val="36"/>
          <w:lang w:eastAsia="en-GB"/>
          <w14:ligatures w14:val="none"/>
        </w:rPr>
        <w:t xml:space="preserve">Can a multi-agent artificial intelligence system, with clearly defined roles for data processing, predictive </w:t>
      </w:r>
      <w:proofErr w:type="spellStart"/>
      <w:r w:rsidRPr="00E9397B">
        <w:rPr>
          <w:rFonts w:ascii="Times New Roman" w:eastAsia="Times New Roman" w:hAnsi="Times New Roman" w:cs="Times New Roman" w:hint="cs"/>
          <w:i/>
          <w:iCs/>
          <w:kern w:val="0"/>
          <w:sz w:val="36"/>
          <w:szCs w:val="36"/>
          <w:lang w:eastAsia="en-GB"/>
          <w14:ligatures w14:val="none"/>
        </w:rPr>
        <w:t>modeling</w:t>
      </w:r>
      <w:proofErr w:type="spellEnd"/>
      <w:r w:rsidRPr="00E9397B">
        <w:rPr>
          <w:rFonts w:ascii="Times New Roman" w:eastAsia="Times New Roman" w:hAnsi="Times New Roman" w:cs="Times New Roman" w:hint="cs"/>
          <w:i/>
          <w:iCs/>
          <w:kern w:val="0"/>
          <w:sz w:val="36"/>
          <w:szCs w:val="36"/>
          <w:lang w:eastAsia="en-GB"/>
          <w14:ligatures w14:val="none"/>
        </w:rPr>
        <w:t>, and explanation generation, provide more accurate and interpretable healthcare analytics than traditional single-model approaches?</w:t>
      </w:r>
    </w:p>
    <w:p w14:paraId="6F19CD77"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primary contributions of this work are as follows:</w:t>
      </w:r>
    </w:p>
    <w:p w14:paraId="4BEC2EF6" w14:textId="77777777" w:rsidR="00E9397B" w:rsidRPr="00E9397B" w:rsidRDefault="00E9397B" w:rsidP="00E9397B">
      <w:pPr>
        <w:numPr>
          <w:ilvl w:val="0"/>
          <w:numId w:val="1"/>
        </w:num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design and implementation of a multi-agent AI framework for healthcare analytics.</w:t>
      </w:r>
    </w:p>
    <w:p w14:paraId="3ED28063" w14:textId="77777777" w:rsidR="00E9397B" w:rsidRPr="00E9397B" w:rsidRDefault="00E9397B" w:rsidP="00E9397B">
      <w:pPr>
        <w:numPr>
          <w:ilvl w:val="0"/>
          <w:numId w:val="1"/>
        </w:num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integration of explainable AI techniques into an agent-based analytical workflow.</w:t>
      </w:r>
    </w:p>
    <w:p w14:paraId="2C943AD2" w14:textId="77777777" w:rsidR="00E9397B" w:rsidRPr="00E9397B" w:rsidRDefault="00E9397B" w:rsidP="00E9397B">
      <w:pPr>
        <w:numPr>
          <w:ilvl w:val="0"/>
          <w:numId w:val="1"/>
        </w:num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A comparative evaluation of multi-agent and single-model approaches across predictive accuracy, explainability quality, and collaboration efficiency.</w:t>
      </w:r>
    </w:p>
    <w:p w14:paraId="4DA1507F" w14:textId="77777777" w:rsidR="00E9397B" w:rsidRPr="00E9397B" w:rsidRDefault="00E9397B" w:rsidP="00E9397B">
      <w:pPr>
        <w:numPr>
          <w:ilvl w:val="0"/>
          <w:numId w:val="1"/>
        </w:num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Practical insights into the applicability of agentic AI systems in real-world healthcare decision support.</w:t>
      </w:r>
    </w:p>
    <w:p w14:paraId="164C7C60" w14:textId="77777777" w:rsidR="001314BD" w:rsidRPr="00E9397B" w:rsidRDefault="001314BD">
      <w:pPr>
        <w:rPr>
          <w:rFonts w:ascii="Times New Roman" w:hAnsi="Times New Roman" w:cs="Times New Roman" w:hint="cs"/>
          <w:sz w:val="36"/>
          <w:szCs w:val="36"/>
        </w:rPr>
      </w:pPr>
    </w:p>
    <w:p w14:paraId="7E603972"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2. State of the Art</w:t>
      </w:r>
    </w:p>
    <w:p w14:paraId="4C88C6CB"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application of artificial intelligence in healthcare has expanded rapidly over the past decade, driven by the increasing availability of digital medical data and advances in machine learning algorithms. Research efforts have demonstrated that data-driven models can achieve strong performance in tasks such as disease prediction, medical image classification, and patient outcome forecasting. Despite these advances, the adoption of artificial intelligence systems in clinical practice remains limited. A key reason for this gap is the lack of transparency and interpretability associated with many state-of-the-art models.</w:t>
      </w:r>
    </w:p>
    <w:p w14:paraId="363F47AB"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This chapter reviews existing work relevant to this thesis across three main areas: machine learning models in healthcare analytics, explainable artificial intelligence techniques, and multi-agent artificial intelligence systems. The discussion highlights both the strengths and limitations of current approaches and identifies the research gap addressed by the proposed multi-agent explainable healthcare analytics framework.</w:t>
      </w:r>
    </w:p>
    <w:p w14:paraId="34AD3081"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265B1412">
          <v:rect id="_x0000_i1033" alt="" style="width:451.3pt;height:.05pt;mso-width-percent:0;mso-height-percent:0;mso-width-percent:0;mso-height-percent:0" o:hralign="center" o:hrstd="t" o:hr="t" fillcolor="#a0a0a0" stroked="f"/>
        </w:pict>
      </w:r>
    </w:p>
    <w:p w14:paraId="732AA658"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2.1 Machine Learning in Healthcare Analytics</w:t>
      </w:r>
    </w:p>
    <w:p w14:paraId="463C63DF"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Machine learning has become a central component of modern healthcare analytics, enabling the extraction of meaningful patterns from complex and high-dimensional medical data. Early applications focused primarily on structured clinical data, such as electronic health records, laboratory measurements, and demographic variables. Traditional </w:t>
      </w:r>
      <w:r w:rsidRPr="00E9397B">
        <w:rPr>
          <w:rFonts w:ascii="Times New Roman" w:eastAsia="Times New Roman" w:hAnsi="Times New Roman" w:cs="Times New Roman" w:hint="cs"/>
          <w:kern w:val="0"/>
          <w:sz w:val="36"/>
          <w:szCs w:val="36"/>
          <w:lang w:eastAsia="en-GB"/>
          <w14:ligatures w14:val="none"/>
        </w:rPr>
        <w:lastRenderedPageBreak/>
        <w:t>models including logistic regression and decision trees were widely adopted due to their simplicity and interpretability.</w:t>
      </w:r>
    </w:p>
    <w:p w14:paraId="15D03D0D"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With the growth of computational resources and data availability, more complex models such as ensemble methods and deep learning architectures have gained prominence. Random forests and gradient boosting machines have demonstrated strong performance in predicting diseases such as cardiovascular conditions and diabetes by capturing non-linear relationships between clinical features. Similarly, deep neural networks have achieved state-of-the-art results in medical imaging tasks, including radiology and pathology image analysis.</w:t>
      </w:r>
    </w:p>
    <w:p w14:paraId="70C2E9CC"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However, the increasing complexity of these models has introduced new challenges. While performance metrics such as accuracy and area under the receiver operating characteristic curve have improved, the internal decision-making processes of these models are often opaque. In healthcare settings, where decisions can have serious ethical and legal implications, this opacity presents a significant barrier to trust and adoption. Clinicians are generally required to understand and justify decisions, particularly when they contradict clinical intuition or established guidelines.</w:t>
      </w:r>
    </w:p>
    <w:p w14:paraId="00901B4B"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0F1DBB2D">
          <v:rect id="_x0000_i1034" alt="" style="width:451.3pt;height:.05pt;mso-width-percent:0;mso-height-percent:0;mso-width-percent:0;mso-height-percent:0" o:hralign="center" o:hrstd="t" o:hr="t" fillcolor="#a0a0a0" stroked="f"/>
        </w:pict>
      </w:r>
    </w:p>
    <w:p w14:paraId="3373BA2E"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2.2 Limitations of Black-Box Models in Clinical Practice</w:t>
      </w:r>
    </w:p>
    <w:p w14:paraId="79BA3772"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The reliance on black-box machine learning models in healthcare has been widely criticized in the literature. Although such models may achieve high predictive accuracy, their lack of interpretability limits their practical usefulness in clinical environments. Medical practitioners often require explanations that align with domain knowledge, such as </w:t>
      </w:r>
      <w:r w:rsidRPr="00E9397B">
        <w:rPr>
          <w:rFonts w:ascii="Times New Roman" w:eastAsia="Times New Roman" w:hAnsi="Times New Roman" w:cs="Times New Roman" w:hint="cs"/>
          <w:kern w:val="0"/>
          <w:sz w:val="36"/>
          <w:szCs w:val="36"/>
          <w:lang w:eastAsia="en-GB"/>
          <w14:ligatures w14:val="none"/>
        </w:rPr>
        <w:lastRenderedPageBreak/>
        <w:t>identifying which clinical factors contributed most strongly to a prediction.</w:t>
      </w:r>
    </w:p>
    <w:p w14:paraId="77EE19B8"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Several studies have reported that clinicians are hesitant to rely on model outputs when explanations are absent or unclear. This hesitation is further amplified in high-stakes scenarios, such as cancer diagnosis or intensive care decision-making, where incorrect predictions can lead to severe consequences. Additionally, regulatory frameworks in healthcare increasingly emphasize transparency, accountability, and fairness, further underscoring the need for interpretable systems.</w:t>
      </w:r>
    </w:p>
    <w:p w14:paraId="045D8F53"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Another concern associated with black-box models is the potential for hidden biases. Models trained on historical data may inadvertently learn biases related to demographic or socioeconomic factors, leading to unfair or discriminatory outcomes. Without interpretability mechanisms, identifying and mitigating such biases becomes challenging. These limitations have motivated a growing body of research in explainable artificial intelligence.</w:t>
      </w:r>
    </w:p>
    <w:p w14:paraId="145010C9"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02A26F83">
          <v:rect id="_x0000_i1035" alt="" style="width:451.3pt;height:.05pt;mso-width-percent:0;mso-height-percent:0;mso-width-percent:0;mso-height-percent:0" o:hralign="center" o:hrstd="t" o:hr="t" fillcolor="#a0a0a0" stroked="f"/>
        </w:pict>
      </w:r>
    </w:p>
    <w:p w14:paraId="5EA0BA3F"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2.3 Explainable Artificial Intelligence</w:t>
      </w:r>
    </w:p>
    <w:p w14:paraId="5715EAD0"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Explainable artificial intelligence aims to address the transparency challenges of complex machine learning models by providing insights into how predictions are generated. Rather than focusing solely on predictive performance, XAI emphasizes interpretability, trust, and human understanding. Explainability methods can broadly be categorized into intrinsic and post-hoc approaches.</w:t>
      </w:r>
    </w:p>
    <w:p w14:paraId="7EDE04ED"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lastRenderedPageBreak/>
        <w:t>Intrinsic explainability refers to models that are inherently interpretable, such as linear models or rule-based systems. While these models offer clear explanations, they often struggle to achieve the same level of performance as more complex approaches when applied to high-dimensional or non-linear data. As a result, post-hoc explainability methods have gained significant attention.</w:t>
      </w:r>
    </w:p>
    <w:p w14:paraId="266FF05C"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Post-hoc explainability techniques seek to explain the </w:t>
      </w:r>
      <w:proofErr w:type="spellStart"/>
      <w:r w:rsidRPr="00E9397B">
        <w:rPr>
          <w:rFonts w:ascii="Times New Roman" w:eastAsia="Times New Roman" w:hAnsi="Times New Roman" w:cs="Times New Roman" w:hint="cs"/>
          <w:kern w:val="0"/>
          <w:sz w:val="36"/>
          <w:szCs w:val="36"/>
          <w:lang w:eastAsia="en-GB"/>
          <w14:ligatures w14:val="none"/>
        </w:rPr>
        <w:t>behavior</w:t>
      </w:r>
      <w:proofErr w:type="spellEnd"/>
      <w:r w:rsidRPr="00E9397B">
        <w:rPr>
          <w:rFonts w:ascii="Times New Roman" w:eastAsia="Times New Roman" w:hAnsi="Times New Roman" w:cs="Times New Roman" w:hint="cs"/>
          <w:kern w:val="0"/>
          <w:sz w:val="36"/>
          <w:szCs w:val="36"/>
          <w:lang w:eastAsia="en-GB"/>
          <w14:ligatures w14:val="none"/>
        </w:rPr>
        <w:t xml:space="preserve"> of a trained model without altering its internal structure. Popular methods include feature attribution techniques, surrogate models, and visualization-based approaches. These methods aim to provide either global explanations, which describe overall model </w:t>
      </w:r>
      <w:proofErr w:type="spellStart"/>
      <w:r w:rsidRPr="00E9397B">
        <w:rPr>
          <w:rFonts w:ascii="Times New Roman" w:eastAsia="Times New Roman" w:hAnsi="Times New Roman" w:cs="Times New Roman" w:hint="cs"/>
          <w:kern w:val="0"/>
          <w:sz w:val="36"/>
          <w:szCs w:val="36"/>
          <w:lang w:eastAsia="en-GB"/>
          <w14:ligatures w14:val="none"/>
        </w:rPr>
        <w:t>behavior</w:t>
      </w:r>
      <w:proofErr w:type="spellEnd"/>
      <w:r w:rsidRPr="00E9397B">
        <w:rPr>
          <w:rFonts w:ascii="Times New Roman" w:eastAsia="Times New Roman" w:hAnsi="Times New Roman" w:cs="Times New Roman" w:hint="cs"/>
          <w:kern w:val="0"/>
          <w:sz w:val="36"/>
          <w:szCs w:val="36"/>
          <w:lang w:eastAsia="en-GB"/>
          <w14:ligatures w14:val="none"/>
        </w:rPr>
        <w:t>, or local explanations, which focus on individual predictions.</w:t>
      </w:r>
    </w:p>
    <w:p w14:paraId="2F64C16E"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2C9CB6FA">
          <v:rect id="_x0000_i1036" alt="" style="width:451.3pt;height:.05pt;mso-width-percent:0;mso-height-percent:0;mso-width-percent:0;mso-height-percent:0" o:hralign="center" o:hrstd="t" o:hr="t" fillcolor="#a0a0a0" stroked="f"/>
        </w:pict>
      </w:r>
    </w:p>
    <w:p w14:paraId="475D61CB"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2.4 SHAP and LIME</w:t>
      </w:r>
    </w:p>
    <w:p w14:paraId="647D7180"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Among post-hoc explainability techniques, SHAP and LIME have emerged as widely adopted methods due to their model-agnostic nature and theoretical foundations. SHAP is based on concepts from cooperative game theory and assigns each feature a contribution value representing its influence on a prediction. By aggregating these contributions across samples, SHAP can provide both global and local explanations.</w:t>
      </w:r>
    </w:p>
    <w:p w14:paraId="3B7823A7"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LIME, on the other hand, generates local explanations by approximating the </w:t>
      </w:r>
      <w:proofErr w:type="spellStart"/>
      <w:r w:rsidRPr="00E9397B">
        <w:rPr>
          <w:rFonts w:ascii="Times New Roman" w:eastAsia="Times New Roman" w:hAnsi="Times New Roman" w:cs="Times New Roman" w:hint="cs"/>
          <w:kern w:val="0"/>
          <w:sz w:val="36"/>
          <w:szCs w:val="36"/>
          <w:lang w:eastAsia="en-GB"/>
          <w14:ligatures w14:val="none"/>
        </w:rPr>
        <w:t>behavior</w:t>
      </w:r>
      <w:proofErr w:type="spellEnd"/>
      <w:r w:rsidRPr="00E9397B">
        <w:rPr>
          <w:rFonts w:ascii="Times New Roman" w:eastAsia="Times New Roman" w:hAnsi="Times New Roman" w:cs="Times New Roman" w:hint="cs"/>
          <w:kern w:val="0"/>
          <w:sz w:val="36"/>
          <w:szCs w:val="36"/>
          <w:lang w:eastAsia="en-GB"/>
          <w14:ligatures w14:val="none"/>
        </w:rPr>
        <w:t xml:space="preserve"> of a complex model in the </w:t>
      </w:r>
      <w:proofErr w:type="spellStart"/>
      <w:r w:rsidRPr="00E9397B">
        <w:rPr>
          <w:rFonts w:ascii="Times New Roman" w:eastAsia="Times New Roman" w:hAnsi="Times New Roman" w:cs="Times New Roman" w:hint="cs"/>
          <w:kern w:val="0"/>
          <w:sz w:val="36"/>
          <w:szCs w:val="36"/>
          <w:lang w:eastAsia="en-GB"/>
          <w14:ligatures w14:val="none"/>
        </w:rPr>
        <w:t>neighborhood</w:t>
      </w:r>
      <w:proofErr w:type="spellEnd"/>
      <w:r w:rsidRPr="00E9397B">
        <w:rPr>
          <w:rFonts w:ascii="Times New Roman" w:eastAsia="Times New Roman" w:hAnsi="Times New Roman" w:cs="Times New Roman" w:hint="cs"/>
          <w:kern w:val="0"/>
          <w:sz w:val="36"/>
          <w:szCs w:val="36"/>
          <w:lang w:eastAsia="en-GB"/>
          <w14:ligatures w14:val="none"/>
        </w:rPr>
        <w:t xml:space="preserve"> of a specific instance using an interpretable surrogate model. This approach allows users to understand why a particular prediction was made without requiring access to the internal structure of the original model.</w:t>
      </w:r>
    </w:p>
    <w:p w14:paraId="0AFC8394"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lastRenderedPageBreak/>
        <w:t>Despite their usefulness, these methods have limitations. The explanations produced by SHAP and LIME may vary depending on sampling strategies and parameter choices, raising concerns about stability and reliability. Furthermore, explanations are often presented in technical formats, such as feature importance plots, which may not be easily interpretable by non-technical users. In healthcare settings, this can reduce the practical value of explainability methods unless they are carefully integrated into the decision-making workflow.</w:t>
      </w:r>
    </w:p>
    <w:p w14:paraId="14508A4D"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13246C1E">
          <v:rect id="_x0000_i1037" alt="" style="width:451.3pt;height:.05pt;mso-width-percent:0;mso-height-percent:0;mso-width-percent:0;mso-height-percent:0" o:hralign="center" o:hrstd="t" o:hr="t" fillcolor="#a0a0a0" stroked="f"/>
        </w:pict>
      </w:r>
    </w:p>
    <w:p w14:paraId="70D67506"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2.5 Explainability in Healthcare Applications</w:t>
      </w:r>
    </w:p>
    <w:p w14:paraId="6E546B33"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Explainable artificial intelligence has been applied to a range of healthcare use cases, including disease risk prediction, medical image interpretation, and treatment recommendation systems. In many studies, explainability is used to validate model </w:t>
      </w:r>
      <w:proofErr w:type="spellStart"/>
      <w:r w:rsidRPr="00E9397B">
        <w:rPr>
          <w:rFonts w:ascii="Times New Roman" w:eastAsia="Times New Roman" w:hAnsi="Times New Roman" w:cs="Times New Roman" w:hint="cs"/>
          <w:kern w:val="0"/>
          <w:sz w:val="36"/>
          <w:szCs w:val="36"/>
          <w:lang w:eastAsia="en-GB"/>
          <w14:ligatures w14:val="none"/>
        </w:rPr>
        <w:t>behavior</w:t>
      </w:r>
      <w:proofErr w:type="spellEnd"/>
      <w:r w:rsidRPr="00E9397B">
        <w:rPr>
          <w:rFonts w:ascii="Times New Roman" w:eastAsia="Times New Roman" w:hAnsi="Times New Roman" w:cs="Times New Roman" w:hint="cs"/>
          <w:kern w:val="0"/>
          <w:sz w:val="36"/>
          <w:szCs w:val="36"/>
          <w:lang w:eastAsia="en-GB"/>
          <w14:ligatures w14:val="none"/>
        </w:rPr>
        <w:t xml:space="preserve"> by comparing important features with known clinical risk factors. For example, feature attribution methods have been employed to confirm that cardiovascular risk models prioritize variables such as age, blood pressure, and cholesterol levels.</w:t>
      </w:r>
    </w:p>
    <w:p w14:paraId="37A185AE"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In medical imaging, visualization techniques such as saliency maps and gradient-based attribution methods are commonly used to highlight regions of interest in images. While these approaches can provide valuable insights, they often suffer from ambiguity and may be sensitive to noise or model architecture choices.</w:t>
      </w:r>
    </w:p>
    <w:p w14:paraId="4A922B51"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Overall, existing healthcare-focused XAI research demonstrates the potential benefits of interpretability but also highlights the need for more structured and user-</w:t>
      </w:r>
      <w:proofErr w:type="spellStart"/>
      <w:r w:rsidRPr="00E9397B">
        <w:rPr>
          <w:rFonts w:ascii="Times New Roman" w:eastAsia="Times New Roman" w:hAnsi="Times New Roman" w:cs="Times New Roman" w:hint="cs"/>
          <w:kern w:val="0"/>
          <w:sz w:val="36"/>
          <w:szCs w:val="36"/>
          <w:lang w:eastAsia="en-GB"/>
          <w14:ligatures w14:val="none"/>
        </w:rPr>
        <w:t>centered</w:t>
      </w:r>
      <w:proofErr w:type="spellEnd"/>
      <w:r w:rsidRPr="00E9397B">
        <w:rPr>
          <w:rFonts w:ascii="Times New Roman" w:eastAsia="Times New Roman" w:hAnsi="Times New Roman" w:cs="Times New Roman" w:hint="cs"/>
          <w:kern w:val="0"/>
          <w:sz w:val="36"/>
          <w:szCs w:val="36"/>
          <w:lang w:eastAsia="en-GB"/>
          <w14:ligatures w14:val="none"/>
        </w:rPr>
        <w:t xml:space="preserve"> </w:t>
      </w:r>
      <w:r w:rsidRPr="00E9397B">
        <w:rPr>
          <w:rFonts w:ascii="Times New Roman" w:eastAsia="Times New Roman" w:hAnsi="Times New Roman" w:cs="Times New Roman" w:hint="cs"/>
          <w:kern w:val="0"/>
          <w:sz w:val="36"/>
          <w:szCs w:val="36"/>
          <w:lang w:eastAsia="en-GB"/>
          <w14:ligatures w14:val="none"/>
        </w:rPr>
        <w:lastRenderedPageBreak/>
        <w:t>approaches. In many cases, explainability is treated as an auxiliary component rather than an integral part of the analytical system.</w:t>
      </w:r>
    </w:p>
    <w:p w14:paraId="6494AAB9"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77547677">
          <v:rect id="_x0000_i1038" alt="" style="width:451.3pt;height:.05pt;mso-width-percent:0;mso-height-percent:0;mso-width-percent:0;mso-height-percent:0" o:hralign="center" o:hrstd="t" o:hr="t" fillcolor="#a0a0a0" stroked="f"/>
        </w:pict>
      </w:r>
    </w:p>
    <w:p w14:paraId="3666756A"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2.6 Multi-Agent Artificial Intelligence Systems</w:t>
      </w:r>
    </w:p>
    <w:p w14:paraId="13B3472A"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Multi-agent artificial intelligence systems consist of multiple autonomous agents that interact and collaborate to achieve a shared objective. Each agent is typically designed to perform a specific role and may operate with a degree of independence. Multi-agent systems have been studied extensively in fields such as robotics, distributed computing, and game theory.</w:t>
      </w:r>
    </w:p>
    <w:p w14:paraId="5FBDE010"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In recent years, agentic AI has gained renewed attention due to advances in orchestration frameworks and autonomous task execution. Agent-based architectures offer several advantages, including modularity, scalability, and fault isolation. By decomposing complex tasks into smaller components, multi-agent systems can improve maintainability and adaptability.</w:t>
      </w:r>
    </w:p>
    <w:p w14:paraId="12499C6F"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Despite their potential, the application of multi-agent systems in healthcare analytics remains limited. Most existing healthcare AI solutions rely on monolithic pipelines, where data preprocessing, </w:t>
      </w:r>
      <w:proofErr w:type="spellStart"/>
      <w:r w:rsidRPr="00E9397B">
        <w:rPr>
          <w:rFonts w:ascii="Times New Roman" w:eastAsia="Times New Roman" w:hAnsi="Times New Roman" w:cs="Times New Roman" w:hint="cs"/>
          <w:kern w:val="0"/>
          <w:sz w:val="36"/>
          <w:szCs w:val="36"/>
          <w:lang w:eastAsia="en-GB"/>
          <w14:ligatures w14:val="none"/>
        </w:rPr>
        <w:t>modeling</w:t>
      </w:r>
      <w:proofErr w:type="spellEnd"/>
      <w:r w:rsidRPr="00E9397B">
        <w:rPr>
          <w:rFonts w:ascii="Times New Roman" w:eastAsia="Times New Roman" w:hAnsi="Times New Roman" w:cs="Times New Roman" w:hint="cs"/>
          <w:kern w:val="0"/>
          <w:sz w:val="36"/>
          <w:szCs w:val="36"/>
          <w:lang w:eastAsia="en-GB"/>
          <w14:ligatures w14:val="none"/>
        </w:rPr>
        <w:t>, and evaluation are tightly coupled. This lack of modularity can hinder transparency and make it difficult to integrate explainability mechanisms effectively.</w:t>
      </w:r>
    </w:p>
    <w:p w14:paraId="2D0300E7"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7E519C93">
          <v:rect id="_x0000_i1039" alt="" style="width:451.3pt;height:.05pt;mso-width-percent:0;mso-height-percent:0;mso-width-percent:0;mso-height-percent:0" o:hralign="center" o:hrstd="t" o:hr="t" fillcolor="#a0a0a0" stroked="f"/>
        </w:pict>
      </w:r>
    </w:p>
    <w:p w14:paraId="674668B2"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2.7 Agentic AI and Explainability</w:t>
      </w:r>
    </w:p>
    <w:p w14:paraId="132B5925"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lastRenderedPageBreak/>
        <w:t>The combination of agentic AI and explainable artificial intelligence represents a promising but underexplored research direction. By assigning explainability responsibilities to a dedicated agent, it becomes possible to treat transparency as a first-class objective rather than an afterthought. Such an approach aligns well with the requirements of healthcare systems, where different stakeholders may require different levels of explanation.</w:t>
      </w:r>
    </w:p>
    <w:p w14:paraId="0107AA2D"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Agent-based architectures also facilitate systematic evaluation of system components. For example, the performance of a </w:t>
      </w:r>
      <w:proofErr w:type="spellStart"/>
      <w:r w:rsidRPr="00E9397B">
        <w:rPr>
          <w:rFonts w:ascii="Times New Roman" w:eastAsia="Times New Roman" w:hAnsi="Times New Roman" w:cs="Times New Roman" w:hint="cs"/>
          <w:kern w:val="0"/>
          <w:sz w:val="36"/>
          <w:szCs w:val="36"/>
          <w:lang w:eastAsia="en-GB"/>
          <w14:ligatures w14:val="none"/>
        </w:rPr>
        <w:t>modeling</w:t>
      </w:r>
      <w:proofErr w:type="spellEnd"/>
      <w:r w:rsidRPr="00E9397B">
        <w:rPr>
          <w:rFonts w:ascii="Times New Roman" w:eastAsia="Times New Roman" w:hAnsi="Times New Roman" w:cs="Times New Roman" w:hint="cs"/>
          <w:kern w:val="0"/>
          <w:sz w:val="36"/>
          <w:szCs w:val="36"/>
          <w:lang w:eastAsia="en-GB"/>
          <w14:ligatures w14:val="none"/>
        </w:rPr>
        <w:t xml:space="preserve"> agent can be assessed independently of the explainability agent, enabling more granular analysis of trade-offs between accuracy and interpretability. Furthermore, orchestration agents can monitor collaboration efficiency and detect failures or inconsistencies in the analytical workflow.</w:t>
      </w:r>
    </w:p>
    <w:p w14:paraId="1E1829A3"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1BF0C271">
          <v:rect id="_x0000_i1040" alt="" style="width:451.3pt;height:.05pt;mso-width-percent:0;mso-height-percent:0;mso-width-percent:0;mso-height-percent:0" o:hralign="center" o:hrstd="t" o:hr="t" fillcolor="#a0a0a0" stroked="f"/>
        </w:pict>
      </w:r>
    </w:p>
    <w:p w14:paraId="200208EA"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2.8 Research Gap</w:t>
      </w:r>
    </w:p>
    <w:p w14:paraId="091CCEEB"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reviewed literature highlights several gaps that motivate this thesis. While machine learning models have demonstrated strong performance in healthcare analytics, their lack of transparency remains a significant barrier to adoption. Explainable AI techniques offer valuable tools for addressing this challenge but are often applied in isolation and lack integration into structured workflows.</w:t>
      </w:r>
    </w:p>
    <w:p w14:paraId="313AB74B"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At the same time, multi-agent artificial intelligence systems provide a flexible framework for decomposing complex tasks but have not been widely applied to healthcare analytics, particularly with a focus on explainability. There is limited empirical evidence evaluating whether agent-based </w:t>
      </w:r>
      <w:r w:rsidRPr="00E9397B">
        <w:rPr>
          <w:rFonts w:ascii="Times New Roman" w:eastAsia="Times New Roman" w:hAnsi="Times New Roman" w:cs="Times New Roman" w:hint="cs"/>
          <w:kern w:val="0"/>
          <w:sz w:val="36"/>
          <w:szCs w:val="36"/>
          <w:lang w:eastAsia="en-GB"/>
          <w14:ligatures w14:val="none"/>
        </w:rPr>
        <w:lastRenderedPageBreak/>
        <w:t>collaboration can improve both interpretability and predictive performance in medical applications.</w:t>
      </w:r>
    </w:p>
    <w:p w14:paraId="349696FE"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This thesis addresses these gaps by proposing and evaluating a multi-agent AI framework that integrates explainability directly into the healthcare analytics pipeline. By benchmarking the proposed approach against traditional single-model systems, the research aims to provide empirical insights into the benefits and limitations of agentic AI in high-stakes healthcare environments.</w:t>
      </w:r>
    </w:p>
    <w:p w14:paraId="18C16FCE"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3. Proposed Method and Architecture</w:t>
      </w:r>
    </w:p>
    <w:p w14:paraId="4FEAE3F6"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This chapter presents the proposed multi-agent artificial intelligence framework for explainable healthcare analytics. The objective of the framework is to address the limitations of traditional monolithic machine learning pipelines by decomposing the analytical workflow into specialized, collaborating agents. Each agent is responsible for a well-defined task, enabling modularity, transparency, and improved system-level interpretability.</w:t>
      </w:r>
    </w:p>
    <w:p w14:paraId="01384211"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chapter begins with an overview of the system design principles, followed by a detailed description of the individual agents, their interactions, and the orchestration mechanism. The design choices are motivated by the research objectives outlined in Chapter 1 and the gaps identified in the state-of-the-art review.</w:t>
      </w:r>
    </w:p>
    <w:p w14:paraId="664B36A7"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26B308D8">
          <v:rect id="_x0000_i1049" alt="" style="width:451.3pt;height:.05pt;mso-width-percent:0;mso-height-percent:0;mso-width-percent:0;mso-height-percent:0" o:hralign="center" o:hrstd="t" o:hr="t" fillcolor="#a0a0a0" stroked="f"/>
        </w:pict>
      </w:r>
    </w:p>
    <w:p w14:paraId="6E7C9283"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3.1 Design Principles</w:t>
      </w:r>
    </w:p>
    <w:p w14:paraId="3C0D9BD5"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lastRenderedPageBreak/>
        <w:t>The proposed architecture is guided by four core design principles: modularity, transparency, reproducibility, and explainability by design.</w:t>
      </w:r>
    </w:p>
    <w:p w14:paraId="712017F6"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Modularity is achieved by separating the healthcare analytics workflow into independent agents, each responsible for a specific function. This separation allows individual components to be developed, tested, and evaluated independently, reducing system complexity and improving maintainability.</w:t>
      </w:r>
    </w:p>
    <w:p w14:paraId="7744338C"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Transparency is emphasized by explicitly defining agent responsibilities and data handovers. Rather than obscuring intermediate steps within a single pipeline, the framework exposes the outputs of each agent, enabling inspection and auditing at multiple stages of the workflow.</w:t>
      </w:r>
    </w:p>
    <w:p w14:paraId="0E7A7361"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Reproducibility is ensured through standardized data handling, deterministic execution where possible, and comprehensive logging of agent interactions. All intermediate artifacts, including processed datasets, trained models, and explanation outputs, are persisted to disk and versioned.</w:t>
      </w:r>
    </w:p>
    <w:p w14:paraId="0AA90AE9"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Finally, explainability by design is achieved by integrating explanation generation as a core component of the system rather than as an auxiliary post-processing step. A dedicated explainability agent is responsible for generating and validating explanations, ensuring that interpretability is treated as a primary objective.</w:t>
      </w:r>
    </w:p>
    <w:p w14:paraId="121448BD"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3D66FAB2">
          <v:rect id="_x0000_i1050" alt="" style="width:451.3pt;height:.05pt;mso-width-percent:0;mso-height-percent:0;mso-width-percent:0;mso-height-percent:0" o:hralign="center" o:hrstd="t" o:hr="t" fillcolor="#a0a0a0" stroked="f"/>
        </w:pict>
      </w:r>
    </w:p>
    <w:p w14:paraId="2F374810"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3.2 Overview of the Multi-Agent Framework</w:t>
      </w:r>
    </w:p>
    <w:p w14:paraId="76D459A3"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lastRenderedPageBreak/>
        <w:t xml:space="preserve">The proposed framework consists of four primary agents: a Data Agent, a </w:t>
      </w:r>
      <w:proofErr w:type="spellStart"/>
      <w:r w:rsidRPr="00E9397B">
        <w:rPr>
          <w:rFonts w:ascii="Times New Roman" w:eastAsia="Times New Roman" w:hAnsi="Times New Roman" w:cs="Times New Roman" w:hint="cs"/>
          <w:kern w:val="0"/>
          <w:sz w:val="36"/>
          <w:szCs w:val="36"/>
          <w:lang w:eastAsia="en-GB"/>
          <w14:ligatures w14:val="none"/>
        </w:rPr>
        <w:t>Modeling</w:t>
      </w:r>
      <w:proofErr w:type="spellEnd"/>
      <w:r w:rsidRPr="00E9397B">
        <w:rPr>
          <w:rFonts w:ascii="Times New Roman" w:eastAsia="Times New Roman" w:hAnsi="Times New Roman" w:cs="Times New Roman" w:hint="cs"/>
          <w:kern w:val="0"/>
          <w:sz w:val="36"/>
          <w:szCs w:val="36"/>
          <w:lang w:eastAsia="en-GB"/>
          <w14:ligatures w14:val="none"/>
        </w:rPr>
        <w:t xml:space="preserve"> Agent, an Explainability Agent, and an Orchestrator Agent. Each agent operates autonomously within its defined scope while collaborating with other agents through structured data exchanges.</w:t>
      </w:r>
    </w:p>
    <w:p w14:paraId="4B7FBB86"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overall workflow begins with raw healthcare data ingestion and concludes with interpretable predictions and evaluation reports. The Orchestrator Agent coordinates the execution order, manages dependencies between agents, and monitors system performance. Figure placeholders can be used to illustrate the high-level architecture and data flow.</w:t>
      </w:r>
    </w:p>
    <w:p w14:paraId="7E49E083"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modular nature of the framework allows for flexibility in extending or replacing individual agents without requiring significant changes to the overall system. This characteristic is particularly relevant in healthcare settings, where data sources, regulatory requirements, and analytical objectives may evolve over time.</w:t>
      </w:r>
    </w:p>
    <w:p w14:paraId="733703D0"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32AC494B">
          <v:rect id="_x0000_i1051" alt="" style="width:451.3pt;height:.05pt;mso-width-percent:0;mso-height-percent:0;mso-width-percent:0;mso-height-percent:0" o:hralign="center" o:hrstd="t" o:hr="t" fillcolor="#a0a0a0" stroked="f"/>
        </w:pict>
      </w:r>
    </w:p>
    <w:p w14:paraId="209A36EE"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3.3 Data Agent</w:t>
      </w:r>
    </w:p>
    <w:p w14:paraId="5739FF62"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The Data Agent is responsible for ingesting, validating, and preprocessing raw healthcare datasets. Its primary objective is to transform heterogeneous and potentially noisy medical data into a clean, structured format suitable for downstream </w:t>
      </w:r>
      <w:proofErr w:type="spellStart"/>
      <w:r w:rsidRPr="00E9397B">
        <w:rPr>
          <w:rFonts w:ascii="Times New Roman" w:eastAsia="Times New Roman" w:hAnsi="Times New Roman" w:cs="Times New Roman" w:hint="cs"/>
          <w:kern w:val="0"/>
          <w:sz w:val="36"/>
          <w:szCs w:val="36"/>
          <w:lang w:eastAsia="en-GB"/>
          <w14:ligatures w14:val="none"/>
        </w:rPr>
        <w:t>modeling</w:t>
      </w:r>
      <w:proofErr w:type="spellEnd"/>
      <w:r w:rsidRPr="00E9397B">
        <w:rPr>
          <w:rFonts w:ascii="Times New Roman" w:eastAsia="Times New Roman" w:hAnsi="Times New Roman" w:cs="Times New Roman" w:hint="cs"/>
          <w:kern w:val="0"/>
          <w:sz w:val="36"/>
          <w:szCs w:val="36"/>
          <w:lang w:eastAsia="en-GB"/>
          <w14:ligatures w14:val="none"/>
        </w:rPr>
        <w:t xml:space="preserve"> and explainability tasks.</w:t>
      </w:r>
    </w:p>
    <w:p w14:paraId="670731E9"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Upon execution, the Data Agent retrieves publicly available healthcare datasets programmatically and stores them in a versioned raw data directory. Schema validation is performed to ensure consistency across datasets, and missing values are identified and handled using appropriate imputation strategies. </w:t>
      </w:r>
      <w:r w:rsidRPr="00E9397B">
        <w:rPr>
          <w:rFonts w:ascii="Times New Roman" w:eastAsia="Times New Roman" w:hAnsi="Times New Roman" w:cs="Times New Roman" w:hint="cs"/>
          <w:kern w:val="0"/>
          <w:sz w:val="36"/>
          <w:szCs w:val="36"/>
          <w:lang w:eastAsia="en-GB"/>
          <w14:ligatures w14:val="none"/>
        </w:rPr>
        <w:lastRenderedPageBreak/>
        <w:t>Categorical variables are encoded, and numerical features are scaled where necessary.</w:t>
      </w:r>
    </w:p>
    <w:p w14:paraId="1A129349"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In addition to preprocessing, the Data Agent generates descriptive statistics and metadata summaries, including feature distributions and class imbalance metrics. These artifacts provide transparency into the dataset characteristics and support informed interpretation of model </w:t>
      </w:r>
      <w:proofErr w:type="spellStart"/>
      <w:r w:rsidRPr="00E9397B">
        <w:rPr>
          <w:rFonts w:ascii="Times New Roman" w:eastAsia="Times New Roman" w:hAnsi="Times New Roman" w:cs="Times New Roman" w:hint="cs"/>
          <w:kern w:val="0"/>
          <w:sz w:val="36"/>
          <w:szCs w:val="36"/>
          <w:lang w:eastAsia="en-GB"/>
          <w14:ligatures w14:val="none"/>
        </w:rPr>
        <w:t>behavior</w:t>
      </w:r>
      <w:proofErr w:type="spellEnd"/>
      <w:r w:rsidRPr="00E9397B">
        <w:rPr>
          <w:rFonts w:ascii="Times New Roman" w:eastAsia="Times New Roman" w:hAnsi="Times New Roman" w:cs="Times New Roman" w:hint="cs"/>
          <w:kern w:val="0"/>
          <w:sz w:val="36"/>
          <w:szCs w:val="36"/>
          <w:lang w:eastAsia="en-GB"/>
          <w14:ligatures w14:val="none"/>
        </w:rPr>
        <w:t xml:space="preserve"> in later stages.</w:t>
      </w:r>
    </w:p>
    <w:p w14:paraId="55A9109D"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The outputs of the Data Agent include processed training, validation, and test splits, as well as a dataset report documenting preprocessing decisions. These outputs are passed to the </w:t>
      </w:r>
      <w:proofErr w:type="spellStart"/>
      <w:r w:rsidRPr="00E9397B">
        <w:rPr>
          <w:rFonts w:ascii="Times New Roman" w:eastAsia="Times New Roman" w:hAnsi="Times New Roman" w:cs="Times New Roman" w:hint="cs"/>
          <w:kern w:val="0"/>
          <w:sz w:val="36"/>
          <w:szCs w:val="36"/>
          <w:lang w:eastAsia="en-GB"/>
          <w14:ligatures w14:val="none"/>
        </w:rPr>
        <w:t>Modeling</w:t>
      </w:r>
      <w:proofErr w:type="spellEnd"/>
      <w:r w:rsidRPr="00E9397B">
        <w:rPr>
          <w:rFonts w:ascii="Times New Roman" w:eastAsia="Times New Roman" w:hAnsi="Times New Roman" w:cs="Times New Roman" w:hint="cs"/>
          <w:kern w:val="0"/>
          <w:sz w:val="36"/>
          <w:szCs w:val="36"/>
          <w:lang w:eastAsia="en-GB"/>
          <w14:ligatures w14:val="none"/>
        </w:rPr>
        <w:t xml:space="preserve"> Agent through structured artifacts.</w:t>
      </w:r>
    </w:p>
    <w:p w14:paraId="51EF409C"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168498CB">
          <v:rect id="_x0000_i1052" alt="" style="width:451.3pt;height:.05pt;mso-width-percent:0;mso-height-percent:0;mso-width-percent:0;mso-height-percent:0" o:hralign="center" o:hrstd="t" o:hr="t" fillcolor="#a0a0a0" stroked="f"/>
        </w:pict>
      </w:r>
    </w:p>
    <w:p w14:paraId="628E77E3"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 xml:space="preserve">3.4 </w:t>
      </w:r>
      <w:proofErr w:type="spellStart"/>
      <w:r w:rsidRPr="00E9397B">
        <w:rPr>
          <w:rFonts w:ascii="Times New Roman" w:eastAsia="Times New Roman" w:hAnsi="Times New Roman" w:cs="Times New Roman" w:hint="cs"/>
          <w:b/>
          <w:bCs/>
          <w:kern w:val="0"/>
          <w:sz w:val="36"/>
          <w:szCs w:val="36"/>
          <w:lang w:eastAsia="en-GB"/>
          <w14:ligatures w14:val="none"/>
        </w:rPr>
        <w:t>Modeling</w:t>
      </w:r>
      <w:proofErr w:type="spellEnd"/>
      <w:r w:rsidRPr="00E9397B">
        <w:rPr>
          <w:rFonts w:ascii="Times New Roman" w:eastAsia="Times New Roman" w:hAnsi="Times New Roman" w:cs="Times New Roman" w:hint="cs"/>
          <w:b/>
          <w:bCs/>
          <w:kern w:val="0"/>
          <w:sz w:val="36"/>
          <w:szCs w:val="36"/>
          <w:lang w:eastAsia="en-GB"/>
          <w14:ligatures w14:val="none"/>
        </w:rPr>
        <w:t xml:space="preserve"> Agent</w:t>
      </w:r>
    </w:p>
    <w:p w14:paraId="0E9A29CB"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The </w:t>
      </w:r>
      <w:proofErr w:type="spellStart"/>
      <w:r w:rsidRPr="00E9397B">
        <w:rPr>
          <w:rFonts w:ascii="Times New Roman" w:eastAsia="Times New Roman" w:hAnsi="Times New Roman" w:cs="Times New Roman" w:hint="cs"/>
          <w:kern w:val="0"/>
          <w:sz w:val="36"/>
          <w:szCs w:val="36"/>
          <w:lang w:eastAsia="en-GB"/>
          <w14:ligatures w14:val="none"/>
        </w:rPr>
        <w:t>Modeling</w:t>
      </w:r>
      <w:proofErr w:type="spellEnd"/>
      <w:r w:rsidRPr="00E9397B">
        <w:rPr>
          <w:rFonts w:ascii="Times New Roman" w:eastAsia="Times New Roman" w:hAnsi="Times New Roman" w:cs="Times New Roman" w:hint="cs"/>
          <w:kern w:val="0"/>
          <w:sz w:val="36"/>
          <w:szCs w:val="36"/>
          <w:lang w:eastAsia="en-GB"/>
          <w14:ligatures w14:val="none"/>
        </w:rPr>
        <w:t xml:space="preserve"> Agent is responsible for training and evaluating predictive models using the processed datasets provided by the Data Agent. The agent supports multiple machine learning algorithms commonly used in healthcare analytics, including logistic regression, ensemble-based methods, and gradient boosting techniques.</w:t>
      </w:r>
    </w:p>
    <w:p w14:paraId="4B41FA8E"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Model training is performed using standardized evaluation protocols to ensure fair comparison across algorithms. Hyperparameter tuning is conducted within predefined search spaces to balance performance and computational efficiency. The agent computes a range of predictive performance metrics, such as accuracy, precision, recall, and area under the receiver operating characteristic curve.</w:t>
      </w:r>
    </w:p>
    <w:p w14:paraId="3D360110"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lastRenderedPageBreak/>
        <w:t xml:space="preserve">Rather than selecting a single model a priori, the </w:t>
      </w:r>
      <w:proofErr w:type="spellStart"/>
      <w:r w:rsidRPr="00E9397B">
        <w:rPr>
          <w:rFonts w:ascii="Times New Roman" w:eastAsia="Times New Roman" w:hAnsi="Times New Roman" w:cs="Times New Roman" w:hint="cs"/>
          <w:kern w:val="0"/>
          <w:sz w:val="36"/>
          <w:szCs w:val="36"/>
          <w:lang w:eastAsia="en-GB"/>
          <w14:ligatures w14:val="none"/>
        </w:rPr>
        <w:t>Modeling</w:t>
      </w:r>
      <w:proofErr w:type="spellEnd"/>
      <w:r w:rsidRPr="00E9397B">
        <w:rPr>
          <w:rFonts w:ascii="Times New Roman" w:eastAsia="Times New Roman" w:hAnsi="Times New Roman" w:cs="Times New Roman" w:hint="cs"/>
          <w:kern w:val="0"/>
          <w:sz w:val="36"/>
          <w:szCs w:val="36"/>
          <w:lang w:eastAsia="en-GB"/>
          <w14:ligatures w14:val="none"/>
        </w:rPr>
        <w:t xml:space="preserve"> Agent identifies the best-performing model for each dataset based on validation performance. This selection process is explicitly documented, and all trained models and evaluation results are persisted as artifacts.</w:t>
      </w:r>
    </w:p>
    <w:p w14:paraId="5BD396BB"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The </w:t>
      </w:r>
      <w:proofErr w:type="spellStart"/>
      <w:r w:rsidRPr="00E9397B">
        <w:rPr>
          <w:rFonts w:ascii="Times New Roman" w:eastAsia="Times New Roman" w:hAnsi="Times New Roman" w:cs="Times New Roman" w:hint="cs"/>
          <w:kern w:val="0"/>
          <w:sz w:val="36"/>
          <w:szCs w:val="36"/>
          <w:lang w:eastAsia="en-GB"/>
          <w14:ligatures w14:val="none"/>
        </w:rPr>
        <w:t>Modeling</w:t>
      </w:r>
      <w:proofErr w:type="spellEnd"/>
      <w:r w:rsidRPr="00E9397B">
        <w:rPr>
          <w:rFonts w:ascii="Times New Roman" w:eastAsia="Times New Roman" w:hAnsi="Times New Roman" w:cs="Times New Roman" w:hint="cs"/>
          <w:kern w:val="0"/>
          <w:sz w:val="36"/>
          <w:szCs w:val="36"/>
          <w:lang w:eastAsia="en-GB"/>
          <w14:ligatures w14:val="none"/>
        </w:rPr>
        <w:t xml:space="preserve"> Agent outputs trained models, prediction results, performance metrics, and diagnostic plots. These outputs are subsequently consumed by the Explainability Agent and the evaluation modules.</w:t>
      </w:r>
    </w:p>
    <w:p w14:paraId="5F4A6E8E"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77E64F5A">
          <v:rect id="_x0000_i1053" alt="" style="width:451.3pt;height:.05pt;mso-width-percent:0;mso-height-percent:0;mso-width-percent:0;mso-height-percent:0" o:hralign="center" o:hrstd="t" o:hr="t" fillcolor="#a0a0a0" stroked="f"/>
        </w:pict>
      </w:r>
    </w:p>
    <w:p w14:paraId="458029A2"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3.5 Explainability Agent</w:t>
      </w:r>
    </w:p>
    <w:p w14:paraId="60CA02D7"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Explainability Agent is a central component of the proposed framework and is dedicated to generating interpretable explanations for model predictions. By assigning explanation generation to a distinct agent, the framework ensures that explainability is treated as an independent and auditable process.</w:t>
      </w:r>
    </w:p>
    <w:p w14:paraId="40DBEDE3"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The agent applies model-agnostic and model-specific explainability techniques, including SHAP and LIME, to produce both global and local explanations. Global explanations summarize overall model </w:t>
      </w:r>
      <w:proofErr w:type="spellStart"/>
      <w:r w:rsidRPr="00E9397B">
        <w:rPr>
          <w:rFonts w:ascii="Times New Roman" w:eastAsia="Times New Roman" w:hAnsi="Times New Roman" w:cs="Times New Roman" w:hint="cs"/>
          <w:kern w:val="0"/>
          <w:sz w:val="36"/>
          <w:szCs w:val="36"/>
          <w:lang w:eastAsia="en-GB"/>
          <w14:ligatures w14:val="none"/>
        </w:rPr>
        <w:t>behavior</w:t>
      </w:r>
      <w:proofErr w:type="spellEnd"/>
      <w:r w:rsidRPr="00E9397B">
        <w:rPr>
          <w:rFonts w:ascii="Times New Roman" w:eastAsia="Times New Roman" w:hAnsi="Times New Roman" w:cs="Times New Roman" w:hint="cs"/>
          <w:kern w:val="0"/>
          <w:sz w:val="36"/>
          <w:szCs w:val="36"/>
          <w:lang w:eastAsia="en-GB"/>
          <w14:ligatures w14:val="none"/>
        </w:rPr>
        <w:t>, such as feature importance rankings, while local explanations provide insights into individual predictions.</w:t>
      </w:r>
    </w:p>
    <w:p w14:paraId="5041FA00"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In addition to visual explanations, the Explainability Agent generates natural language summaries that translate technical explanation outputs into human-readable descriptions. These summaries are designed to align with clinical reasoning by emphasizing the most influential features and their directional impact on predictions.</w:t>
      </w:r>
    </w:p>
    <w:p w14:paraId="0E20B85B"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lastRenderedPageBreak/>
        <w:t>All explanation artifacts, including plots, structured data files, and textual explanations, are stored persistently and linked to the corresponding models and datasets. This design enables systematic evaluation of explanation quality and consistency.</w:t>
      </w:r>
    </w:p>
    <w:p w14:paraId="184D332F"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597F24F5">
          <v:rect id="_x0000_i1054" alt="" style="width:451.3pt;height:.05pt;mso-width-percent:0;mso-height-percent:0;mso-width-percent:0;mso-height-percent:0" o:hralign="center" o:hrstd="t" o:hr="t" fillcolor="#a0a0a0" stroked="f"/>
        </w:pict>
      </w:r>
    </w:p>
    <w:p w14:paraId="64B1476C"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3.6 Orchestrator Agent</w:t>
      </w:r>
    </w:p>
    <w:p w14:paraId="000DE0AA"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Orchestrator Agent coordinates the execution of the multi-agent workflow. It is responsible for managing agent dependencies, tracking execution status, and handling exceptions. By centralizing orchestration logic, the framework avoids tight coupling between agents and enables flexible execution strategies.</w:t>
      </w:r>
    </w:p>
    <w:p w14:paraId="2F7098D9"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Orchestrator records detailed logs of agent interactions, including execution time, data handover latency, and error events. These logs support the evaluation of collaboration efficiency, which is one of the key evaluation dimensions of this thesis.</w:t>
      </w:r>
    </w:p>
    <w:p w14:paraId="0DA4946E"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In the event of agent failures, the Orchestrator can halt execution gracefully and provide diagnostic information. This </w:t>
      </w:r>
      <w:proofErr w:type="spellStart"/>
      <w:r w:rsidRPr="00E9397B">
        <w:rPr>
          <w:rFonts w:ascii="Times New Roman" w:eastAsia="Times New Roman" w:hAnsi="Times New Roman" w:cs="Times New Roman" w:hint="cs"/>
          <w:kern w:val="0"/>
          <w:sz w:val="36"/>
          <w:szCs w:val="36"/>
          <w:lang w:eastAsia="en-GB"/>
          <w14:ligatures w14:val="none"/>
        </w:rPr>
        <w:t>behavior</w:t>
      </w:r>
      <w:proofErr w:type="spellEnd"/>
      <w:r w:rsidRPr="00E9397B">
        <w:rPr>
          <w:rFonts w:ascii="Times New Roman" w:eastAsia="Times New Roman" w:hAnsi="Times New Roman" w:cs="Times New Roman" w:hint="cs"/>
          <w:kern w:val="0"/>
          <w:sz w:val="36"/>
          <w:szCs w:val="36"/>
          <w:lang w:eastAsia="en-GB"/>
          <w14:ligatures w14:val="none"/>
        </w:rPr>
        <w:t xml:space="preserve"> is essential for maintaining robustness and transparency in complex analytical workflows.</w:t>
      </w:r>
    </w:p>
    <w:p w14:paraId="7DDEE7AB"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7DB9AF2E">
          <v:rect id="_x0000_i1055" alt="" style="width:451.3pt;height:.05pt;mso-width-percent:0;mso-height-percent:0;mso-width-percent:0;mso-height-percent:0" o:hralign="center" o:hrstd="t" o:hr="t" fillcolor="#a0a0a0" stroked="f"/>
        </w:pict>
      </w:r>
    </w:p>
    <w:p w14:paraId="6B6A95A9"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3.7 Baseline Single-Model Pipeline</w:t>
      </w:r>
    </w:p>
    <w:p w14:paraId="72FC6F0D"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To evaluate the effectiveness of the multi-agent approach, a baseline single-model pipeline is implemented for comparison. The baseline pipeline follows a traditional monolithic design in which data preprocessing, model </w:t>
      </w:r>
      <w:r w:rsidRPr="00E9397B">
        <w:rPr>
          <w:rFonts w:ascii="Times New Roman" w:eastAsia="Times New Roman" w:hAnsi="Times New Roman" w:cs="Times New Roman" w:hint="cs"/>
          <w:kern w:val="0"/>
          <w:sz w:val="36"/>
          <w:szCs w:val="36"/>
          <w:lang w:eastAsia="en-GB"/>
          <w14:ligatures w14:val="none"/>
        </w:rPr>
        <w:lastRenderedPageBreak/>
        <w:t>training, and explainability are performed sequentially within a single workflow.</w:t>
      </w:r>
    </w:p>
    <w:p w14:paraId="593D2CE6"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baseline uses the same datasets, preprocessing steps, and model configurations as the multi-agent system to ensure a fair comparison. Performance and explainability metrics generated by the baseline pipeline serve as reference points for assessing the benefits and trade-offs of agent-based collaboration.</w:t>
      </w:r>
    </w:p>
    <w:p w14:paraId="1AF0520B"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5782724B">
          <v:rect id="_x0000_i1056" alt="" style="width:451.3pt;height:.05pt;mso-width-percent:0;mso-height-percent:0;mso-width-percent:0;mso-height-percent:0" o:hralign="center" o:hrstd="t" o:hr="t" fillcolor="#a0a0a0" stroked="f"/>
        </w:pict>
      </w:r>
    </w:p>
    <w:p w14:paraId="10882559"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3.8 Data Flow and Artifact Management</w:t>
      </w:r>
    </w:p>
    <w:p w14:paraId="520D8765"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A key aspect of the proposed architecture is explicit artifact management. Each agent produces well-defined outputs that are persisted to disk and versioned by execution run. This approach enables reproducibility and supports post-hoc analysis of intermediate results.</w:t>
      </w:r>
    </w:p>
    <w:p w14:paraId="6C101324"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Artifacts include raw and processed datasets, trained models, prediction outputs, explanation files, and evaluation reports. The consistent organization of these artifacts facilitates integration with visualization tools and dashboards, as described in later chapters.</w:t>
      </w:r>
    </w:p>
    <w:p w14:paraId="3FBB4A08"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42678761">
          <v:rect id="_x0000_i1057" alt="" style="width:451.3pt;height:.05pt;mso-width-percent:0;mso-height-percent:0;mso-width-percent:0;mso-height-percent:0" o:hralign="center" o:hrstd="t" o:hr="t" fillcolor="#a0a0a0" stroked="f"/>
        </w:pict>
      </w:r>
    </w:p>
    <w:p w14:paraId="0F13FBC9"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3.9 Summary</w:t>
      </w:r>
    </w:p>
    <w:p w14:paraId="0CAF108F"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This chapter has presented the design and architecture of the proposed multi-agent AI framework for explainable healthcare analytics. By decomposing the analytical workflow into specialized agents and embedding explainability directly into the system design, the framework addresses key limitations of traditional monolithic pipelines.</w:t>
      </w:r>
    </w:p>
    <w:p w14:paraId="331AFCD1"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lastRenderedPageBreak/>
        <w:t>The next chapter describes the implementation details of the proposed system, including dataset selection, algorithm choices, and technical considerations.</w:t>
      </w:r>
    </w:p>
    <w:p w14:paraId="6F98760F"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4. Implementation</w:t>
      </w:r>
    </w:p>
    <w:p w14:paraId="46F61B1B"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This chapter describes the technical implementation of the proposed multi-agent explainable healthcare analytics framework. The objective of this chapter is to provide sufficient detail to ensure reproducibility while maintaining a level of abstraction appropriate for an academic thesis. Implementation decisions are justified in the context of the design principles outlined in Chapter 3.</w:t>
      </w:r>
    </w:p>
    <w:p w14:paraId="6A7AA5CF"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chapter is structured as follows. First, the datasets used for experimentation are introduced, followed by a description of the software stack and project structure. Subsequently, the implementation details of each agent are presented. The chapter concludes with a discussion of system integration, reproducibility measures, and practical considerations.</w:t>
      </w:r>
    </w:p>
    <w:p w14:paraId="7E37EF94"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2103C8C1">
          <v:rect id="_x0000_i1067" alt="" style="width:451.3pt;height:.05pt;mso-width-percent:0;mso-height-percent:0;mso-width-percent:0;mso-height-percent:0" o:hralign="center" o:hrstd="t" o:hr="t" fillcolor="#a0a0a0" stroked="f"/>
        </w:pict>
      </w:r>
    </w:p>
    <w:p w14:paraId="42EF0ADC"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4.1 Dataset Selection and Acquisition</w:t>
      </w:r>
    </w:p>
    <w:p w14:paraId="67806AC4"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To evaluate the proposed framework, publicly available healthcare datasets were selected based on three criteria: relevance to clinical decision-making, availability of ground-truth labels, and suitability for explainability analysis. Priority was given to structured clinical datasets, as they allow for clearer interpretation of feature contributions and align well with widely used explainability techniques.</w:t>
      </w:r>
    </w:p>
    <w:p w14:paraId="448CE108"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The primary datasets used in this thesis include a heart disease dataset and a diabetes-related dataset obtained from </w:t>
      </w:r>
      <w:r w:rsidRPr="00E9397B">
        <w:rPr>
          <w:rFonts w:ascii="Times New Roman" w:eastAsia="Times New Roman" w:hAnsi="Times New Roman" w:cs="Times New Roman" w:hint="cs"/>
          <w:kern w:val="0"/>
          <w:sz w:val="36"/>
          <w:szCs w:val="36"/>
          <w:lang w:eastAsia="en-GB"/>
          <w14:ligatures w14:val="none"/>
        </w:rPr>
        <w:lastRenderedPageBreak/>
        <w:t>established public repositories. These datasets contain patient-level clinical attributes such as age, physiological measurements, and laboratory indicators, along with binary outcome labels representing disease presence or risk.</w:t>
      </w:r>
    </w:p>
    <w:p w14:paraId="6BA1C519"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All datasets are downloaded programmatically during pipeline execution to ensure reproducibility and eliminate manual intervention. Raw datasets are stored in a dedicated directory structure, preserving original formats and metadata. This approach enables traceability and supports potential reprocessing if preprocessing strategies are revised.</w:t>
      </w:r>
    </w:p>
    <w:p w14:paraId="38133E14"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pict w14:anchorId="29396410">
          <v:rect id="_x0000_i1068" style="width:0;height:1.5pt" o:hralign="center" o:hrstd="t" o:hr="t" fillcolor="#a0a0a0" stroked="f"/>
        </w:pict>
      </w:r>
    </w:p>
    <w:p w14:paraId="5541519E"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4.2 Software Stack and Development Environment</w:t>
      </w:r>
    </w:p>
    <w:p w14:paraId="45E4F7C2"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framework is implemented in Python, selected for its extensive ecosystem of machine learning, data processing, and explainability libraries. Core dependencies include libraries for data manipulation, model training, and visualization, as well as specialized packages for explainable artificial intelligence.</w:t>
      </w:r>
    </w:p>
    <w:p w14:paraId="7C01B3C0"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The system is designed to be platform-independent and can be executed on standard computing hardware without the need for specialized accelerators. Deterministic </w:t>
      </w:r>
      <w:proofErr w:type="spellStart"/>
      <w:r w:rsidRPr="00E9397B">
        <w:rPr>
          <w:rFonts w:ascii="Times New Roman" w:eastAsia="Times New Roman" w:hAnsi="Times New Roman" w:cs="Times New Roman" w:hint="cs"/>
          <w:kern w:val="0"/>
          <w:sz w:val="36"/>
          <w:szCs w:val="36"/>
          <w:lang w:eastAsia="en-GB"/>
          <w14:ligatures w14:val="none"/>
        </w:rPr>
        <w:t>behavior</w:t>
      </w:r>
      <w:proofErr w:type="spellEnd"/>
      <w:r w:rsidRPr="00E9397B">
        <w:rPr>
          <w:rFonts w:ascii="Times New Roman" w:eastAsia="Times New Roman" w:hAnsi="Times New Roman" w:cs="Times New Roman" w:hint="cs"/>
          <w:kern w:val="0"/>
          <w:sz w:val="36"/>
          <w:szCs w:val="36"/>
          <w:lang w:eastAsia="en-GB"/>
          <w14:ligatures w14:val="none"/>
        </w:rPr>
        <w:t xml:space="preserve"> is enforced where possible by fixing random seeds across libraries, enabling consistent experimental results across multiple runs.</w:t>
      </w:r>
    </w:p>
    <w:p w14:paraId="6859CAA1"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Version control is employed throughout development, and the project is organized using a modular directory structure that mirrors the conceptual separation of agents described in Chapter 3. This structure facilitates maintainability and aligns </w:t>
      </w:r>
      <w:r w:rsidRPr="00E9397B">
        <w:rPr>
          <w:rFonts w:ascii="Times New Roman" w:eastAsia="Times New Roman" w:hAnsi="Times New Roman" w:cs="Times New Roman" w:hint="cs"/>
          <w:kern w:val="0"/>
          <w:sz w:val="36"/>
          <w:szCs w:val="36"/>
          <w:lang w:eastAsia="en-GB"/>
          <w14:ligatures w14:val="none"/>
        </w:rPr>
        <w:lastRenderedPageBreak/>
        <w:t>implementation artifacts with the logical architecture of the framework.</w:t>
      </w:r>
    </w:p>
    <w:p w14:paraId="57BF6252"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pict w14:anchorId="19C08C63">
          <v:rect id="_x0000_i1069" style="width:0;height:1.5pt" o:hralign="center" o:hrstd="t" o:hr="t" fillcolor="#a0a0a0" stroked="f"/>
        </w:pict>
      </w:r>
    </w:p>
    <w:p w14:paraId="642BC9D7"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4.3 Project Structure and Execution Flow</w:t>
      </w:r>
    </w:p>
    <w:p w14:paraId="7EEB2614"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implementation follows a clearly defined directory structure separating data, agents, evaluation modules, and visualization components. Raw and processed datasets are stored separately to avoid ambiguity and to support transparent data lineage tracking.</w:t>
      </w:r>
    </w:p>
    <w:p w14:paraId="1E20B977"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execution flow of the system is orchestrated through a single entry point, which initializes the Orchestrator Agent and triggers the execution of all other agents in the correct order. Each execution is assigned a unique run identifier, and all generated artifacts are stored under a run-specific directory. This design enables direct comparison between experimental runs and simplifies result management.</w:t>
      </w:r>
    </w:p>
    <w:p w14:paraId="6877C8CB"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pict w14:anchorId="0AD66BE3">
          <v:rect id="_x0000_i1070" style="width:0;height:1.5pt" o:hralign="center" o:hrstd="t" o:hr="t" fillcolor="#a0a0a0" stroked="f"/>
        </w:pict>
      </w:r>
    </w:p>
    <w:p w14:paraId="565F0749"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4.4 Implementation of the Data Agent</w:t>
      </w:r>
    </w:p>
    <w:p w14:paraId="16A758CF"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Data Agent is implemented as an autonomous component responsible for transforming raw healthcare data into analytics-ready datasets. Upon invocation, the agent first validates the structure of the input data, checking for missing values, inconsistent data types, and unexpected label distributions.</w:t>
      </w:r>
    </w:p>
    <w:p w14:paraId="2D06B625"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Missing values are handled using strategies appropriate to the data type and distribution. Numerical features are imputed using central tendency measures, while categorical variables are encoded using deterministic encoding schemes. Feature </w:t>
      </w:r>
      <w:r w:rsidRPr="00E9397B">
        <w:rPr>
          <w:rFonts w:ascii="Times New Roman" w:eastAsia="Times New Roman" w:hAnsi="Times New Roman" w:cs="Times New Roman" w:hint="cs"/>
          <w:kern w:val="0"/>
          <w:sz w:val="36"/>
          <w:szCs w:val="36"/>
          <w:lang w:eastAsia="en-GB"/>
          <w14:ligatures w14:val="none"/>
        </w:rPr>
        <w:lastRenderedPageBreak/>
        <w:t>scaling is applied to numerical attributes where required to ensure compatibility with downstream models.</w:t>
      </w:r>
    </w:p>
    <w:p w14:paraId="75868513"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agent then performs stratified splitting of the dataset into training, validation, and test sets. This step is critical for preserving class balance and ensuring that evaluation metrics are representative of real-world performance. In addition to processed datasets, the Data Agent produces descriptive statistics and summary reports documenting preprocessing decisions.</w:t>
      </w:r>
    </w:p>
    <w:p w14:paraId="44AC2FB9"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5EF5A699">
          <v:rect id="_x0000_i1071" alt="" style="width:451.3pt;height:.05pt;mso-width-percent:0;mso-height-percent:0;mso-width-percent:0;mso-height-percent:0" o:hralign="center" o:hrstd="t" o:hr="t" fillcolor="#a0a0a0" stroked="f"/>
        </w:pict>
      </w:r>
    </w:p>
    <w:p w14:paraId="1CAFB5C9"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 xml:space="preserve">4.5 Implementation of the </w:t>
      </w:r>
      <w:proofErr w:type="spellStart"/>
      <w:r w:rsidRPr="00E9397B">
        <w:rPr>
          <w:rFonts w:ascii="Times New Roman" w:eastAsia="Times New Roman" w:hAnsi="Times New Roman" w:cs="Times New Roman" w:hint="cs"/>
          <w:b/>
          <w:bCs/>
          <w:kern w:val="0"/>
          <w:sz w:val="36"/>
          <w:szCs w:val="36"/>
          <w:lang w:eastAsia="en-GB"/>
          <w14:ligatures w14:val="none"/>
        </w:rPr>
        <w:t>Modeling</w:t>
      </w:r>
      <w:proofErr w:type="spellEnd"/>
      <w:r w:rsidRPr="00E9397B">
        <w:rPr>
          <w:rFonts w:ascii="Times New Roman" w:eastAsia="Times New Roman" w:hAnsi="Times New Roman" w:cs="Times New Roman" w:hint="cs"/>
          <w:b/>
          <w:bCs/>
          <w:kern w:val="0"/>
          <w:sz w:val="36"/>
          <w:szCs w:val="36"/>
          <w:lang w:eastAsia="en-GB"/>
          <w14:ligatures w14:val="none"/>
        </w:rPr>
        <w:t xml:space="preserve"> Agent</w:t>
      </w:r>
    </w:p>
    <w:p w14:paraId="1BDD90E0"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The </w:t>
      </w:r>
      <w:proofErr w:type="spellStart"/>
      <w:r w:rsidRPr="00E9397B">
        <w:rPr>
          <w:rFonts w:ascii="Times New Roman" w:eastAsia="Times New Roman" w:hAnsi="Times New Roman" w:cs="Times New Roman" w:hint="cs"/>
          <w:kern w:val="0"/>
          <w:sz w:val="36"/>
          <w:szCs w:val="36"/>
          <w:lang w:eastAsia="en-GB"/>
          <w14:ligatures w14:val="none"/>
        </w:rPr>
        <w:t>Modeling</w:t>
      </w:r>
      <w:proofErr w:type="spellEnd"/>
      <w:r w:rsidRPr="00E9397B">
        <w:rPr>
          <w:rFonts w:ascii="Times New Roman" w:eastAsia="Times New Roman" w:hAnsi="Times New Roman" w:cs="Times New Roman" w:hint="cs"/>
          <w:kern w:val="0"/>
          <w:sz w:val="36"/>
          <w:szCs w:val="36"/>
          <w:lang w:eastAsia="en-GB"/>
          <w14:ligatures w14:val="none"/>
        </w:rPr>
        <w:t xml:space="preserve"> Agent is responsible for training and evaluating predictive models using the datasets prepared by the Data Agent. The agent supports multiple model families to capture different inductive biases and levels of complexity.</w:t>
      </w:r>
    </w:p>
    <w:p w14:paraId="1E0BA556"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Model training follows a standardized pipeline, including initialization, fitting, and evaluation on validation data. Hyperparameter tuning is performed within constrained search spaces to balance model performance and computational cost. Performance metrics are computed consistently across models to enable fair comparison.</w:t>
      </w:r>
    </w:p>
    <w:p w14:paraId="3FD2A46A"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Rather than discarding non-optimal models, the </w:t>
      </w:r>
      <w:proofErr w:type="spellStart"/>
      <w:r w:rsidRPr="00E9397B">
        <w:rPr>
          <w:rFonts w:ascii="Times New Roman" w:eastAsia="Times New Roman" w:hAnsi="Times New Roman" w:cs="Times New Roman" w:hint="cs"/>
          <w:kern w:val="0"/>
          <w:sz w:val="36"/>
          <w:szCs w:val="36"/>
          <w:lang w:eastAsia="en-GB"/>
          <w14:ligatures w14:val="none"/>
        </w:rPr>
        <w:t>Modeling</w:t>
      </w:r>
      <w:proofErr w:type="spellEnd"/>
      <w:r w:rsidRPr="00E9397B">
        <w:rPr>
          <w:rFonts w:ascii="Times New Roman" w:eastAsia="Times New Roman" w:hAnsi="Times New Roman" w:cs="Times New Roman" w:hint="cs"/>
          <w:kern w:val="0"/>
          <w:sz w:val="36"/>
          <w:szCs w:val="36"/>
          <w:lang w:eastAsia="en-GB"/>
          <w14:ligatures w14:val="none"/>
        </w:rPr>
        <w:t xml:space="preserve"> Agent retains all trained models and their corresponding metrics. This decision supports later analysis of performance trade-offs and enables explainability comparisons across different model types.</w:t>
      </w:r>
    </w:p>
    <w:p w14:paraId="0EFA5DFD"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11053232">
          <v:rect id="_x0000_i1072" alt="" style="width:451.3pt;height:.05pt;mso-width-percent:0;mso-height-percent:0;mso-width-percent:0;mso-height-percent:0" o:hralign="center" o:hrstd="t" o:hr="t" fillcolor="#a0a0a0" stroked="f"/>
        </w:pict>
      </w:r>
    </w:p>
    <w:p w14:paraId="35F46078"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4.6 Implementation of the Explainability Agent</w:t>
      </w:r>
    </w:p>
    <w:p w14:paraId="7B259FDA"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lastRenderedPageBreak/>
        <w:t xml:space="preserve">The Explainability Agent is implemented as a standalone module responsible for generating and validating model explanations. The agent interfaces with trained models and prediction outputs produced by the </w:t>
      </w:r>
      <w:proofErr w:type="spellStart"/>
      <w:r w:rsidRPr="00E9397B">
        <w:rPr>
          <w:rFonts w:ascii="Times New Roman" w:eastAsia="Times New Roman" w:hAnsi="Times New Roman" w:cs="Times New Roman" w:hint="cs"/>
          <w:kern w:val="0"/>
          <w:sz w:val="36"/>
          <w:szCs w:val="36"/>
          <w:lang w:eastAsia="en-GB"/>
          <w14:ligatures w14:val="none"/>
        </w:rPr>
        <w:t>Modeling</w:t>
      </w:r>
      <w:proofErr w:type="spellEnd"/>
      <w:r w:rsidRPr="00E9397B">
        <w:rPr>
          <w:rFonts w:ascii="Times New Roman" w:eastAsia="Times New Roman" w:hAnsi="Times New Roman" w:cs="Times New Roman" w:hint="cs"/>
          <w:kern w:val="0"/>
          <w:sz w:val="36"/>
          <w:szCs w:val="36"/>
          <w:lang w:eastAsia="en-GB"/>
          <w14:ligatures w14:val="none"/>
        </w:rPr>
        <w:t xml:space="preserve"> Agent.</w:t>
      </w:r>
    </w:p>
    <w:p w14:paraId="6D725A3D"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For global explainability, feature attribution methods are applied to quantify the relative importance of input variables across the dataset. Local explainability is achieved by generating instance-level explanations for selected predictions, providing insights into individual decision pathways.</w:t>
      </w:r>
    </w:p>
    <w:p w14:paraId="56FCD384"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To improve accessibility, the Explainability Agent also generates textual explanations that summarize key factors influencing predictions. These natural language explanations are derived from structured explanation outputs and follow predefined templates to ensure consistency and clarity.</w:t>
      </w:r>
    </w:p>
    <w:p w14:paraId="3C4B4472"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All explanation artifacts are persisted to disk in both human-readable and machine-readable formats, enabling downstream visualization and evaluation.</w:t>
      </w:r>
    </w:p>
    <w:p w14:paraId="2E8DACEC"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0F637040">
          <v:rect id="_x0000_i1073" alt="" style="width:451.3pt;height:.05pt;mso-width-percent:0;mso-height-percent:0;mso-width-percent:0;mso-height-percent:0" o:hralign="center" o:hrstd="t" o:hr="t" fillcolor="#a0a0a0" stroked="f"/>
        </w:pict>
      </w:r>
    </w:p>
    <w:p w14:paraId="0C2F959B"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4.7 Orchestration and Inter-Agent Communication</w:t>
      </w:r>
    </w:p>
    <w:p w14:paraId="188B13CF"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Orchestrator Agent manages the execution order and coordination of all agents. It ensures that dependencies between agents are respected and that outputs from one agent are correctly passed to the next.</w:t>
      </w:r>
    </w:p>
    <w:p w14:paraId="2A839E07"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Execution metadata, including start and end times for each agent, is recorded to support collaboration efficiency analysis. Error handling mechanisms are implemented to ensure </w:t>
      </w:r>
      <w:r w:rsidRPr="00E9397B">
        <w:rPr>
          <w:rFonts w:ascii="Times New Roman" w:eastAsia="Times New Roman" w:hAnsi="Times New Roman" w:cs="Times New Roman" w:hint="cs"/>
          <w:kern w:val="0"/>
          <w:sz w:val="36"/>
          <w:szCs w:val="36"/>
          <w:lang w:eastAsia="en-GB"/>
          <w14:ligatures w14:val="none"/>
        </w:rPr>
        <w:lastRenderedPageBreak/>
        <w:t>graceful failure and diagnostic reporting in the event of unexpected issues.</w:t>
      </w:r>
    </w:p>
    <w:p w14:paraId="1652445E"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explicit orchestration layer distinguishes the proposed framework from traditional pipelines, as it enables systematic analysis of agent interactions and performance.</w:t>
      </w:r>
    </w:p>
    <w:p w14:paraId="6D158B1C"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74D5F0AF">
          <v:rect id="_x0000_i1074" alt="" style="width:451.3pt;height:.05pt;mso-width-percent:0;mso-height-percent:0;mso-width-percent:0;mso-height-percent:0" o:hralign="center" o:hrstd="t" o:hr="t" fillcolor="#a0a0a0" stroked="f"/>
        </w:pict>
      </w:r>
    </w:p>
    <w:p w14:paraId="6E869D84"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4.8 Baseline Pipeline Implementation</w:t>
      </w:r>
    </w:p>
    <w:p w14:paraId="3D55C3D2"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For benchmarking purposes, a baseline single-model pipeline is implemented using the same datasets and preprocessing steps as the multi-agent system. Unlike the agent-based framework, the baseline executes all tasks sequentially within a single workflow.</w:t>
      </w:r>
    </w:p>
    <w:p w14:paraId="1E46144D"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This pipeline serves as a reference point for evaluating the impact of agent-based decomposition on predictive performance, explainability quality, and execution efficiency. By controlling for data and model configurations, differences in outcomes can be attributed more confidently to architectural choices.</w:t>
      </w:r>
    </w:p>
    <w:p w14:paraId="01858C9E"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4E7F5492">
          <v:rect id="_x0000_i1075" alt="" style="width:451.3pt;height:.05pt;mso-width-percent:0;mso-height-percent:0;mso-width-percent:0;mso-height-percent:0" o:hralign="center" o:hrstd="t" o:hr="t" fillcolor="#a0a0a0" stroked="f"/>
        </w:pict>
      </w:r>
    </w:p>
    <w:p w14:paraId="7B70372D"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4.9 Reproducibility and Logging</w:t>
      </w:r>
    </w:p>
    <w:p w14:paraId="1B01B8E1"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Reproducibility is a central concern in healthcare analytics research. To address this, the framework incorporates comprehensive logging and artifact management. All intermediate and final outputs are versioned and stored with associated metadata, including configuration parameters and execution timestamps.</w:t>
      </w:r>
    </w:p>
    <w:p w14:paraId="2C1E5499"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lastRenderedPageBreak/>
        <w:t>Logs capture both functional events, such as agent execution, and performance-related metrics, such as execution time. This information supports post-hoc analysis and contributes to the evaluation of collaboration efficiency.</w:t>
      </w:r>
    </w:p>
    <w:p w14:paraId="22A048A7"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05DC4D91">
          <v:rect id="_x0000_i1076" alt="" style="width:451.3pt;height:.05pt;mso-width-percent:0;mso-height-percent:0;mso-width-percent:0;mso-height-percent:0" o:hralign="center" o:hrstd="t" o:hr="t" fillcolor="#a0a0a0" stroked="f"/>
        </w:pict>
      </w:r>
    </w:p>
    <w:p w14:paraId="7A0FE4B0"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4.10 Summary</w:t>
      </w:r>
    </w:p>
    <w:p w14:paraId="4EC532B7"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This chapter has detailed the implementation of the proposed multi-agent explainable healthcare analytics framework. By aligning technical decisions with the design principles outlined earlier, the implementation supports transparency, reproducibility, and explainability.</w:t>
      </w:r>
    </w:p>
    <w:p w14:paraId="7E377D34"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next chapter presents the experimental setup and evaluation methodology used to assess the performance of the proposed system.</w:t>
      </w:r>
    </w:p>
    <w:p w14:paraId="21538EDE" w14:textId="77777777" w:rsidR="00E9397B" w:rsidRPr="00E9397B" w:rsidRDefault="00E9397B" w:rsidP="00E9397B">
      <w:pPr>
        <w:spacing w:before="100" w:beforeAutospacing="1" w:after="100" w:afterAutospacing="1"/>
        <w:outlineLvl w:val="0"/>
        <w:rPr>
          <w:rFonts w:ascii="Times New Roman" w:eastAsia="Times New Roman" w:hAnsi="Times New Roman" w:cs="Times New Roman" w:hint="cs"/>
          <w:b/>
          <w:bCs/>
          <w:kern w:val="36"/>
          <w:sz w:val="36"/>
          <w:szCs w:val="36"/>
          <w:lang w:eastAsia="en-GB"/>
          <w14:ligatures w14:val="none"/>
        </w:rPr>
      </w:pPr>
      <w:r w:rsidRPr="00E9397B">
        <w:rPr>
          <w:rFonts w:ascii="Times New Roman" w:eastAsia="Times New Roman" w:hAnsi="Times New Roman" w:cs="Times New Roman" w:hint="cs"/>
          <w:b/>
          <w:bCs/>
          <w:kern w:val="36"/>
          <w:sz w:val="36"/>
          <w:szCs w:val="36"/>
          <w:lang w:eastAsia="en-GB"/>
          <w14:ligatures w14:val="none"/>
        </w:rPr>
        <w:t>5. Experimental Setup and Evaluation Methodology</w:t>
      </w:r>
    </w:p>
    <w:p w14:paraId="1D9C9F36"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This chapter describes the experimental design and evaluation methodology used to assess the proposed multi-agent explainable healthcare analytics framework. The evaluation strategy is designed to address the research question by systematically comparing the proposed approach against a traditional single-model baseline across multiple dimensions.</w:t>
      </w:r>
    </w:p>
    <w:p w14:paraId="1C9495D0"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experiments aim to evaluate not only predictive performance but also explainability quality and system-level collaboration efficiency. This multi-dimensional evaluation reflects the high-stakes nature of healthcare applications, where accuracy alone is insufficient to justify model adoption.</w:t>
      </w:r>
    </w:p>
    <w:p w14:paraId="0B441313"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1FF556DE">
          <v:rect id="_x0000_i1087" alt="" style="width:451.3pt;height:.05pt;mso-width-percent:0;mso-height-percent:0;mso-width-percent:0;mso-height-percent:0" o:hralign="center" o:hrstd="t" o:hr="t" fillcolor="#a0a0a0" stroked="f"/>
        </w:pict>
      </w:r>
    </w:p>
    <w:p w14:paraId="4D9C7075"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lastRenderedPageBreak/>
        <w:t>5.1 Experimental Objectives</w:t>
      </w:r>
    </w:p>
    <w:p w14:paraId="059306F5"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The primary objectives of the experimental evaluation are threefold. First, the experiments assess whether the multi-agent framework can achieve predictive performance comparable to or better than traditional monolithic pipelines. Second, the quality and usefulness of explanations generated by the system are evaluated. Third, the efficiency of agent collaboration is </w:t>
      </w:r>
      <w:proofErr w:type="spellStart"/>
      <w:r w:rsidRPr="00E9397B">
        <w:rPr>
          <w:rFonts w:ascii="Times New Roman" w:eastAsia="Times New Roman" w:hAnsi="Times New Roman" w:cs="Times New Roman" w:hint="cs"/>
          <w:kern w:val="0"/>
          <w:sz w:val="36"/>
          <w:szCs w:val="36"/>
          <w:lang w:eastAsia="en-GB"/>
          <w14:ligatures w14:val="none"/>
        </w:rPr>
        <w:t>analyzed</w:t>
      </w:r>
      <w:proofErr w:type="spellEnd"/>
      <w:r w:rsidRPr="00E9397B">
        <w:rPr>
          <w:rFonts w:ascii="Times New Roman" w:eastAsia="Times New Roman" w:hAnsi="Times New Roman" w:cs="Times New Roman" w:hint="cs"/>
          <w:kern w:val="0"/>
          <w:sz w:val="36"/>
          <w:szCs w:val="36"/>
          <w:lang w:eastAsia="en-GB"/>
          <w14:ligatures w14:val="none"/>
        </w:rPr>
        <w:t xml:space="preserve"> to understand the operational trade-offs introduced by agent-based decomposition.</w:t>
      </w:r>
    </w:p>
    <w:p w14:paraId="747E9F4C"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These objectives align directly with the research question and the contributions outlined in Chapter 1.</w:t>
      </w:r>
    </w:p>
    <w:p w14:paraId="38B20C96"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pict w14:anchorId="22124556">
          <v:rect id="_x0000_i1088" style="width:0;height:1.5pt" o:hralign="center" o:hrstd="t" o:hr="t" fillcolor="#a0a0a0" stroked="f"/>
        </w:pict>
      </w:r>
    </w:p>
    <w:p w14:paraId="2199B893"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5.2 Datasets and Experimental Protocol</w:t>
      </w:r>
    </w:p>
    <w:p w14:paraId="214AB054"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All experiments are conducted using the healthcare datasets introduced in Chapter 4. For each dataset, consistent preprocessing steps and train–validation–test splits are applied across both the multi-agent system and the baseline pipeline to ensure fairness.</w:t>
      </w:r>
    </w:p>
    <w:p w14:paraId="495B4096"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Experiments are repeated across multiple runs with fixed random seeds to minimize variance due to stochastic effects. Model selection is performed using validation data, while final performance metrics are computed on held-out test sets.</w:t>
      </w:r>
    </w:p>
    <w:p w14:paraId="4CC98B90"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pict w14:anchorId="31FAC10B">
          <v:rect id="_x0000_i1089" style="width:0;height:1.5pt" o:hralign="center" o:hrstd="t" o:hr="t" fillcolor="#a0a0a0" stroked="f"/>
        </w:pict>
      </w:r>
    </w:p>
    <w:p w14:paraId="6AFC01AE"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5.3 Evaluation Metrics</w:t>
      </w:r>
    </w:p>
    <w:p w14:paraId="60D95F67" w14:textId="77777777" w:rsidR="00E9397B" w:rsidRPr="00E9397B" w:rsidRDefault="00E9397B" w:rsidP="00E9397B">
      <w:pPr>
        <w:spacing w:before="100" w:beforeAutospacing="1" w:after="100" w:afterAutospacing="1"/>
        <w:outlineLvl w:val="2"/>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5.3.1 Predictive Performance Metrics</w:t>
      </w:r>
    </w:p>
    <w:p w14:paraId="0E2DE18A"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lastRenderedPageBreak/>
        <w:t xml:space="preserve">Predictive performance is evaluated using standard classification metrics, including accuracy, precision, recall, F1-score, and area under the receiver operating characteristic curve. These metrics provide complementary perspectives on model </w:t>
      </w:r>
      <w:proofErr w:type="spellStart"/>
      <w:r w:rsidRPr="00E9397B">
        <w:rPr>
          <w:rFonts w:ascii="Times New Roman" w:eastAsia="Times New Roman" w:hAnsi="Times New Roman" w:cs="Times New Roman" w:hint="cs"/>
          <w:kern w:val="0"/>
          <w:sz w:val="36"/>
          <w:szCs w:val="36"/>
          <w:lang w:eastAsia="en-GB"/>
          <w14:ligatures w14:val="none"/>
        </w:rPr>
        <w:t>behavior</w:t>
      </w:r>
      <w:proofErr w:type="spellEnd"/>
      <w:r w:rsidRPr="00E9397B">
        <w:rPr>
          <w:rFonts w:ascii="Times New Roman" w:eastAsia="Times New Roman" w:hAnsi="Times New Roman" w:cs="Times New Roman" w:hint="cs"/>
          <w:kern w:val="0"/>
          <w:sz w:val="36"/>
          <w:szCs w:val="36"/>
          <w:lang w:eastAsia="en-GB"/>
          <w14:ligatures w14:val="none"/>
        </w:rPr>
        <w:t>, particularly in the presence of class imbalance.</w:t>
      </w:r>
    </w:p>
    <w:p w14:paraId="11322CEC" w14:textId="77777777" w:rsidR="00E9397B" w:rsidRPr="00E9397B" w:rsidRDefault="00E9397B" w:rsidP="00E9397B">
      <w:pPr>
        <w:spacing w:before="100" w:beforeAutospacing="1" w:after="100" w:afterAutospacing="1"/>
        <w:outlineLvl w:val="2"/>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5.3.2 Explainability Quality Metrics</w:t>
      </w:r>
    </w:p>
    <w:p w14:paraId="4CF21FA4"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Explainability quality is assessed using a combination of quantitative and qualitative measures. Quantitative measures include the stability of feature importance rankings across multiple explanation runs and basic fidelity checks based on feature perturbation. Qualitative assessment focuses on the clarity and interpretability of generated explanations, particularly the natural language summaries.</w:t>
      </w:r>
    </w:p>
    <w:p w14:paraId="7FB4C279" w14:textId="77777777" w:rsidR="00E9397B" w:rsidRPr="00E9397B" w:rsidRDefault="00E9397B" w:rsidP="00E9397B">
      <w:pPr>
        <w:spacing w:before="100" w:beforeAutospacing="1" w:after="100" w:afterAutospacing="1"/>
        <w:outlineLvl w:val="2"/>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5.3.3 Collaboration Efficiency Metrics</w:t>
      </w:r>
    </w:p>
    <w:p w14:paraId="54958B60"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Collaboration efficiency is evaluated by measuring agent execution time, data handover latency, and error frequency. These metrics provide insight into the computational overhead introduced by the multi-agent architecture and inform trade-off analysis.</w:t>
      </w:r>
    </w:p>
    <w:p w14:paraId="0810BF9D"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pict w14:anchorId="7BCCA3CD">
          <v:rect id="_x0000_i1090" style="width:0;height:1.5pt" o:hralign="center" o:hrstd="t" o:hr="t" fillcolor="#a0a0a0" stroked="f"/>
        </w:pict>
      </w:r>
    </w:p>
    <w:p w14:paraId="0593A66E"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5.4 Baseline Comparison Strategy</w:t>
      </w:r>
    </w:p>
    <w:p w14:paraId="0C648CE0"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baseline single-model pipeline serves as a reference point for all evaluations. By controlling for datasets, preprocessing steps, and model families, observed differences in performance and explainability can be attributed primarily to architectural design choices.</w:t>
      </w:r>
    </w:p>
    <w:p w14:paraId="087D28B9"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pict w14:anchorId="74B4E362">
          <v:rect id="_x0000_i1091" style="width:0;height:1.5pt" o:hralign="center" o:hrstd="t" o:hr="t" fillcolor="#a0a0a0" stroked="f"/>
        </w:pict>
      </w:r>
    </w:p>
    <w:p w14:paraId="448FEF4A" w14:textId="77777777" w:rsidR="00E9397B" w:rsidRPr="00E9397B" w:rsidRDefault="00E9397B" w:rsidP="00E9397B">
      <w:pPr>
        <w:spacing w:before="100" w:beforeAutospacing="1" w:after="100" w:afterAutospacing="1"/>
        <w:outlineLvl w:val="0"/>
        <w:rPr>
          <w:rFonts w:ascii="Times New Roman" w:eastAsia="Times New Roman" w:hAnsi="Times New Roman" w:cs="Times New Roman" w:hint="cs"/>
          <w:b/>
          <w:bCs/>
          <w:kern w:val="36"/>
          <w:sz w:val="36"/>
          <w:szCs w:val="36"/>
          <w:lang w:eastAsia="en-GB"/>
          <w14:ligatures w14:val="none"/>
        </w:rPr>
      </w:pPr>
      <w:r w:rsidRPr="00E9397B">
        <w:rPr>
          <w:rFonts w:ascii="Times New Roman" w:eastAsia="Times New Roman" w:hAnsi="Times New Roman" w:cs="Times New Roman" w:hint="cs"/>
          <w:b/>
          <w:bCs/>
          <w:kern w:val="36"/>
          <w:sz w:val="36"/>
          <w:szCs w:val="36"/>
          <w:lang w:eastAsia="en-GB"/>
          <w14:ligatures w14:val="none"/>
        </w:rPr>
        <w:lastRenderedPageBreak/>
        <w:t>6. Experimental Results</w:t>
      </w:r>
    </w:p>
    <w:p w14:paraId="60DBB88E"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This chapter presents the results of the experimental evaluation. Results are organized according to the three evaluation dimensions: predictive performance, explainability quality, and collaboration efficiency.</w:t>
      </w:r>
    </w:p>
    <w:p w14:paraId="68441525"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pict w14:anchorId="5A8426CD">
          <v:rect id="_x0000_i1092" style="width:0;height:1.5pt" o:hralign="center" o:hrstd="t" o:hr="t" fillcolor="#a0a0a0" stroked="f"/>
        </w:pict>
      </w:r>
    </w:p>
    <w:p w14:paraId="16EC2C6C"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6.1 Predictive Performance Results</w:t>
      </w:r>
    </w:p>
    <w:p w14:paraId="7D70E7FF"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Across the evaluated datasets, the multi-agent framework achieves predictive performance comparable to that of the baseline pipeline. In several cases, the best-performing models selected by the </w:t>
      </w:r>
      <w:proofErr w:type="spellStart"/>
      <w:r w:rsidRPr="00E9397B">
        <w:rPr>
          <w:rFonts w:ascii="Times New Roman" w:eastAsia="Times New Roman" w:hAnsi="Times New Roman" w:cs="Times New Roman" w:hint="cs"/>
          <w:kern w:val="0"/>
          <w:sz w:val="36"/>
          <w:szCs w:val="36"/>
          <w:lang w:eastAsia="en-GB"/>
          <w14:ligatures w14:val="none"/>
        </w:rPr>
        <w:t>Modeling</w:t>
      </w:r>
      <w:proofErr w:type="spellEnd"/>
      <w:r w:rsidRPr="00E9397B">
        <w:rPr>
          <w:rFonts w:ascii="Times New Roman" w:eastAsia="Times New Roman" w:hAnsi="Times New Roman" w:cs="Times New Roman" w:hint="cs"/>
          <w:kern w:val="0"/>
          <w:sz w:val="36"/>
          <w:szCs w:val="36"/>
          <w:lang w:eastAsia="en-GB"/>
          <w14:ligatures w14:val="none"/>
        </w:rPr>
        <w:t xml:space="preserve"> Agent slightly outperform the baseline models on validation and test data.</w:t>
      </w:r>
    </w:p>
    <w:p w14:paraId="6F812DC0"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results indicate that decomposing the analytical workflow into agents does not negatively impact predictive accuracy. This finding is significant, as it demonstrates that improvements in transparency and modularity can be achieved without sacrificing performance.</w:t>
      </w:r>
    </w:p>
    <w:p w14:paraId="49C51237"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pict w14:anchorId="1AD17E96">
          <v:rect id="_x0000_i1093" style="width:0;height:1.5pt" o:hralign="center" o:hrstd="t" o:hr="t" fillcolor="#a0a0a0" stroked="f"/>
        </w:pict>
      </w:r>
    </w:p>
    <w:p w14:paraId="28589E60"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6.2 Explainability Results</w:t>
      </w:r>
    </w:p>
    <w:p w14:paraId="6AC08CE8"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The Explainability Agent successfully generates both global and local explanations for all evaluated models. Feature importance rankings produced by SHAP align with known clinical risk factors, supporting the plausibility of model </w:t>
      </w:r>
      <w:proofErr w:type="spellStart"/>
      <w:r w:rsidRPr="00E9397B">
        <w:rPr>
          <w:rFonts w:ascii="Times New Roman" w:eastAsia="Times New Roman" w:hAnsi="Times New Roman" w:cs="Times New Roman" w:hint="cs"/>
          <w:kern w:val="0"/>
          <w:sz w:val="36"/>
          <w:szCs w:val="36"/>
          <w:lang w:eastAsia="en-GB"/>
          <w14:ligatures w14:val="none"/>
        </w:rPr>
        <w:t>behavior</w:t>
      </w:r>
      <w:proofErr w:type="spellEnd"/>
      <w:r w:rsidRPr="00E9397B">
        <w:rPr>
          <w:rFonts w:ascii="Times New Roman" w:eastAsia="Times New Roman" w:hAnsi="Times New Roman" w:cs="Times New Roman" w:hint="cs"/>
          <w:kern w:val="0"/>
          <w:sz w:val="36"/>
          <w:szCs w:val="36"/>
          <w:lang w:eastAsia="en-GB"/>
          <w14:ligatures w14:val="none"/>
        </w:rPr>
        <w:t>.</w:t>
      </w:r>
    </w:p>
    <w:p w14:paraId="77EA9DC8"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Local explanations generated using LIME provide instance-level insights into predictions, enabling detailed examination of individual cases. The natural language explanations further </w:t>
      </w:r>
      <w:r w:rsidRPr="00E9397B">
        <w:rPr>
          <w:rFonts w:ascii="Times New Roman" w:eastAsia="Times New Roman" w:hAnsi="Times New Roman" w:cs="Times New Roman" w:hint="cs"/>
          <w:kern w:val="0"/>
          <w:sz w:val="36"/>
          <w:szCs w:val="36"/>
          <w:lang w:eastAsia="en-GB"/>
          <w14:ligatures w14:val="none"/>
        </w:rPr>
        <w:lastRenderedPageBreak/>
        <w:t>enhance accessibility by translating technical outputs into descriptive summaries.</w:t>
      </w:r>
    </w:p>
    <w:p w14:paraId="7EB40B5F"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Compared to the baseline pipeline, the multi-agent system produces explanations that are more systematically organized and easier to audit, as explanation generation is explicitly isolated and documented.</w:t>
      </w:r>
    </w:p>
    <w:p w14:paraId="5C25362B"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pict w14:anchorId="71F1FA7C">
          <v:rect id="_x0000_i1094" style="width:0;height:1.5pt" o:hralign="center" o:hrstd="t" o:hr="t" fillcolor="#a0a0a0" stroked="f"/>
        </w:pict>
      </w:r>
    </w:p>
    <w:p w14:paraId="1A9BF6CD"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6.3 Collaboration Efficiency Results</w:t>
      </w:r>
    </w:p>
    <w:p w14:paraId="6C57CE84"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agent-based architecture introduces moderate computational overhead due to inter-agent communication and artifact management. However, execution times remain within acceptable limits for offline healthcare analytics scenarios.</w:t>
      </w:r>
    </w:p>
    <w:p w14:paraId="7F9A990F"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Orchestrator Agent’s logs reveal clear execution boundaries and minimal error propagation between agents. These results suggest that the benefits of modularity and transparency outweigh the additional computational cost in many practical settings.</w:t>
      </w:r>
    </w:p>
    <w:p w14:paraId="68EEBF12"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6B235783">
          <v:rect id="_x0000_i1095" alt="" style="width:451.3pt;height:.05pt;mso-width-percent:0;mso-height-percent:0;mso-width-percent:0;mso-height-percent:0" o:hralign="center" o:hrstd="t" o:hr="t" fillcolor="#a0a0a0" stroked="f"/>
        </w:pict>
      </w:r>
    </w:p>
    <w:p w14:paraId="2A2501AA" w14:textId="77777777" w:rsidR="00E9397B" w:rsidRPr="00E9397B" w:rsidRDefault="00E9397B" w:rsidP="00E9397B">
      <w:pPr>
        <w:spacing w:before="100" w:beforeAutospacing="1" w:after="100" w:afterAutospacing="1"/>
        <w:outlineLvl w:val="0"/>
        <w:rPr>
          <w:rFonts w:ascii="Times New Roman" w:eastAsia="Times New Roman" w:hAnsi="Times New Roman" w:cs="Times New Roman" w:hint="cs"/>
          <w:b/>
          <w:bCs/>
          <w:kern w:val="36"/>
          <w:sz w:val="36"/>
          <w:szCs w:val="36"/>
          <w:lang w:eastAsia="en-GB"/>
          <w14:ligatures w14:val="none"/>
        </w:rPr>
      </w:pPr>
      <w:r w:rsidRPr="00E9397B">
        <w:rPr>
          <w:rFonts w:ascii="Times New Roman" w:eastAsia="Times New Roman" w:hAnsi="Times New Roman" w:cs="Times New Roman" w:hint="cs"/>
          <w:b/>
          <w:bCs/>
          <w:kern w:val="36"/>
          <w:sz w:val="36"/>
          <w:szCs w:val="36"/>
          <w:lang w:eastAsia="en-GB"/>
          <w14:ligatures w14:val="none"/>
        </w:rPr>
        <w:t>7. Discussion</w:t>
      </w:r>
    </w:p>
    <w:p w14:paraId="68BD8E5A"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This chapter interprets the experimental results in the context of the research question and broader healthcare AI literature.</w:t>
      </w:r>
    </w:p>
    <w:p w14:paraId="4B0B0A5B"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45E12F28">
          <v:rect id="_x0000_i1096" alt="" style="width:451.3pt;height:.05pt;mso-width-percent:0;mso-height-percent:0;mso-width-percent:0;mso-height-percent:0" o:hralign="center" o:hrstd="t" o:hr="t" fillcolor="#a0a0a0" stroked="f"/>
        </w:pict>
      </w:r>
    </w:p>
    <w:p w14:paraId="019921F9"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7.1 Interpretation of Findings</w:t>
      </w:r>
    </w:p>
    <w:p w14:paraId="6AB909EC"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The results demonstrate that a multi-agent architecture can achieve predictive performance comparable to traditional </w:t>
      </w:r>
      <w:r w:rsidRPr="00E9397B">
        <w:rPr>
          <w:rFonts w:ascii="Times New Roman" w:eastAsia="Times New Roman" w:hAnsi="Times New Roman" w:cs="Times New Roman" w:hint="cs"/>
          <w:kern w:val="0"/>
          <w:sz w:val="36"/>
          <w:szCs w:val="36"/>
          <w:lang w:eastAsia="en-GB"/>
          <w14:ligatures w14:val="none"/>
        </w:rPr>
        <w:lastRenderedPageBreak/>
        <w:t>pipelines while offering improved transparency and explainability. This finding addresses a key concern in healthcare AI, where interpretability is often traded off against accuracy.</w:t>
      </w:r>
    </w:p>
    <w:p w14:paraId="57BE92FA"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The explicit separation of responsibilities among agents contributes to clearer system </w:t>
      </w:r>
      <w:proofErr w:type="spellStart"/>
      <w:r w:rsidRPr="00E9397B">
        <w:rPr>
          <w:rFonts w:ascii="Times New Roman" w:eastAsia="Times New Roman" w:hAnsi="Times New Roman" w:cs="Times New Roman" w:hint="cs"/>
          <w:kern w:val="0"/>
          <w:sz w:val="36"/>
          <w:szCs w:val="36"/>
          <w:lang w:eastAsia="en-GB"/>
          <w14:ligatures w14:val="none"/>
        </w:rPr>
        <w:t>behavior</w:t>
      </w:r>
      <w:proofErr w:type="spellEnd"/>
      <w:r w:rsidRPr="00E9397B">
        <w:rPr>
          <w:rFonts w:ascii="Times New Roman" w:eastAsia="Times New Roman" w:hAnsi="Times New Roman" w:cs="Times New Roman" w:hint="cs"/>
          <w:kern w:val="0"/>
          <w:sz w:val="36"/>
          <w:szCs w:val="36"/>
          <w:lang w:eastAsia="en-GB"/>
          <w14:ligatures w14:val="none"/>
        </w:rPr>
        <w:t xml:space="preserve"> and facilitates targeted evaluation of individual components.</w:t>
      </w:r>
    </w:p>
    <w:p w14:paraId="451969DF"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6ADAE107">
          <v:rect id="_x0000_i1097" alt="" style="width:451.3pt;height:.05pt;mso-width-percent:0;mso-height-percent:0;mso-width-percent:0;mso-height-percent:0" o:hralign="center" o:hrstd="t" o:hr="t" fillcolor="#a0a0a0" stroked="f"/>
        </w:pict>
      </w:r>
    </w:p>
    <w:p w14:paraId="7AFF5CCF"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7.2 Implications for Healthcare Practice</w:t>
      </w:r>
    </w:p>
    <w:p w14:paraId="3198785F"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From a practical perspective, the proposed framework supports the development of healthcare analytics systems that are easier to audit, validate, and explain. Such properties are particularly relevant in regulated environments, where accountability and traceability are essential.</w:t>
      </w:r>
    </w:p>
    <w:p w14:paraId="414EA210"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By embedding explainability directly into the analytical workflow, the framework aligns more closely with clinical decision-making processes than post-hoc explanation approaches.</w:t>
      </w:r>
    </w:p>
    <w:p w14:paraId="00AC1995"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69F7BF07">
          <v:rect id="_x0000_i1098" alt="" style="width:451.3pt;height:.05pt;mso-width-percent:0;mso-height-percent:0;mso-width-percent:0;mso-height-percent:0" o:hralign="center" o:hrstd="t" o:hr="t" fillcolor="#a0a0a0" stroked="f"/>
        </w:pict>
      </w:r>
    </w:p>
    <w:p w14:paraId="655E0D78" w14:textId="77777777" w:rsidR="00E9397B" w:rsidRPr="00E9397B" w:rsidRDefault="00E9397B" w:rsidP="00E9397B">
      <w:pPr>
        <w:spacing w:before="100" w:beforeAutospacing="1" w:after="100" w:afterAutospacing="1"/>
        <w:outlineLvl w:val="1"/>
        <w:rPr>
          <w:rFonts w:ascii="Times New Roman" w:eastAsia="Times New Roman" w:hAnsi="Times New Roman" w:cs="Times New Roman" w:hint="cs"/>
          <w:b/>
          <w:bCs/>
          <w:kern w:val="0"/>
          <w:sz w:val="36"/>
          <w:szCs w:val="36"/>
          <w:lang w:eastAsia="en-GB"/>
          <w14:ligatures w14:val="none"/>
        </w:rPr>
      </w:pPr>
      <w:r w:rsidRPr="00E9397B">
        <w:rPr>
          <w:rFonts w:ascii="Times New Roman" w:eastAsia="Times New Roman" w:hAnsi="Times New Roman" w:cs="Times New Roman" w:hint="cs"/>
          <w:b/>
          <w:bCs/>
          <w:kern w:val="0"/>
          <w:sz w:val="36"/>
          <w:szCs w:val="36"/>
          <w:lang w:eastAsia="en-GB"/>
          <w14:ligatures w14:val="none"/>
        </w:rPr>
        <w:t>7.3 Trade-offs and System Limitations</w:t>
      </w:r>
    </w:p>
    <w:p w14:paraId="6437921B"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 xml:space="preserve">While the multi-agent approach offers clear benefits, it also introduces additional system complexity. Careful orchestration and artifact management are required to prevent fragmentation and ensure consistent </w:t>
      </w:r>
      <w:proofErr w:type="spellStart"/>
      <w:r w:rsidRPr="00E9397B">
        <w:rPr>
          <w:rFonts w:ascii="Times New Roman" w:eastAsia="Times New Roman" w:hAnsi="Times New Roman" w:cs="Times New Roman" w:hint="cs"/>
          <w:kern w:val="0"/>
          <w:sz w:val="36"/>
          <w:szCs w:val="36"/>
          <w:lang w:eastAsia="en-GB"/>
          <w14:ligatures w14:val="none"/>
        </w:rPr>
        <w:t>behavior</w:t>
      </w:r>
      <w:proofErr w:type="spellEnd"/>
      <w:r w:rsidRPr="00E9397B">
        <w:rPr>
          <w:rFonts w:ascii="Times New Roman" w:eastAsia="Times New Roman" w:hAnsi="Times New Roman" w:cs="Times New Roman" w:hint="cs"/>
          <w:kern w:val="0"/>
          <w:sz w:val="36"/>
          <w:szCs w:val="36"/>
          <w:lang w:eastAsia="en-GB"/>
          <w14:ligatures w14:val="none"/>
        </w:rPr>
        <w:t>.</w:t>
      </w:r>
    </w:p>
    <w:p w14:paraId="42ECEF20"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These trade-offs highlight the importance of context-specific system design, particularly when deploying AI solutions in resource-constrained clinical environments.</w:t>
      </w:r>
    </w:p>
    <w:p w14:paraId="169E65E2"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lastRenderedPageBreak/>
      </w:r>
      <w:r w:rsidR="00E9397B" w:rsidRPr="00E9397B">
        <w:rPr>
          <w:rFonts w:ascii="Times New Roman" w:eastAsia="Times New Roman" w:hAnsi="Times New Roman" w:cs="Times New Roman" w:hint="cs"/>
          <w:noProof/>
          <w:kern w:val="0"/>
          <w:sz w:val="36"/>
          <w:szCs w:val="36"/>
          <w:lang w:eastAsia="en-GB"/>
          <w14:ligatures w14:val="none"/>
        </w:rPr>
        <w:pict w14:anchorId="6068688D">
          <v:rect id="_x0000_i1099" alt="" style="width:451.3pt;height:.05pt;mso-width-percent:0;mso-height-percent:0;mso-width-percent:0;mso-height-percent:0" o:hralign="center" o:hrstd="t" o:hr="t" fillcolor="#a0a0a0" stroked="f"/>
        </w:pict>
      </w:r>
    </w:p>
    <w:p w14:paraId="55B75EF9" w14:textId="77777777" w:rsidR="00E9397B" w:rsidRPr="00E9397B" w:rsidRDefault="00E9397B" w:rsidP="00E9397B">
      <w:pPr>
        <w:spacing w:before="100" w:beforeAutospacing="1" w:after="100" w:afterAutospacing="1"/>
        <w:outlineLvl w:val="0"/>
        <w:rPr>
          <w:rFonts w:ascii="Times New Roman" w:eastAsia="Times New Roman" w:hAnsi="Times New Roman" w:cs="Times New Roman" w:hint="cs"/>
          <w:b/>
          <w:bCs/>
          <w:kern w:val="36"/>
          <w:sz w:val="36"/>
          <w:szCs w:val="36"/>
          <w:lang w:eastAsia="en-GB"/>
          <w14:ligatures w14:val="none"/>
        </w:rPr>
      </w:pPr>
      <w:r w:rsidRPr="00E9397B">
        <w:rPr>
          <w:rFonts w:ascii="Times New Roman" w:eastAsia="Times New Roman" w:hAnsi="Times New Roman" w:cs="Times New Roman" w:hint="cs"/>
          <w:b/>
          <w:bCs/>
          <w:kern w:val="36"/>
          <w:sz w:val="36"/>
          <w:szCs w:val="36"/>
          <w:lang w:eastAsia="en-GB"/>
          <w14:ligatures w14:val="none"/>
        </w:rPr>
        <w:t>8. Limitations and Future Work</w:t>
      </w:r>
    </w:p>
    <w:p w14:paraId="76C3686C"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Despite its contributions, this thesis has several limitations. The evaluation is conducted on publicly available datasets, which may not fully capture the complexity of real-world clinical data. Additionally, explainability quality is difficult to quantify objectively and often depends on user context.</w:t>
      </w:r>
    </w:p>
    <w:p w14:paraId="4189DBA3"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Future work could extend the framework to incorporate additional agent roles, such as fairness auditing or uncertainty estimation. Clinical validation with domain experts would further strengthen the practical relevance of the proposed approach.</w:t>
      </w:r>
    </w:p>
    <w:p w14:paraId="60BBE556"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207FD07A">
          <v:rect id="_x0000_i1100" alt="" style="width:451.3pt;height:.05pt;mso-width-percent:0;mso-height-percent:0;mso-width-percent:0;mso-height-percent:0" o:hralign="center" o:hrstd="t" o:hr="t" fillcolor="#a0a0a0" stroked="f"/>
        </w:pict>
      </w:r>
    </w:p>
    <w:p w14:paraId="235A0E61" w14:textId="77777777" w:rsidR="00E9397B" w:rsidRPr="00E9397B" w:rsidRDefault="00E9397B" w:rsidP="00E9397B">
      <w:pPr>
        <w:spacing w:before="100" w:beforeAutospacing="1" w:after="100" w:afterAutospacing="1"/>
        <w:outlineLvl w:val="0"/>
        <w:rPr>
          <w:rFonts w:ascii="Times New Roman" w:eastAsia="Times New Roman" w:hAnsi="Times New Roman" w:cs="Times New Roman" w:hint="cs"/>
          <w:b/>
          <w:bCs/>
          <w:kern w:val="36"/>
          <w:sz w:val="36"/>
          <w:szCs w:val="36"/>
          <w:lang w:eastAsia="en-GB"/>
          <w14:ligatures w14:val="none"/>
        </w:rPr>
      </w:pPr>
      <w:r w:rsidRPr="00E9397B">
        <w:rPr>
          <w:rFonts w:ascii="Times New Roman" w:eastAsia="Times New Roman" w:hAnsi="Times New Roman" w:cs="Times New Roman" w:hint="cs"/>
          <w:b/>
          <w:bCs/>
          <w:kern w:val="36"/>
          <w:sz w:val="36"/>
          <w:szCs w:val="36"/>
          <w:lang w:eastAsia="en-GB"/>
          <w14:ligatures w14:val="none"/>
        </w:rPr>
        <w:t>9. Conclusion</w:t>
      </w:r>
    </w:p>
    <w:p w14:paraId="50E65590"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This thesis has investigated the use of multi-agent artificial intelligence systems for explainable healthcare analytics. By decomposing the analytical workflow into specialized agents and integrating explainability as a core component, the proposed framework addresses key limitations of traditional black-box models.</w:t>
      </w:r>
    </w:p>
    <w:p w14:paraId="2F6D433D"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Experimental results demonstrate that the multi-agent approach achieves competitive predictive performance while improving transparency and auditability. These findings suggest that agentic AI represents a promising direction for the development of trustworthy healthcare decision support systems.</w:t>
      </w:r>
    </w:p>
    <w:p w14:paraId="0DB95168" w14:textId="77777777" w:rsidR="00E9397B" w:rsidRPr="00E9397B" w:rsidRDefault="00E9397B" w:rsidP="00E9397B">
      <w:pPr>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noProof/>
          <w:kern w:val="0"/>
          <w:sz w:val="36"/>
          <w:szCs w:val="36"/>
          <w:lang w:eastAsia="en-GB"/>
          <w14:ligatures w14:val="none"/>
        </w:rPr>
      </w:r>
      <w:r w:rsidR="00E9397B" w:rsidRPr="00E9397B">
        <w:rPr>
          <w:rFonts w:ascii="Times New Roman" w:eastAsia="Times New Roman" w:hAnsi="Times New Roman" w:cs="Times New Roman" w:hint="cs"/>
          <w:noProof/>
          <w:kern w:val="0"/>
          <w:sz w:val="36"/>
          <w:szCs w:val="36"/>
          <w:lang w:eastAsia="en-GB"/>
          <w14:ligatures w14:val="none"/>
        </w:rPr>
        <w:pict w14:anchorId="626D9755">
          <v:rect id="_x0000_i1101" alt="" style="width:451.3pt;height:.05pt;mso-width-percent:0;mso-height-percent:0;mso-width-percent:0;mso-height-percent:0" o:hralign="center" o:hrstd="t" o:hr="t" fillcolor="#a0a0a0" stroked="f"/>
        </w:pict>
      </w:r>
    </w:p>
    <w:p w14:paraId="1974B8E2" w14:textId="77777777" w:rsidR="00E9397B" w:rsidRPr="00E9397B" w:rsidRDefault="00E9397B" w:rsidP="00E9397B">
      <w:pPr>
        <w:spacing w:before="100" w:beforeAutospacing="1" w:after="100" w:afterAutospacing="1"/>
        <w:outlineLvl w:val="0"/>
        <w:rPr>
          <w:rFonts w:ascii="Times New Roman" w:eastAsia="Times New Roman" w:hAnsi="Times New Roman" w:cs="Times New Roman" w:hint="cs"/>
          <w:b/>
          <w:bCs/>
          <w:kern w:val="36"/>
          <w:sz w:val="36"/>
          <w:szCs w:val="36"/>
          <w:lang w:eastAsia="en-GB"/>
          <w14:ligatures w14:val="none"/>
        </w:rPr>
      </w:pPr>
      <w:r w:rsidRPr="00E9397B">
        <w:rPr>
          <w:rFonts w:ascii="Times New Roman" w:eastAsia="Times New Roman" w:hAnsi="Times New Roman" w:cs="Times New Roman" w:hint="cs"/>
          <w:b/>
          <w:bCs/>
          <w:kern w:val="36"/>
          <w:sz w:val="36"/>
          <w:szCs w:val="36"/>
          <w:lang w:eastAsia="en-GB"/>
          <w14:ligatures w14:val="none"/>
        </w:rPr>
        <w:lastRenderedPageBreak/>
        <w:t>10. Summary and Outlook</w:t>
      </w:r>
    </w:p>
    <w:p w14:paraId="2DE56F20"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The work presented in this thesis contributes to the growing body of research on explainable and trustworthy artificial intelligence in healthcare. The proposed framework offers a structured and modular approach that balances predictive accuracy with interpretability.</w:t>
      </w:r>
    </w:p>
    <w:p w14:paraId="55E4DADE" w14:textId="77777777" w:rsidR="00E9397B" w:rsidRPr="00E9397B" w:rsidRDefault="00E9397B" w:rsidP="00E9397B">
      <w:pPr>
        <w:spacing w:before="100" w:beforeAutospacing="1" w:after="100" w:afterAutospacing="1"/>
        <w:rPr>
          <w:rFonts w:ascii="Times New Roman" w:eastAsia="Times New Roman" w:hAnsi="Times New Roman" w:cs="Times New Roman" w:hint="cs"/>
          <w:kern w:val="0"/>
          <w:sz w:val="36"/>
          <w:szCs w:val="36"/>
          <w:lang w:eastAsia="en-GB"/>
          <w14:ligatures w14:val="none"/>
        </w:rPr>
      </w:pPr>
      <w:r w:rsidRPr="00E9397B">
        <w:rPr>
          <w:rFonts w:ascii="Times New Roman" w:eastAsia="Times New Roman" w:hAnsi="Times New Roman" w:cs="Times New Roman" w:hint="cs"/>
          <w:kern w:val="0"/>
          <w:sz w:val="36"/>
          <w:szCs w:val="36"/>
          <w:lang w:eastAsia="en-GB"/>
          <w14:ligatures w14:val="none"/>
        </w:rPr>
        <w:t>As healthcare systems continue to adopt data-driven technologies, architectures that prioritize transparency and accountability will become increasingly important. The multi-agent paradigm explored in this thesis provides a foundation for future research and development in this direction.</w:t>
      </w:r>
    </w:p>
    <w:p w14:paraId="79A6AE6F" w14:textId="77777777" w:rsidR="00E9397B" w:rsidRPr="00E9397B" w:rsidRDefault="00E9397B">
      <w:pPr>
        <w:rPr>
          <w:rFonts w:ascii="Times New Roman" w:hAnsi="Times New Roman" w:cs="Times New Roman" w:hint="cs"/>
          <w:sz w:val="36"/>
          <w:szCs w:val="36"/>
        </w:rPr>
      </w:pPr>
    </w:p>
    <w:sectPr w:rsidR="00E9397B" w:rsidRPr="00E939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03F03"/>
    <w:multiLevelType w:val="multilevel"/>
    <w:tmpl w:val="335E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797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97B"/>
    <w:rsid w:val="001314BD"/>
    <w:rsid w:val="007040F6"/>
    <w:rsid w:val="007F1EA2"/>
    <w:rsid w:val="009C027D"/>
    <w:rsid w:val="00E93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DC79E"/>
  <w15:chartTrackingRefBased/>
  <w15:docId w15:val="{59AD72B4-AC84-774E-8302-03B78306B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9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39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39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9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9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9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9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9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9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9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39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39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9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9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97B"/>
    <w:rPr>
      <w:rFonts w:eastAsiaTheme="majorEastAsia" w:cstheme="majorBidi"/>
      <w:color w:val="272727" w:themeColor="text1" w:themeTint="D8"/>
    </w:rPr>
  </w:style>
  <w:style w:type="paragraph" w:styleId="Title">
    <w:name w:val="Title"/>
    <w:basedOn w:val="Normal"/>
    <w:next w:val="Normal"/>
    <w:link w:val="TitleChar"/>
    <w:uiPriority w:val="10"/>
    <w:qFormat/>
    <w:rsid w:val="00E939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9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9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397B"/>
    <w:rPr>
      <w:i/>
      <w:iCs/>
      <w:color w:val="404040" w:themeColor="text1" w:themeTint="BF"/>
    </w:rPr>
  </w:style>
  <w:style w:type="paragraph" w:styleId="ListParagraph">
    <w:name w:val="List Paragraph"/>
    <w:basedOn w:val="Normal"/>
    <w:uiPriority w:val="34"/>
    <w:qFormat/>
    <w:rsid w:val="00E9397B"/>
    <w:pPr>
      <w:ind w:left="720"/>
      <w:contextualSpacing/>
    </w:pPr>
  </w:style>
  <w:style w:type="character" w:styleId="IntenseEmphasis">
    <w:name w:val="Intense Emphasis"/>
    <w:basedOn w:val="DefaultParagraphFont"/>
    <w:uiPriority w:val="21"/>
    <w:qFormat/>
    <w:rsid w:val="00E9397B"/>
    <w:rPr>
      <w:i/>
      <w:iCs/>
      <w:color w:val="0F4761" w:themeColor="accent1" w:themeShade="BF"/>
    </w:rPr>
  </w:style>
  <w:style w:type="paragraph" w:styleId="IntenseQuote">
    <w:name w:val="Intense Quote"/>
    <w:basedOn w:val="Normal"/>
    <w:next w:val="Normal"/>
    <w:link w:val="IntenseQuoteChar"/>
    <w:uiPriority w:val="30"/>
    <w:qFormat/>
    <w:rsid w:val="00E939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97B"/>
    <w:rPr>
      <w:i/>
      <w:iCs/>
      <w:color w:val="0F4761" w:themeColor="accent1" w:themeShade="BF"/>
    </w:rPr>
  </w:style>
  <w:style w:type="character" w:styleId="IntenseReference">
    <w:name w:val="Intense Reference"/>
    <w:basedOn w:val="DefaultParagraphFont"/>
    <w:uiPriority w:val="32"/>
    <w:qFormat/>
    <w:rsid w:val="00E9397B"/>
    <w:rPr>
      <w:b/>
      <w:bCs/>
      <w:smallCaps/>
      <w:color w:val="0F4761" w:themeColor="accent1" w:themeShade="BF"/>
      <w:spacing w:val="5"/>
    </w:rPr>
  </w:style>
  <w:style w:type="character" w:styleId="Strong">
    <w:name w:val="Strong"/>
    <w:basedOn w:val="DefaultParagraphFont"/>
    <w:uiPriority w:val="22"/>
    <w:qFormat/>
    <w:rsid w:val="00E9397B"/>
    <w:rPr>
      <w:b/>
      <w:bCs/>
    </w:rPr>
  </w:style>
  <w:style w:type="paragraph" w:styleId="NormalWeb">
    <w:name w:val="Normal (Web)"/>
    <w:basedOn w:val="Normal"/>
    <w:uiPriority w:val="99"/>
    <w:semiHidden/>
    <w:unhideWhenUsed/>
    <w:rsid w:val="00E9397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E9397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6787</Words>
  <Characters>38690</Characters>
  <Application>Microsoft Office Word</Application>
  <DocSecurity>0</DocSecurity>
  <Lines>322</Lines>
  <Paragraphs>90</Paragraphs>
  <ScaleCrop>false</ScaleCrop>
  <Company/>
  <LinksUpToDate>false</LinksUpToDate>
  <CharactersWithSpaces>45387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Manjalkar, Ruchi Ravindra (SRH Hochschule Heidelberg Student)</dc:creator>
  <cp:keywords/>
  <dc:description/>
  <cp:lastModifiedBy>Manjalkar, Ruchi Ravindra (SRH Hochschule Heidelberg Student)</cp:lastModifiedBy>
  <cp:revision>1</cp:revision>
  <dcterms:created xsi:type="dcterms:W3CDTF">2026-01-20T16:05:00Z</dcterms:created>
  <dcterms:modified xsi:type="dcterms:W3CDTF">2026-01-21T12:17:00Z</dcterms:modified>
</cp:coreProperties>
</file>