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74BC" w14:textId="77777777" w:rsidR="009D1938" w:rsidRPr="009D1938" w:rsidRDefault="009D1938" w:rsidP="009D1938">
      <w:r w:rsidRPr="009D1938">
        <w:t>Correction – TD approfondi : Stratégie d’achat et gestion du risque énergétique</w:t>
      </w:r>
    </w:p>
    <w:p w14:paraId="01443C33" w14:textId="329DCDB2" w:rsidR="009D1938" w:rsidRPr="009D1938" w:rsidRDefault="009D1938" w:rsidP="009D1938"/>
    <w:p w14:paraId="31C61338" w14:textId="77777777" w:rsidR="009D1938" w:rsidRPr="009D1938" w:rsidRDefault="009D1938" w:rsidP="009D1938">
      <w:r w:rsidRPr="009D1938">
        <w:t>Question 1 – Analyse des risques</w:t>
      </w:r>
    </w:p>
    <w:p w14:paraId="16DC2902" w14:textId="77777777" w:rsidR="009D1938" w:rsidRPr="009D1938" w:rsidRDefault="009D1938" w:rsidP="009D1938">
      <w:r w:rsidRPr="009D1938">
        <w:t>L’entreprise est exposée à plusieurs types de risques énergétiques.</w:t>
      </w:r>
      <w:r w:rsidRPr="009D1938">
        <w:br/>
        <w:t>Le risque prix est lié à la volatilité des marchés de l’électricité et du gaz, qui peut entraîner une hausse importante des coûts.</w:t>
      </w:r>
      <w:r w:rsidRPr="009D1938">
        <w:br/>
        <w:t>Le risque volume provient de la variabilité de la consommation (± 15 %), pouvant générer des écarts entre les volumes prévus et les volumes réellement consommés.</w:t>
      </w:r>
      <w:r w:rsidRPr="009D1938">
        <w:br/>
        <w:t>Le risque contractuel dépend des conditions des contrats, notamment la durée d’engagement et la rigidité des volumes.</w:t>
      </w:r>
      <w:r w:rsidRPr="009D1938">
        <w:br/>
        <w:t>Enfin, le risque budgétaire correspond à la difficulté de respecter le budget annuel fixé dans un contexte incertain.</w:t>
      </w:r>
    </w:p>
    <w:p w14:paraId="171DF2A8" w14:textId="6AE8E533" w:rsidR="009D1938" w:rsidRPr="009D1938" w:rsidRDefault="009D1938" w:rsidP="009D1938"/>
    <w:p w14:paraId="72F2C658" w14:textId="77777777" w:rsidR="009D1938" w:rsidRPr="009D1938" w:rsidRDefault="009D1938" w:rsidP="009D1938">
      <w:r w:rsidRPr="009D1938">
        <w:t>Question 2 – Analyse budgétaire</w:t>
      </w:r>
    </w:p>
    <w:p w14:paraId="66B02613" w14:textId="77777777" w:rsidR="009D1938" w:rsidRPr="009D1938" w:rsidRDefault="009D1938" w:rsidP="009D1938">
      <w:r w:rsidRPr="009D1938">
        <w:t>Offre A – Contrat à prix fixe</w:t>
      </w:r>
    </w:p>
    <w:p w14:paraId="0EB19221" w14:textId="77777777" w:rsidR="009D1938" w:rsidRPr="009D1938" w:rsidRDefault="009D1938" w:rsidP="009D1938">
      <w:r w:rsidRPr="009D1938">
        <w:t>Électricité :</w:t>
      </w:r>
      <w:r w:rsidRPr="009D1938">
        <w:br/>
        <w:t>4 000 MWh × 125 €/MWh = 500 000 €</w:t>
      </w:r>
    </w:p>
    <w:p w14:paraId="4D3FACB1" w14:textId="77777777" w:rsidR="009D1938" w:rsidRPr="009D1938" w:rsidRDefault="009D1938" w:rsidP="009D1938">
      <w:r w:rsidRPr="009D1938">
        <w:t>Gaz :</w:t>
      </w:r>
      <w:r w:rsidRPr="009D1938">
        <w:br/>
        <w:t>3 000 MWh × 52 €/MWh = 156 000 €</w:t>
      </w:r>
    </w:p>
    <w:p w14:paraId="1ED0DEB1" w14:textId="77777777" w:rsidR="009D1938" w:rsidRPr="009D1938" w:rsidRDefault="009D1938" w:rsidP="009D1938">
      <w:r w:rsidRPr="009D1938">
        <w:t>Coût total annuel : 656 000 €</w:t>
      </w:r>
    </w:p>
    <w:p w14:paraId="4DFBDE5A" w14:textId="77777777" w:rsidR="009D1938" w:rsidRPr="009D1938" w:rsidRDefault="009D1938" w:rsidP="009D1938">
      <w:r w:rsidRPr="009D1938">
        <w:t>Le budget cible de 700 000 € est respecté avec une marge de sécurité.</w:t>
      </w:r>
    </w:p>
    <w:p w14:paraId="528E096C" w14:textId="03ADD6EF" w:rsidR="009D1938" w:rsidRPr="009D1938" w:rsidRDefault="009D1938" w:rsidP="009D1938"/>
    <w:p w14:paraId="2E0C4F33" w14:textId="77777777" w:rsidR="009D1938" w:rsidRPr="009D1938" w:rsidRDefault="009D1938" w:rsidP="009D1938">
      <w:r w:rsidRPr="009D1938">
        <w:t>Offre B – Contrat à prix indexé</w:t>
      </w:r>
    </w:p>
    <w:p w14:paraId="29471EA3" w14:textId="77777777" w:rsidR="009D1938" w:rsidRPr="009D1938" w:rsidRDefault="009D1938" w:rsidP="009D1938">
      <w:r w:rsidRPr="009D1938">
        <w:t>Électricité :</w:t>
      </w:r>
      <w:r w:rsidRPr="009D1938">
        <w:br/>
        <w:t>4 000 MWh × 110 €/MWh = 440 000 €</w:t>
      </w:r>
    </w:p>
    <w:p w14:paraId="286F1527" w14:textId="77777777" w:rsidR="009D1938" w:rsidRPr="009D1938" w:rsidRDefault="009D1938" w:rsidP="009D1938">
      <w:r w:rsidRPr="009D1938">
        <w:t>Gaz :</w:t>
      </w:r>
      <w:r w:rsidRPr="009D1938">
        <w:br/>
        <w:t>3 000 MWh × 46 €/MWh = 138 000 €</w:t>
      </w:r>
    </w:p>
    <w:p w14:paraId="488B4D03" w14:textId="77777777" w:rsidR="009D1938" w:rsidRPr="009D1938" w:rsidRDefault="009D1938" w:rsidP="009D1938">
      <w:r w:rsidRPr="009D1938">
        <w:t>Coût total annuel estimé : 578 000 €</w:t>
      </w:r>
    </w:p>
    <w:p w14:paraId="23164FBF" w14:textId="77777777" w:rsidR="009D1938" w:rsidRPr="009D1938" w:rsidRDefault="009D1938" w:rsidP="009D1938">
      <w:r w:rsidRPr="009D1938">
        <w:t>Le coût est inférieur au budget cible, mais il reste très incertain car dépendant de l’évolution du marché.</w:t>
      </w:r>
    </w:p>
    <w:p w14:paraId="29FE1C31" w14:textId="3F1B369D" w:rsidR="009D1938" w:rsidRPr="009D1938" w:rsidRDefault="009D1938" w:rsidP="009D1938"/>
    <w:p w14:paraId="148C5A6C" w14:textId="77777777" w:rsidR="009D1938" w:rsidRPr="009D1938" w:rsidRDefault="009D1938" w:rsidP="009D1938">
      <w:r w:rsidRPr="009D1938">
        <w:t>Offre C – Contrat mixte</w:t>
      </w:r>
    </w:p>
    <w:p w14:paraId="677593CF" w14:textId="77777777" w:rsidR="009D1938" w:rsidRPr="009D1938" w:rsidRDefault="009D1938" w:rsidP="009D1938">
      <w:r w:rsidRPr="009D1938">
        <w:lastRenderedPageBreak/>
        <w:t>Part fixe (70 %) :</w:t>
      </w:r>
    </w:p>
    <w:p w14:paraId="24B45D58" w14:textId="77777777" w:rsidR="009D1938" w:rsidRPr="009D1938" w:rsidRDefault="009D1938" w:rsidP="009D1938">
      <w:r w:rsidRPr="009D1938">
        <w:t>Électricité :</w:t>
      </w:r>
      <w:r w:rsidRPr="009D1938">
        <w:br/>
        <w:t>2 800 MWh × 125 €/MWh = 350 000 €</w:t>
      </w:r>
    </w:p>
    <w:p w14:paraId="366DB716" w14:textId="77777777" w:rsidR="009D1938" w:rsidRPr="009D1938" w:rsidRDefault="009D1938" w:rsidP="009D1938">
      <w:r w:rsidRPr="009D1938">
        <w:t>Gaz :</w:t>
      </w:r>
      <w:r w:rsidRPr="009D1938">
        <w:br/>
        <w:t>2 100 MWh × 52 €/MWh = 109 200 €</w:t>
      </w:r>
    </w:p>
    <w:p w14:paraId="2A1590B9" w14:textId="77777777" w:rsidR="009D1938" w:rsidRPr="009D1938" w:rsidRDefault="009D1938" w:rsidP="009D1938">
      <w:r w:rsidRPr="009D1938">
        <w:t>Part indexée (30 %) :</w:t>
      </w:r>
    </w:p>
    <w:p w14:paraId="185DD8DC" w14:textId="77777777" w:rsidR="009D1938" w:rsidRPr="009D1938" w:rsidRDefault="009D1938" w:rsidP="009D1938">
      <w:r w:rsidRPr="009D1938">
        <w:t>Électricité :</w:t>
      </w:r>
      <w:r w:rsidRPr="009D1938">
        <w:br/>
        <w:t>1 200 MWh × 110 €/MWh = 132 000 €</w:t>
      </w:r>
    </w:p>
    <w:p w14:paraId="6355269E" w14:textId="77777777" w:rsidR="009D1938" w:rsidRPr="009D1938" w:rsidRDefault="009D1938" w:rsidP="009D1938">
      <w:r w:rsidRPr="009D1938">
        <w:t>Gaz :</w:t>
      </w:r>
      <w:r w:rsidRPr="009D1938">
        <w:br/>
        <w:t>900 MWh × 46 €/MWh = 41 400 €</w:t>
      </w:r>
    </w:p>
    <w:p w14:paraId="54B76C2A" w14:textId="77777777" w:rsidR="009D1938" w:rsidRPr="009D1938" w:rsidRDefault="009D1938" w:rsidP="009D1938">
      <w:r w:rsidRPr="009D1938">
        <w:t>Coût total annuel : 632 600 €</w:t>
      </w:r>
    </w:p>
    <w:p w14:paraId="1BBD6F43" w14:textId="77777777" w:rsidR="009D1938" w:rsidRPr="009D1938" w:rsidRDefault="009D1938" w:rsidP="009D1938">
      <w:r w:rsidRPr="009D1938">
        <w:t>Le budget cible est respecté tout en limitant l’exposition à la volatilité.</w:t>
      </w:r>
    </w:p>
    <w:p w14:paraId="4D621550" w14:textId="120AE9D3" w:rsidR="009D1938" w:rsidRPr="009D1938" w:rsidRDefault="009D1938" w:rsidP="009D1938"/>
    <w:p w14:paraId="46D86BD7" w14:textId="77777777" w:rsidR="009D1938" w:rsidRPr="009D1938" w:rsidRDefault="009D1938" w:rsidP="009D1938">
      <w:r w:rsidRPr="009D1938">
        <w:t>Question 3 – Sensibilité à une hausse de prix de +20 %</w:t>
      </w:r>
    </w:p>
    <w:p w14:paraId="77ADDF68" w14:textId="77777777" w:rsidR="009D1938" w:rsidRPr="009D1938" w:rsidRDefault="009D1938" w:rsidP="009D1938">
      <w:r w:rsidRPr="009D1938">
        <w:t>En cas de hausse soudaine des prix de 20 %, l’offre B serait fortement impactée car l’ensemble des volumes est exposé au marché.</w:t>
      </w:r>
      <w:r w:rsidRPr="009D1938">
        <w:br/>
        <w:t>Cette hausse entraînerait une augmentation significative du coût total et pourrait dépasser le budget cible.</w:t>
      </w:r>
    </w:p>
    <w:p w14:paraId="6460A3D9" w14:textId="77777777" w:rsidR="009D1938" w:rsidRPr="009D1938" w:rsidRDefault="009D1938" w:rsidP="009D1938">
      <w:r w:rsidRPr="009D1938">
        <w:t>Dans le cas de l’offre C, seule la part indexée (30 %) subirait la hausse des prix.</w:t>
      </w:r>
      <w:r w:rsidRPr="009D1938">
        <w:br/>
        <w:t>L’impact global serait donc limité par la part de volumes sécurisée à prix fixe.</w:t>
      </w:r>
    </w:p>
    <w:p w14:paraId="6A7A9A77" w14:textId="47B8ED63" w:rsidR="009D1938" w:rsidRPr="009D1938" w:rsidRDefault="009D1938" w:rsidP="009D1938"/>
    <w:p w14:paraId="7C84B0E0" w14:textId="77777777" w:rsidR="009D1938" w:rsidRPr="009D1938" w:rsidRDefault="009D1938" w:rsidP="009D1938">
      <w:r w:rsidRPr="009D1938">
        <w:t>Question 4 – Choix stratégique</w:t>
      </w:r>
    </w:p>
    <w:p w14:paraId="098285ED" w14:textId="77777777" w:rsidR="009D1938" w:rsidRPr="009D1938" w:rsidRDefault="009D1938" w:rsidP="009D1938">
      <w:r w:rsidRPr="009D1938">
        <w:t>Dans ce contexte de forte volatilité et d’incertitude, une stratégie mixte apparaît comme la plus adaptée.</w:t>
      </w:r>
      <w:r w:rsidRPr="009D1938">
        <w:br/>
        <w:t>Elle permet de sécuriser une part importante des coûts énergétiques tout en conservant une certaine flexibilité face aux évolutions du marché.</w:t>
      </w:r>
      <w:r w:rsidRPr="009D1938">
        <w:br/>
        <w:t>Cette stratégie offre un bon compromis entre maîtrise du risque et opportunités de marché.</w:t>
      </w:r>
    </w:p>
    <w:p w14:paraId="6F589502" w14:textId="1C77CF7A" w:rsidR="009D1938" w:rsidRPr="009D1938" w:rsidRDefault="009D1938" w:rsidP="009D1938"/>
    <w:p w14:paraId="34596B9B" w14:textId="77777777" w:rsidR="009D1938" w:rsidRPr="009D1938" w:rsidRDefault="009D1938" w:rsidP="009D1938">
      <w:r w:rsidRPr="009D1938">
        <w:t>Question 5 – Prise de recul</w:t>
      </w:r>
    </w:p>
    <w:p w14:paraId="6581F924" w14:textId="77777777" w:rsidR="009D1938" w:rsidRPr="009D1938" w:rsidRDefault="009D1938" w:rsidP="009D1938">
      <w:r w:rsidRPr="009D1938">
        <w:t>Une stratégie d’achat d’énergie ne permet jamais de supprimer totalement le risque.</w:t>
      </w:r>
      <w:r w:rsidRPr="009D1938">
        <w:br/>
        <w:t>Les marchés de l’énergie restent soumis à des aléas économiques, techniques et géopolitiques.</w:t>
      </w:r>
      <w:r w:rsidRPr="009D1938">
        <w:br/>
      </w:r>
      <w:r w:rsidRPr="009D1938">
        <w:lastRenderedPageBreak/>
        <w:t>L’objectif d’une stratégie d’achat est donc de maîtriser et répartir le risque, et non de l’éliminer complètement.</w:t>
      </w:r>
    </w:p>
    <w:p w14:paraId="218DE290" w14:textId="77777777" w:rsidR="00E93F04" w:rsidRDefault="00E93F04"/>
    <w:sectPr w:rsidR="00E93F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38"/>
    <w:rsid w:val="001A0E20"/>
    <w:rsid w:val="00401F56"/>
    <w:rsid w:val="009D1938"/>
    <w:rsid w:val="00E9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122B8"/>
  <w15:chartTrackingRefBased/>
  <w15:docId w15:val="{4DCE8D6E-03F9-4713-8756-B3318CF0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1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1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1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1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1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1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1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1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1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1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1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1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19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19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19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19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19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19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1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1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1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1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1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19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19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19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1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19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1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63D34E541314F80CD24A648ABC5FB" ma:contentTypeVersion="8" ma:contentTypeDescription="Crée un document." ma:contentTypeScope="" ma:versionID="8bde7a94bab0b451c094d92325d0017e">
  <xsd:schema xmlns:xsd="http://www.w3.org/2001/XMLSchema" xmlns:xs="http://www.w3.org/2001/XMLSchema" xmlns:p="http://schemas.microsoft.com/office/2006/metadata/properties" xmlns:ns2="cd5233e2-74fb-488a-aed8-75637c784312" targetNamespace="http://schemas.microsoft.com/office/2006/metadata/properties" ma:root="true" ma:fieldsID="549c886cf9d88b4c7077e22e4308502a" ns2:_="">
    <xsd:import namespace="cd5233e2-74fb-488a-aed8-75637c784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233e2-74fb-488a-aed8-75637c7843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B7E7AA-E874-45C7-AA04-F17DFA690624}"/>
</file>

<file path=customXml/itemProps2.xml><?xml version="1.0" encoding="utf-8"?>
<ds:datastoreItem xmlns:ds="http://schemas.openxmlformats.org/officeDocument/2006/customXml" ds:itemID="{230C228A-B3FD-4264-A4EA-4236831A1D3B}"/>
</file>

<file path=customXml/itemProps3.xml><?xml version="1.0" encoding="utf-8"?>
<ds:datastoreItem xmlns:ds="http://schemas.openxmlformats.org/officeDocument/2006/customXml" ds:itemID="{5CAE66C3-D7B1-4404-B97E-99F130C38E1F}"/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 EVEILLARD</dc:creator>
  <cp:keywords/>
  <dc:description/>
  <cp:lastModifiedBy>Timothé EVEILLARD</cp:lastModifiedBy>
  <cp:revision>1</cp:revision>
  <dcterms:created xsi:type="dcterms:W3CDTF">2026-01-11T12:10:00Z</dcterms:created>
  <dcterms:modified xsi:type="dcterms:W3CDTF">2026-01-11T12:11:00Z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0x0101004DE63D34E541314F80CD24A648ABC5FB</vt:lpwstr>
  </property>
</Properties>
</file>