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80" w:line="560" w:lineRule="exact"/>
        <w:jc w:val="center"/>
      </w:pPr>
      <w:r>
        <w:rPr>
          <w:rFonts w:ascii="方正小标宋_GBK" w:hAnsi="方正小标宋_GBK" w:eastAsia="方正小标宋_GBK" w:cs="SimSun"/>
          <w:b w:val="0"/>
          <w:sz w:val="36"/>
        </w:rPr>
        <w:t>关于推进数字化转型的工作方案</w:t>
      </w:r>
    </w:p>
    <w:p>
      <w:pPr>
        <w:spacing w:before="280" w:after="0" w:line="560" w:lineRule="exact"/>
      </w:pPr>
      <w:r>
        <w:rPr>
          <w:rFonts w:ascii="方正黑体_GBK" w:hAnsi="方正黑体_GBK" w:eastAsia="方正黑体_GBK" w:cs="SimHei"/>
          <w:b w:val="0"/>
          <w:sz w:val="32"/>
        </w:rPr>
        <w:t>一、总体要求</w:t>
      </w:r>
    </w:p>
    <w:p>
      <w:pPr>
        <w:spacing w:before="0" w:after="0" w:line="560" w:lineRule="exact"/>
        <w:ind w:firstLine="640"/>
      </w:pPr>
      <w:r>
        <w:rPr>
          <w:rFonts w:ascii="方正楷体_GBK" w:hAnsi="方正楷体_GBK" w:eastAsia="方正楷体_GBK" w:cs="KaiTi"/>
          <w:b w:val="0"/>
          <w:sz w:val="32"/>
        </w:rPr>
        <w:t>（一）指导思想</w:t>
      </w:r>
    </w:p>
    <w:p>
      <w:pPr>
        <w:spacing w:before="0" w:after="0" w:line="560" w:lineRule="exact"/>
        <w:ind w:firstLine="640"/>
        <w:jc w:val="both"/>
      </w:pPr>
      <w:r>
        <w:rPr>
          <w:rFonts w:ascii="方正仿宋_GBK" w:hAnsi="方正仿宋_GBK" w:eastAsia="方正仿宋_GBK" w:cs="FangSong"/>
          <w:b w:val="0"/>
          <w:sz w:val="32"/>
        </w:rPr>
        <w:t>坚持以高质量发展为导向，统筹推进数字化转型工作。</w:t>
      </w:r>
    </w:p>
    <w:p>
      <w:pPr>
        <w:spacing w:before="280" w:after="0" w:line="560" w:lineRule="exact"/>
      </w:pPr>
      <w:r>
        <w:rPr>
          <w:rFonts w:ascii="方正黑体_GBK" w:hAnsi="方正黑体_GBK" w:eastAsia="方正黑体_GBK" w:cs="SimHei"/>
          <w:b w:val="0"/>
          <w:sz w:val="32"/>
        </w:rPr>
        <w:t>二、主要任务</w:t>
      </w:r>
    </w:p>
    <w:p>
      <w:pPr>
        <w:spacing w:before="0" w:after="0" w:line="560" w:lineRule="exact"/>
        <w:ind w:firstLine="640"/>
      </w:pPr>
      <w:r>
        <w:rPr>
          <w:rFonts w:ascii="方正楷体_GBK" w:hAnsi="方正楷体_GBK" w:eastAsia="方正楷体_GBK" w:cs="KaiTi"/>
          <w:b w:val="0"/>
          <w:sz w:val="32"/>
        </w:rPr>
        <w:t>（一）加快基础设施建设</w:t>
      </w:r>
    </w:p>
    <w:p>
      <w:pPr>
        <w:spacing w:before="0" w:after="0" w:line="560" w:lineRule="exact"/>
        <w:ind w:firstLine="640"/>
        <w:jc w:val="both"/>
      </w:pPr>
      <w:r>
        <w:rPr>
          <w:rFonts w:ascii="方正仿宋_GBK" w:hAnsi="方正仿宋_GBK" w:eastAsia="方正仿宋_GBK" w:cs="FangSong"/>
          <w:b w:val="0"/>
          <w:sz w:val="32"/>
        </w:rPr>
        <w:t>持续提升平台能力与数据协同水平。</w:t>
      </w:r>
    </w:p>
    <w:sectPr w:rsidR="00FC693F" w:rsidRPr="0006063C" w:rsidSect="00034616">
      <w:footerReference w:type="default" r:id="rId9"/>
      <w:pgSz w:w="11906" w:h="16838"/>
      <w:pgMar w:top="1871" w:right="1587" w:bottom="2098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SimSun"/>
        <w:b w:val="0"/>
        <w:sz w:val="28"/>
      </w:rPr>
      <w:t>-</w:t>
    </w:r>
    <w:r>
      <w:fldChar w:fldCharType="begin"/>
    </w:r>
    <w:r>
      <w:rPr>
        <w:rFonts w:ascii="宋体" w:hAnsi="宋体" w:eastAsia="宋体" w:cs="SimSun"/>
        <w:b w:val="0"/>
        <w:sz w:val="28"/>
      </w:rPr>
      <w:instrText xml:space="preserve"> PAGE </w:instrText>
    </w:r>
    <w:r>
      <w:fldChar w:fldCharType="separate"/>
    </w:r>
    <w:r>
      <w:rPr>
        <w:rFonts w:ascii="宋体" w:hAnsi="宋体" w:eastAsia="宋体" w:cs="SimSun"/>
        <w:b w:val="0"/>
        <w:sz w:val="28"/>
      </w:rPr>
      <w:t>1</w:t>
    </w:r>
    <w:r>
      <w:fldChar w:fldCharType="end"/>
    </w:r>
    <w:r>
      <w:rPr>
        <w:rFonts w:ascii="宋体" w:hAnsi="宋体" w:eastAsia="宋体" w:cs="SimSun"/>
        <w:b w:val="0"/>
        <w:sz w:val="28"/>
      </w:rPr>
      <w:t>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