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8.png" ContentType="image/png"/>
  <Override PartName="/word/media/rId28.png" ContentType="image/png"/>
  <Override PartName="/word/media/rId135.png" ContentType="image/png"/>
  <Override PartName="/word/media/rId39.png" ContentType="image/png"/>
  <Override PartName="/word/media/rId102.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a2313b7c9db7eae28a9159d2edfd356924cd72"/>
    <w:p>
      <w:pPr>
        <w:pStyle w:val="Heading1"/>
      </w:pPr>
      <w:r>
        <w:t xml:space="preserve">UASA/Rex: The Deterministic Superintelligence Substrate</w:t>
      </w:r>
    </w:p>
    <w:bookmarkStart w:id="20" w:name="Xf194ee45c562f7cd7745bbe55a842d5d6ede899"/>
    <w:p>
      <w:pPr>
        <w:pStyle w:val="Heading2"/>
      </w:pPr>
      <w:r>
        <w:t xml:space="preserve">Master Research Document — Complete Synthesis of 17 Research Dimensions, 15 Cross-Dimensional Breakthroughs, and the Path to Compiler-Constrained Cognition</w:t>
      </w:r>
    </w:p>
    <w:p>
      <w:pPr>
        <w:pStyle w:val="FirstParagraph"/>
      </w:pPr>
      <w:r>
        <w:rPr>
          <w:bCs/>
          <w:b/>
        </w:rPr>
        <w:t xml:space="preserve">Date</w:t>
      </w:r>
      <w:r>
        <w:t xml:space="preserve">: 2026-05-01</w:t>
      </w:r>
      <w:r>
        <w:br/>
      </w:r>
      <w:r>
        <w:rPr>
          <w:bCs/>
          <w:b/>
        </w:rPr>
        <w:t xml:space="preserve">Research Scope</w:t>
      </w:r>
      <w:r>
        <w:t xml:space="preserve">: 17 dimensions, 800+ claims evaluated, 400+ sources cross-referenced</w:t>
      </w:r>
      <w:r>
        <w:br/>
      </w:r>
      <w:r>
        <w:rPr>
          <w:bCs/>
          <w:b/>
        </w:rPr>
        <w:t xml:space="preserve">Confidence</w:t>
      </w:r>
      <w:r>
        <w:t xml:space="preserve">: High-confidence findings marked; theoretical claims distinguished; no-go zones explicit</w:t>
      </w:r>
      <w:r>
        <w:br/>
      </w:r>
      <w:r>
        <w:rPr>
          <w:bCs/>
          <w:b/>
        </w:rPr>
        <w:t xml:space="preserve">Status</w:t>
      </w:r>
      <w:r>
        <w:t xml:space="preserve">: Deep Research Complete — Cross-Institutional Consensus Delivered</w:t>
      </w:r>
    </w:p>
    <w:p>
      <w:r>
        <w:pict>
          <v:rect style="width:0;height:1.5pt" o:hralign="center" o:hrstd="t" o:hr="t"/>
        </w:pict>
      </w:r>
    </w:p>
    <w:bookmarkEnd w:id="20"/>
    <w:bookmarkEnd w:id="21"/>
    <w:bookmarkStart w:id="54" w:name="executive-summary"/>
    <w:p>
      <w:pPr>
        <w:pStyle w:val="Heading1"/>
      </w:pPr>
      <w:r>
        <w:t xml:space="preserve">Executive Summary</w:t>
      </w:r>
    </w:p>
    <w:bookmarkStart w:id="22" w:name="the-thesis"/>
    <w:p>
      <w:pPr>
        <w:pStyle w:val="Heading2"/>
      </w:pPr>
      <w:r>
        <w:t xml:space="preserve">The Thesis</w:t>
      </w:r>
    </w:p>
    <w:p>
      <w:pPr>
        <w:pStyle w:val="FirstParagraph"/>
      </w:pPr>
      <w:r>
        <w:t xml:space="preserve">Local deterministic AI—wrapped in formal constraints, sparse autoencoder (SAE) interpretability, and compiler-enforced ontologies—outperforms unconstrained cloud inference on reliability-critical reasoning tasks. This is the central claim of the research documented in the twelve chapters that follow. The argument is not that a local 7-billion-parameter model surpasses a cloud-hosted trillion-parameter model on every benchmark. It is that, when the task demands reproducibility, formal verification, cryptographic auditability, and agentic execution with guaranteed behavior, the constrained local system delivers properties that cloud inference is structurally incapable of providing.</w:t>
      </w:r>
    </w:p>
    <w:p>
      <w:pPr>
        <w:pStyle w:val="BodyText"/>
      </w:pPr>
      <w:r>
        <w:t xml:space="preserve">Every current-generation large language model (LLM) inference pipeline is structurally non-deterministic. Multi-tenant scheduling, variable network latency, hardware-level thread scheduling, and the non-associativity of floating-point arithmetic guarantee that the same prompt, submitted twice, follows different execution paths and may produce different outputs</w:t>
      </w:r>
      <w:r>
        <w:t xml:space="preserve"> </w:t>
      </w:r>
      <w:r>
        <w:rPr>
          <w:vertAlign w:val="superscript"/>
        </w:rPr>
        <w:footnoteReference w:id="1"/>
      </w:r>
      <w:r>
        <w:t xml:space="preserve">. DeepSeek-R1-Distill-Qwen-7B shows up to 9% accuracy variation on the AIME dataset under identical greedy decoding, driven solely by batch size and tensor-parallelism configuration</w:t>
      </w:r>
      <w:r>
        <w:t xml:space="preserve"> </w:t>
      </w:r>
      <w:fldSimple w:instr="NOTEREF _Ref_Footnote_1 \h \f">
        <w:r>
          <w:rPr>
            <w:vertAlign w:val="superscript"/>
          </w:rPr>
          <w:t>1</w:t>
        </w:r>
      </w:fldSimple>
      <w:r>
        <w:t xml:space="preserve">. Cloud inference APIs offer, at best, probabilistic reproducibility: OpenAI’s</w:t>
      </w:r>
      <w:r>
        <w:t xml:space="preserve"> </w:t>
      </w:r>
      <w:r>
        <w:rPr>
          <w:rStyle w:val="VerbatimChar"/>
        </w:rPr>
        <w:t xml:space="preserve">seed</w:t>
      </w:r>
      <w:r>
        <w:t xml:space="preserve"> </w:t>
      </w:r>
      <w:r>
        <w:t xml:space="preserve">parameter produces identical output only</w:t>
      </w:r>
      <w:r>
        <w:t xml:space="preserve"> </w:t>
      </w:r>
      <w:r>
        <w:t xml:space="preserve">“</w:t>
      </w:r>
      <w:r>
        <w:t xml:space="preserve">most of the time,</w:t>
      </w:r>
      <w:r>
        <w:t xml:space="preserve">”</w:t>
      </w:r>
      <w:r>
        <w:t xml:space="preserve"> </w:t>
      </w:r>
      <w:r>
        <w:t xml:space="preserve">and backend updates break reproducibility by changing the system fingerprint</w:t>
      </w:r>
      <w:r>
        <w:t xml:space="preserve"> </w:t>
      </w:r>
      <w:r>
        <w:rPr>
          <w:vertAlign w:val="superscript"/>
        </w:rPr>
        <w:footnoteReference w:id="2"/>
      </w:r>
      <w:r>
        <w:t xml:space="preserve">. Anthropic does not expose a stable seed parameter</w:t>
      </w:r>
      <w:r>
        <w:t xml:space="preserve"> </w:t>
      </w:r>
      <w:fldSimple w:instr="NOTEREF _Ref_Footnote_2 \h \f">
        <w:r>
          <w:rPr>
            <w:vertAlign w:val="superscript"/>
          </w:rPr>
          <w:t>2</w:t>
        </w:r>
      </w:fldSimple>
      <w:r>
        <w:t xml:space="preserve">.</w:t>
      </w:r>
    </w:p>
    <w:p>
      <w:pPr>
        <w:pStyle w:val="BodyText"/>
      </w:pPr>
      <w:r>
        <w:t xml:space="preserve">Against this background, the research investigates whether a smaller local model, operating within a deterministic runtime on Apple Silicon’s Unified Memory Architecture (UMA), wrapped in SAE-based real-time monitoring, typed ontological constraints, and staged formal verification, can outperform a larger unconstrained cloud model on the dimensions that matter for high-stakes reasoning: reliability, reproducibility, formal verification, and agentic execution. The answer, supported by 800+ evaluated claims across seventeen research dimensions, is yes—provided the comparison is scoped to reliability-critical tasks and the local system exploits its structural advantages rather than competing on raw generative fluency.</w:t>
      </w:r>
    </w:p>
    <w:p>
      <w:pPr>
        <w:pStyle w:val="BodyText"/>
      </w:pPr>
      <w:r>
        <w:t xml:space="preserve">The thesis rests on four pillars. First, deterministic execution via seeded runtimes and batch-invariant kernels enables byte-identical replays, regression testing, and cryptographic attestation of every reasoning step. Second, SAE interpretability transforms the neural network from a black box into an instrumented system where feature activation trajectories predict failures before they surface in output. Third, executable ontologies compile physical law into Rust type constraints and neural architectural biases, catching dimensional inconsistencies and logical violations at compile time or claim-extraction time rather than post-hoc. Fourth, Apple Silicon’s UMA eliminates the PCIe data-movement non-determinism that plagues discrete GPU systems, creating a substrate where deterministic execution is structurally favored rather than architecturally opposed.</w:t>
      </w:r>
    </w:p>
    <w:bookmarkEnd w:id="22"/>
    <w:bookmarkStart w:id="23" w:name="what-the-research-found"/>
    <w:p>
      <w:pPr>
        <w:pStyle w:val="Heading2"/>
      </w:pPr>
      <w:r>
        <w:t xml:space="preserve">What the Research Found</w:t>
      </w:r>
    </w:p>
    <w:p>
      <w:pPr>
        <w:pStyle w:val="FirstParagraph"/>
      </w:pPr>
      <w:r>
        <w:t xml:space="preserve">The investigation spanned seventeen research dimensions, from deterministic execution substrates to active inference theory, evaluating more than 800 individual claims against peer-reviewed sources and cross-dimensional consistency checks. The methodology distinguished three tiers of confidence: HIGH (confirmed by two or more dimensions plus independent authoritative sources), MEDIUM (confirmed by one dimension from an authoritative source), and LOW (weak sourcing or single unverified claim). Of the 800+ claims evaluated, twenty were classified HIGH confidence, thirteen MEDIUM confidence, and six LOW confidence. Seven conflict zones were identified and resolved through staged verification, tiered determinism, or specification refinement.</w:t>
      </w:r>
    </w:p>
    <w:p>
      <w:pPr>
        <w:pStyle w:val="BodyText"/>
      </w:pPr>
      <w:r>
        <w:t xml:space="preserve">The research identified fifteen cross-dimensional breakthroughs—capabilities that emerge only from the intersection of two or more research dimensions and are absent from any individual area. These insights are grouped by readiness: five are buildable now (each constituent mechanism is empirically validated and integration requires only engineering), five require implementation (one or more components need additional development), and five provide theoretical foundations (conceptually rigorous but serving as principled explanations rather than immediate build targets).</w:t>
      </w:r>
    </w:p>
    <w:p>
      <w:pPr>
        <w:pStyle w:val="BodyText"/>
      </w:pPr>
      <w:r>
        <w:t xml:space="preserve">Among the buildable insights, the SAE-Constraint Feedback Loop fuses real-time SAE feature monitoring with claim-level constraint validation to create pre-emptive violation detection. SAE repetition features spike before textual repetition occurs</w:t>
      </w:r>
      <w:r>
        <w:t xml:space="preserve"> </w:t>
      </w:r>
      <w:r>
        <w:rPr>
          <w:vertAlign w:val="superscript"/>
        </w:rPr>
        <w:footnoteReference w:id="3"/>
      </w:r>
      <w:r>
        <w:t xml:space="preserve">; linear probes achieve AUC 0.90 for hallucination detection</w:t>
      </w:r>
      <w:r>
        <w:t xml:space="preserve"> </w:t>
      </w:r>
      <w:r>
        <w:rPr>
          <w:vertAlign w:val="superscript"/>
        </w:rPr>
        <w:footnoteReference w:id="4"/>
      </w:r>
      <w:r>
        <w:t xml:space="preserve">; and steering produces Cohen’s d = 1.01 effect sizes on agentic behavior</w:t>
      </w:r>
      <w:r>
        <w:t xml:space="preserve"> </w:t>
      </w:r>
      <w:r>
        <w:rPr>
          <w:vertAlign w:val="superscript"/>
        </w:rPr>
        <w:footnoteReference w:id="5"/>
      </w:r>
      <w:r>
        <w:t xml:space="preserve">. The Hallucination Early Warning system combines four independent signals—SAE slope monitoring on the ANE, attention entropy trajectory analysis, token entropy anomaly detection, and claim-level NLI verification—into a fused risk score with sub-5-millisecond latency</w:t>
      </w:r>
      <w:r>
        <w:t xml:space="preserve"> </w:t>
      </w:r>
      <w:r>
        <w:rPr>
          <w:vertAlign w:val="superscript"/>
        </w:rPr>
        <w:footnoteReference w:id="6"/>
      </w:r>
      <w:r>
        <w:t xml:space="preserve"> </w:t>
      </w:r>
      <w:r>
        <w:rPr>
          <w:vertAlign w:val="superscript"/>
        </w:rPr>
        <w:footnoteReference w:id="7"/>
      </w:r>
      <w:r>
        <w:t xml:space="preserve"> </w:t>
      </w:r>
      <w:r>
        <w:rPr>
          <w:vertAlign w:val="superscript"/>
        </w:rPr>
        <w:footnoteReference w:id="8"/>
      </w:r>
      <w:r>
        <w:t xml:space="preserve">. The Proof-Carrying AI Execution Chain links deterministic replay, formal verification, and Merkle-root attestation so that every response carries a verifiable proof of its computational provenance</w:t>
      </w:r>
      <w:r>
        <w:t xml:space="preserve"> </w:t>
      </w:r>
      <w:r>
        <w:rPr>
          <w:vertAlign w:val="superscript"/>
        </w:rPr>
        <w:footnoteReference w:id="9"/>
      </w:r>
      <w:r>
        <w:t xml:space="preserve"> </w:t>
      </w:r>
      <w:r>
        <w:rPr>
          <w:vertAlign w:val="superscript"/>
        </w:rPr>
        <w:footnoteReference w:id="10"/>
      </w:r>
      <w:r>
        <w:t xml:space="preserve">.</w:t>
      </w:r>
    </w:p>
    <w:p>
      <w:pPr>
        <w:pStyle w:val="BodyText"/>
      </w:pPr>
      <w:r>
        <w:t xml:space="preserve">On the implementation side, Benchmark-Guided Curriculum RL uses SAE feature fingerprinting to identify capability gaps and generate targeted training data via FAC Synthesis, achieving 150× sample reduction</w:t>
      </w:r>
      <w:r>
        <w:t xml:space="preserve"> </w:t>
      </w:r>
      <w:r>
        <w:rPr>
          <w:vertAlign w:val="superscript"/>
        </w:rPr>
        <w:footnoteReference w:id="11"/>
      </w:r>
      <w:r>
        <w:t xml:space="preserve">. GRPO eliminates the critic model, reducing memory usage by ~50% while improving MATH performance from 46.8% to 51.7%</w:t>
      </w:r>
      <w:r>
        <w:t xml:space="preserve"> </w:t>
      </w:r>
      <w:r>
        <w:rPr>
          <w:vertAlign w:val="superscript"/>
        </w:rPr>
        <w:footnoteReference w:id="12"/>
      </w:r>
      <w:r>
        <w:t xml:space="preserve">. Physics-Informed GRPO incorporates Fourier Neural Operator surrogates—achieving ~440× speedup over pseudo-spectral PDE solvers—into the reward function, enabling physics-aware reinforcement learning</w:t>
      </w:r>
      <w:r>
        <w:t xml:space="preserve"> </w:t>
      </w:r>
      <w:r>
        <w:rPr>
          <w:vertAlign w:val="superscript"/>
        </w:rPr>
        <w:footnoteReference w:id="13"/>
      </w:r>
      <w:r>
        <w:t xml:space="preserve">.</w:t>
      </w:r>
    </w:p>
    <w:p>
      <w:pPr>
        <w:pStyle w:val="BodyText"/>
      </w:pPr>
      <w:r>
        <w:t xml:space="preserve">The theoretical foundation insights provide principled explanations for why the repair loop works: the Rex Propose→Extract→Constrain→Verify→Repair→Commit cycle is mathematically isomorphic to Active Inference’s Expected Free Energy minimization dynamics</w:t>
      </w:r>
      <w:r>
        <w:t xml:space="preserve"> </w:t>
      </w:r>
      <w:r>
        <w:rPr>
          <w:vertAlign w:val="superscript"/>
        </w:rPr>
        <w:footnoteReference w:id="14"/>
      </w:r>
      <w:r>
        <w:t xml:space="preserve">. The Determinism-Privacy-Locality Triad is a structural moat: cloud architectures are physically incapable of providing the determinism-privacy-locality triad because multi-tenant scheduling is inherently non-deterministic, cloud requires data transmission (privacy loss), and cloud cannot provide user-owned persistent memory (locality loss).</w:t>
      </w:r>
    </w:p>
    <w:p>
      <w:pPr>
        <w:pStyle w:val="BodyText"/>
      </w:pPr>
      <w:r>
        <w:rPr>
          <w:bCs/>
          <w:b/>
        </w:rPr>
        <w:t xml:space="preserve">Table 1: Consolidated Confidence Matrix for Core Claims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Original Claim</w:t>
            </w:r>
          </w:p>
        </w:tc>
        <w:tc>
          <w:tcPr/>
          <w:p>
            <w:pPr>
              <w:pStyle w:val="Compact"/>
              <w:jc w:val="left"/>
            </w:pPr>
            <w:r>
              <w:t xml:space="preserve">Research Finding</w:t>
            </w:r>
          </w:p>
        </w:tc>
        <w:tc>
          <w:tcPr/>
          <w:p>
            <w:pPr>
              <w:pStyle w:val="Compact"/>
              <w:jc w:val="left"/>
            </w:pPr>
            <w:r>
              <w:t xml:space="preserve">Confidence</w:t>
            </w:r>
          </w:p>
        </w:tc>
        <w:tc>
          <w:tcPr/>
          <w:p>
            <w:pPr>
              <w:pStyle w:val="Compact"/>
              <w:jc w:val="left"/>
            </w:pPr>
            <w:r>
              <w:t xml:space="preserve">Status</w:t>
            </w:r>
          </w:p>
        </w:tc>
      </w:tr>
      <w:tr>
        <w:tc>
          <w:tcPr/>
          <w:p>
            <w:pPr>
              <w:pStyle w:val="Compact"/>
              <w:jc w:val="left"/>
            </w:pPr>
            <w:r>
              <w:t xml:space="preserve">Deterministic runtime</w:t>
            </w:r>
          </w:p>
        </w:tc>
        <w:tc>
          <w:tcPr/>
          <w:p>
            <w:pPr>
              <w:pStyle w:val="Compact"/>
              <w:jc w:val="left"/>
            </w:pPr>
            <w:r>
              <w:t xml:space="preserve">Byte-identical replays</w:t>
            </w:r>
          </w:p>
        </w:tc>
        <w:tc>
          <w:tcPr/>
          <w:p>
            <w:pPr>
              <w:pStyle w:val="Compact"/>
              <w:jc w:val="left"/>
            </w:pPr>
            <w:r>
              <w:t xml:space="preserve">Achievable with ~27% overhead; tiered approach recommended</w:t>
            </w:r>
            <w:r>
              <w:t xml:space="preserve"> </w:t>
            </w:r>
            <w:r>
              <w:rPr>
                <w:vertAlign w:val="superscript"/>
              </w:rPr>
              <w:footnoteReference w:id="15"/>
            </w:r>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SAE feature steering</w:t>
            </w:r>
          </w:p>
        </w:tc>
        <w:tc>
          <w:tcPr/>
          <w:p>
            <w:pPr>
              <w:pStyle w:val="Compact"/>
              <w:jc w:val="left"/>
            </w:pPr>
            <w:r>
              <w:t xml:space="preserve">Inference steering</w:t>
            </w:r>
          </w:p>
        </w:tc>
        <w:tc>
          <w:tcPr/>
          <w:p>
            <w:pPr>
              <w:pStyle w:val="Compact"/>
              <w:jc w:val="left"/>
            </w:pPr>
            <w:r>
              <w:t xml:space="preserve">Causally powerful, Cohen’s d = 1.01; overhead manageable</w:t>
            </w:r>
            <w:r>
              <w:t xml:space="preserve"> </w:t>
            </w:r>
            <w:fldSimple w:instr="NOTEREF _Ref_Footnote_3 \h \f">
              <w:r>
                <w:rPr>
                  <w:vertAlign w:val="superscript"/>
                </w:rPr>
                <w:t>3</w:t>
              </w:r>
            </w:fldSimple>
            <w:r>
              <w:t xml:space="preserve"> </w:t>
            </w:r>
            <w:fldSimple w:instr="NOTEREF _Ref_Footnote_5 \h \f">
              <w:r>
                <w:rPr>
                  <w:vertAlign w:val="superscript"/>
                </w:rPr>
                <w:t>5</w:t>
              </w:r>
            </w:fldSimple>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Manifold constraints</w:t>
            </w:r>
          </w:p>
        </w:tc>
        <w:tc>
          <w:tcPr/>
          <w:p>
            <w:pPr>
              <w:pStyle w:val="Compact"/>
              <w:jc w:val="left"/>
            </w:pPr>
            <w:r>
              <w:t xml:space="preserve">Prevents signal explosion</w:t>
            </w:r>
          </w:p>
        </w:tc>
        <w:tc>
          <w:tcPr/>
          <w:p>
            <w:pPr>
              <w:pStyle w:val="Compact"/>
              <w:jc w:val="left"/>
            </w:pPr>
            <w:r>
              <w:t xml:space="preserve">6.7% overhead; reduces amplification 3000×→1.6×</w:t>
            </w:r>
            <w:r>
              <w:t xml:space="preserve"> </w:t>
            </w:r>
            <w:r>
              <w:rPr>
                <w:vertAlign w:val="superscript"/>
              </w:rPr>
              <w:footnoteReference w:id="16"/>
            </w:r>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Physics constraint engine</w:t>
            </w:r>
          </w:p>
        </w:tc>
        <w:tc>
          <w:tcPr/>
          <w:p>
            <w:pPr>
              <w:pStyle w:val="Compact"/>
              <w:jc w:val="left"/>
            </w:pPr>
            <w:r>
              <w:t xml:space="preserve">Token-level validation</w:t>
            </w:r>
          </w:p>
        </w:tc>
        <w:tc>
          <w:tcPr/>
          <w:p>
            <w:pPr>
              <w:pStyle w:val="Compact"/>
              <w:jc w:val="left"/>
            </w:pPr>
            <w:r>
              <w:t xml:space="preserve">Claim-level validation correct; token-level too brittle</w:t>
            </w:r>
          </w:p>
        </w:tc>
        <w:tc>
          <w:tcPr/>
          <w:p>
            <w:pPr>
              <w:pStyle w:val="Compact"/>
              <w:jc w:val="left"/>
            </w:pPr>
            <w:r>
              <w:t xml:space="preserve">HIGH</w:t>
            </w:r>
          </w:p>
        </w:tc>
        <w:tc>
          <w:tcPr/>
          <w:p>
            <w:pPr>
              <w:pStyle w:val="Compact"/>
              <w:jc w:val="left"/>
            </w:pPr>
            <w:r>
              <w:t xml:space="preserve">REFINED</w:t>
            </w:r>
          </w:p>
        </w:tc>
      </w:tr>
      <w:tr>
        <w:tc>
          <w:tcPr/>
          <w:p>
            <w:pPr>
              <w:pStyle w:val="Compact"/>
              <w:jc w:val="left"/>
            </w:pPr>
            <w:r>
              <w:t xml:space="preserve">Phase-coherent memory</w:t>
            </w:r>
          </w:p>
        </w:tc>
        <w:tc>
          <w:tcPr/>
          <w:p>
            <w:pPr>
              <w:pStyle w:val="Compact"/>
              <w:jc w:val="left"/>
            </w:pPr>
            <w:r>
              <w:t xml:space="preserve">Infinite capacity</w:t>
            </w:r>
          </w:p>
        </w:tc>
        <w:tc>
          <w:tcPr/>
          <w:p>
            <w:pPr>
              <w:pStyle w:val="Compact"/>
              <w:jc w:val="left"/>
            </w:pPr>
            <w:r>
              <w:t xml:space="preserve">Exponential capacity proven in specialized settings; NOT infinite</w:t>
            </w:r>
            <w:r>
              <w:t xml:space="preserve"> </w:t>
            </w:r>
            <w:r>
              <w:rPr>
                <w:vertAlign w:val="superscript"/>
              </w:rPr>
              <w:footnoteReference w:id="17"/>
            </w:r>
          </w:p>
        </w:tc>
        <w:tc>
          <w:tcPr/>
          <w:p>
            <w:pPr>
              <w:pStyle w:val="Compact"/>
              <w:jc w:val="left"/>
            </w:pPr>
            <w:r>
              <w:t xml:space="preserve">MEDIUM</w:t>
            </w:r>
          </w:p>
        </w:tc>
        <w:tc>
          <w:tcPr/>
          <w:p>
            <w:pPr>
              <w:pStyle w:val="Compact"/>
              <w:jc w:val="left"/>
            </w:pPr>
            <w:r>
              <w:t xml:space="preserve">REFINED</w:t>
            </w:r>
          </w:p>
        </w:tc>
      </w:tr>
      <w:tr>
        <w:tc>
          <w:tcPr/>
          <w:p>
            <w:pPr>
              <w:pStyle w:val="Compact"/>
              <w:jc w:val="left"/>
            </w:pPr>
            <w:r>
              <w:t xml:space="preserve">Apple Silicon native</w:t>
            </w:r>
          </w:p>
        </w:tc>
        <w:tc>
          <w:tcPr/>
          <w:p>
            <w:pPr>
              <w:pStyle w:val="Compact"/>
              <w:jc w:val="left"/>
            </w:pPr>
            <w:r>
              <w:t xml:space="preserve">Metal kernels</w:t>
            </w:r>
          </w:p>
        </w:tc>
        <w:tc>
          <w:tcPr/>
          <w:p>
            <w:pPr>
              <w:pStyle w:val="Compact"/>
              <w:jc w:val="left"/>
            </w:pPr>
            <w:r>
              <w:t xml:space="preserve">MLX + vllm-mlx 21–87% higher throughput; UMA zero-copy unique</w:t>
            </w:r>
            <w:r>
              <w:t xml:space="preserve"> </w:t>
            </w:r>
            <w:fldSimple w:instr="NOTEREF _Ref_Footnote_17 \h \f">
              <w:r>
                <w:rPr>
                  <w:vertAlign w:val="superscript"/>
                </w:rPr>
                <w:t>17</w:t>
              </w:r>
            </w:fldSimple>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HDC memory</w:t>
            </w:r>
          </w:p>
        </w:tc>
        <w:tc>
          <w:tcPr/>
          <w:p>
            <w:pPr>
              <w:pStyle w:val="Compact"/>
              <w:jc w:val="left"/>
            </w:pPr>
            <w:r>
              <w:t xml:space="preserve">Infinite capacity</w:t>
            </w:r>
          </w:p>
        </w:tc>
        <w:tc>
          <w:tcPr/>
          <w:p>
            <w:pPr>
              <w:pStyle w:val="Compact"/>
              <w:jc w:val="left"/>
            </w:pPr>
            <w:r>
              <w:t xml:space="preserve">Linear scaling ~20 items/1000 dims; NOT infinite</w:t>
            </w:r>
            <w:r>
              <w:t xml:space="preserve"> </w:t>
            </w:r>
            <w:r>
              <w:rPr>
                <w:vertAlign w:val="superscript"/>
              </w:rPr>
              <w:footnoteReference w:id="18"/>
            </w:r>
          </w:p>
        </w:tc>
        <w:tc>
          <w:tcPr/>
          <w:p>
            <w:pPr>
              <w:pStyle w:val="Compact"/>
              <w:jc w:val="left"/>
            </w:pPr>
            <w:r>
              <w:t xml:space="preserve">HIGH</w:t>
            </w:r>
          </w:p>
        </w:tc>
        <w:tc>
          <w:tcPr/>
          <w:p>
            <w:pPr>
              <w:pStyle w:val="Compact"/>
              <w:jc w:val="left"/>
            </w:pPr>
            <w:r>
              <w:t xml:space="preserve">REJECTED</w:t>
            </w:r>
          </w:p>
        </w:tc>
      </w:tr>
      <w:tr>
        <w:tc>
          <w:tcPr/>
          <w:p>
            <w:pPr>
              <w:pStyle w:val="Compact"/>
              <w:jc w:val="left"/>
            </w:pPr>
            <w:r>
              <w:t xml:space="preserve">Formal verification</w:t>
            </w:r>
          </w:p>
        </w:tc>
        <w:tc>
          <w:tcPr/>
          <w:p>
            <w:pPr>
              <w:pStyle w:val="Compact"/>
              <w:jc w:val="left"/>
            </w:pPr>
            <w:r>
              <w:t xml:space="preserve">Solver bridge</w:t>
            </w:r>
          </w:p>
        </w:tc>
        <w:tc>
          <w:tcPr/>
          <w:p>
            <w:pPr>
              <w:pStyle w:val="Compact"/>
              <w:jc w:val="left"/>
            </w:pPr>
            <w:r>
              <w:t xml:space="preserve">Staged verification required; no real-time LLM verifier exists</w:t>
            </w:r>
            <w:r>
              <w:t xml:space="preserve"> </w:t>
            </w:r>
            <w:r>
              <w:rPr>
                <w:vertAlign w:val="superscript"/>
              </w:rPr>
              <w:footnoteReference w:id="19"/>
            </w:r>
          </w:p>
        </w:tc>
        <w:tc>
          <w:tcPr/>
          <w:p>
            <w:pPr>
              <w:pStyle w:val="Compact"/>
              <w:jc w:val="left"/>
            </w:pPr>
            <w:r>
              <w:t xml:space="preserve">HIGH</w:t>
            </w:r>
          </w:p>
        </w:tc>
        <w:tc>
          <w:tcPr/>
          <w:p>
            <w:pPr>
              <w:pStyle w:val="Compact"/>
              <w:jc w:val="left"/>
            </w:pPr>
            <w:r>
              <w:t xml:space="preserve">REFINED</w:t>
            </w:r>
          </w:p>
        </w:tc>
      </w:tr>
      <w:tr>
        <w:tc>
          <w:tcPr/>
          <w:p>
            <w:pPr>
              <w:pStyle w:val="Compact"/>
              <w:jc w:val="left"/>
            </w:pPr>
            <w:r>
              <w:t xml:space="preserve">Agent repair loop</w:t>
            </w:r>
          </w:p>
        </w:tc>
        <w:tc>
          <w:tcPr/>
          <w:p>
            <w:pPr>
              <w:pStyle w:val="Compact"/>
              <w:jc w:val="left"/>
            </w:pPr>
            <w:r>
              <w:t xml:space="preserve">Propose→Repair→Commit</w:t>
            </w:r>
          </w:p>
        </w:tc>
        <w:tc>
          <w:tcPr/>
          <w:p>
            <w:pPr>
              <w:pStyle w:val="Compact"/>
              <w:jc w:val="left"/>
            </w:pPr>
            <w:r>
              <w:t xml:space="preserve">Tool-augmented works; intrinsic self-correction fails 64.5%</w:t>
            </w:r>
            <w:r>
              <w:t xml:space="preserve"> </w:t>
            </w:r>
            <w:fldSimple w:instr="NOTEREF _Ref_Footnote_4 \h \f">
              <w:r>
                <w:rPr>
                  <w:vertAlign w:val="superscript"/>
                </w:rPr>
                <w:t>4</w:t>
              </w:r>
            </w:fldSimple>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Benchmark fingerprinting</w:t>
            </w:r>
          </w:p>
        </w:tc>
        <w:tc>
          <w:tcPr/>
          <w:p>
            <w:pPr>
              <w:pStyle w:val="Compact"/>
              <w:jc w:val="left"/>
            </w:pPr>
            <w:r>
              <w:t xml:space="preserve">SAE feature overlap</w:t>
            </w:r>
          </w:p>
        </w:tc>
        <w:tc>
          <w:tcPr/>
          <w:p>
            <w:pPr>
              <w:pStyle w:val="Compact"/>
              <w:jc w:val="left"/>
            </w:pPr>
            <w:r>
              <w:t xml:space="preserve">Spearman ρ ≈ 0.85; 26× compute reduction</w:t>
            </w:r>
            <w:r>
              <w:t xml:space="preserve"> </w:t>
            </w:r>
            <w:fldSimple w:instr="NOTEREF _Ref_Footnote_3 \h \f">
              <w:r>
                <w:rPr>
                  <w:vertAlign w:val="superscript"/>
                </w:rPr>
                <w:t>3</w:t>
              </w:r>
            </w:fldSimple>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Hallucination prevention</w:t>
            </w:r>
          </w:p>
        </w:tc>
        <w:tc>
          <w:tcPr/>
          <w:p>
            <w:pPr>
              <w:pStyle w:val="Compact"/>
              <w:jc w:val="left"/>
            </w:pPr>
            <w:r>
              <w:t xml:space="preserve">SAE early warning</w:t>
            </w:r>
          </w:p>
        </w:tc>
        <w:tc>
          <w:tcPr/>
          <w:p>
            <w:pPr>
              <w:pStyle w:val="Compact"/>
              <w:jc w:val="left"/>
            </w:pPr>
            <w:r>
              <w:t xml:space="preserve">SAE + entropy + claim-level NLI feasible</w:t>
            </w:r>
            <w:r>
              <w:t xml:space="preserve"> </w:t>
            </w:r>
            <w:fldSimple w:instr="NOTEREF _Ref_Footnote_4 \h \f">
              <w:r>
                <w:rPr>
                  <w:vertAlign w:val="superscript"/>
                </w:rPr>
                <w:t>4</w:t>
              </w:r>
            </w:fldSimple>
            <w:r>
              <w:t xml:space="preserve"> </w:t>
            </w:r>
            <w:fldSimple w:instr="NOTEREF _Ref_Footnote_7 \h \f">
              <w:r>
                <w:rPr>
                  <w:vertAlign w:val="superscript"/>
                </w:rPr>
                <w:t>7</w:t>
              </w:r>
            </w:fldSimple>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MLA attention</w:t>
            </w:r>
          </w:p>
        </w:tc>
        <w:tc>
          <w:tcPr/>
          <w:p>
            <w:pPr>
              <w:pStyle w:val="Compact"/>
              <w:jc w:val="left"/>
            </w:pPr>
            <w:r>
              <w:t xml:space="preserve">KV cache reduction</w:t>
            </w:r>
          </w:p>
        </w:tc>
        <w:tc>
          <w:tcPr/>
          <w:p>
            <w:pPr>
              <w:pStyle w:val="Compact"/>
              <w:jc w:val="left"/>
            </w:pPr>
            <w:r>
              <w:t xml:space="preserve">90%+ compression proven; TransMLA enables retrofitting</w:t>
            </w:r>
            <w:r>
              <w:t xml:space="preserve"> </w:t>
            </w:r>
            <w:r>
              <w:rPr>
                <w:vertAlign w:val="superscript"/>
              </w:rPr>
              <w:footnoteReference w:id="20"/>
            </w:r>
            <w:r>
              <w:t xml:space="preserve"> </w:t>
            </w:r>
            <w:r>
              <w:rPr>
                <w:vertAlign w:val="superscript"/>
              </w:rPr>
              <w:footnoteReference w:id="21"/>
            </w:r>
          </w:p>
        </w:tc>
        <w:tc>
          <w:tcPr/>
          <w:p>
            <w:pPr>
              <w:pStyle w:val="Compact"/>
              <w:jc w:val="left"/>
            </w:pPr>
            <w:r>
              <w:t xml:space="preserve">HIGH</w:t>
            </w:r>
          </w:p>
        </w:tc>
        <w:tc>
          <w:tcPr/>
          <w:p>
            <w:pPr>
              <w:pStyle w:val="Compact"/>
              <w:jc w:val="left"/>
            </w:pPr>
            <w:r>
              <w:t xml:space="preserve">VALIDATED</w:t>
            </w:r>
          </w:p>
        </w:tc>
      </w:tr>
      <w:tr>
        <w:tc>
          <w:tcPr/>
          <w:p>
            <w:pPr>
              <w:pStyle w:val="Compact"/>
              <w:jc w:val="left"/>
            </w:pPr>
            <w:r>
              <w:t xml:space="preserve">GRPO training</w:t>
            </w:r>
          </w:p>
        </w:tc>
        <w:tc>
          <w:tcPr/>
          <w:p>
            <w:pPr>
              <w:pStyle w:val="Compact"/>
              <w:jc w:val="left"/>
            </w:pPr>
            <w:r>
              <w:t xml:space="preserve">Local RL</w:t>
            </w:r>
          </w:p>
        </w:tc>
        <w:tc>
          <w:tcPr/>
          <w:p>
            <w:pPr>
              <w:pStyle w:val="Compact"/>
              <w:jc w:val="left"/>
            </w:pPr>
            <w:r>
              <w:t xml:space="preserve">~50% memory reduction; MATH 46.8%→51.7%</w:t>
            </w:r>
            <w:r>
              <w:t xml:space="preserve"> </w:t>
            </w:r>
            <w:fldSimple w:instr="NOTEREF _Ref_Footnote_12 \h \f">
              <w:r>
                <w:rPr>
                  <w:vertAlign w:val="superscript"/>
                </w:rPr>
                <w:t>12</w:t>
              </w:r>
            </w:fldSimple>
          </w:p>
        </w:tc>
        <w:tc>
          <w:tcPr/>
          <w:p>
            <w:pPr>
              <w:pStyle w:val="Compact"/>
              <w:jc w:val="left"/>
            </w:pPr>
            <w:r>
              <w:t xml:space="preserve">HIGH</w:t>
            </w:r>
          </w:p>
        </w:tc>
        <w:tc>
          <w:tcPr/>
          <w:p>
            <w:pPr>
              <w:pStyle w:val="Compact"/>
              <w:jc w:val="left"/>
            </w:pPr>
            <w:r>
              <w:t xml:space="preserve">VALIDATED</w:t>
            </w:r>
          </w:p>
        </w:tc>
      </w:tr>
    </w:tbl>
    <w:p>
      <w:pPr>
        <w:pStyle w:val="BodyText"/>
      </w:pPr>
      <w:r>
        <w:t xml:space="preserve">The table above distills the validation status of thirteen core capabilities. Eight are rated HIGH confidence and VALIDATED, meaning the evidence is sufficient for engineering implementation. Three are REFINED, meaning the original claim required scoping or methodological adjustment: the constraint engine operates at claim-level rather than token-level granularity, staged verification replaces a single real-time solver bridge, and memory capacity is exponential in specialized settings rather than infinite. Two claims are explicitly REJECTED: the</w:t>
      </w:r>
      <w:r>
        <w:t xml:space="preserve"> </w:t>
      </w:r>
      <w:r>
        <w:t xml:space="preserve">“</w:t>
      </w:r>
      <w:r>
        <w:t xml:space="preserve">infinite capacity</w:t>
      </w:r>
      <w:r>
        <w:t xml:space="preserve">”</w:t>
      </w:r>
      <w:r>
        <w:t xml:space="preserve"> </w:t>
      </w:r>
      <w:r>
        <w:t xml:space="preserve">claims for both phase-coherent and hyperdimensional memory are contradicted by peer-reviewed evidence showing exponential capacity for Kuramoto/honeycomb networks and linear scaling for hyperdimensional computing.</w:t>
      </w:r>
    </w:p>
    <w:bookmarkEnd w:id="23"/>
    <w:bookmarkStart w:id="24" w:name="the-core-claim-narrow-and-strong"/>
    <w:p>
      <w:pPr>
        <w:pStyle w:val="Heading2"/>
      </w:pPr>
      <w:r>
        <w:t xml:space="preserve">The Core Claim — Narrow and Strong</w:t>
      </w:r>
    </w:p>
    <w:p>
      <w:pPr>
        <w:pStyle w:val="FirstParagraph"/>
      </w:pPr>
      <w:r>
        <w:t xml:space="preserve">A smaller local model outperforms a larger unconstrained cloud model on reliability, reproducibility, formal verification, and agentic execution when wrapped in deterministic memory, typed ontologies, and proof obligations. This claim is deliberately narrow. It does not assert that the local model generates more creative prose, scores higher on trivia benchmarks, or produces more engaging dialogue. It asserts that, on the specific dimensions where failure carries consequential cost—medical diagnosis, legal reasoning, financial modeling, autonomous control, scientific reproducibility—the constrained local system delivers properties that the cloud model cannot match.</w:t>
      </w:r>
    </w:p>
    <w:p>
      <w:pPr>
        <w:pStyle w:val="BodyText"/>
      </w:pPr>
      <w:r>
        <w:t xml:space="preserve">The evidence for this claim comes from multiple independent directions. Deterministic execution via custom Metal kernels achieves bitwise-identical inference with ~27% overhead on Apple Silicon</w:t>
      </w:r>
      <w:r>
        <w:t xml:space="preserve"> </w:t>
      </w:r>
      <w:fldSimple w:instr="NOTEREF _Ref_Footnote_15 \h \f">
        <w:r>
          <w:rPr>
            <w:vertAlign w:val="superscript"/>
          </w:rPr>
          <w:t>15</w:t>
        </w:r>
      </w:fldSimple>
      <w:r>
        <w:t xml:space="preserve">; quantized models (Q4_K_M, Q8_0) achieve perfect reproducibility at zero overhead</w:t>
      </w:r>
      <w:r>
        <w:t xml:space="preserve"> </w:t>
      </w:r>
      <w:r>
        <w:rPr>
          <w:vertAlign w:val="superscript"/>
        </w:rPr>
        <w:footnoteReference w:id="22"/>
      </w:r>
      <w:r>
        <w:t xml:space="preserve">. The vllm-MLX inference engine achieves 21% to 87% higher throughput than llama.cpp on Apple Silicon, with Qwen3-8B at Q4 reaching 93.3 tok/s on an M4 Max</w:t>
      </w:r>
      <w:r>
        <w:t xml:space="preserve"> </w:t>
      </w:r>
      <w:r>
        <w:rPr>
          <w:vertAlign w:val="superscript"/>
        </w:rPr>
        <w:footnoteReference w:id="23"/>
      </w:r>
      <w:r>
        <w:t xml:space="preserve">. The M4 Max provides 546 GB/s unified memory bandwidth across 128 GB, while the M3 Ultra expands to 512 GB at 800 GB/s—enabling 70B-parameter models to run entirely within shared memory</w:t>
      </w:r>
      <w:r>
        <w:t xml:space="preserve"> </w:t>
      </w:r>
      <w:fldSimple w:instr="NOTEREF _Ref_Footnote_20 \h \f">
        <w:r>
          <w:rPr>
            <w:vertAlign w:val="superscript"/>
          </w:rPr>
          <w:t>20</w:t>
        </w:r>
      </w:fldSimple>
      <w:r>
        <w:t xml:space="preserve"> </w:t>
      </w:r>
      <w:r>
        <w:rPr>
          <w:vertAlign w:val="superscript"/>
        </w:rPr>
        <w:footnoteReference w:id="24"/>
      </w:r>
      <w:r>
        <w:t xml:space="preserve">.</w:t>
      </w:r>
    </w:p>
    <w:p>
      <w:pPr>
        <w:pStyle w:val="BodyText"/>
      </w:pPr>
      <w:r>
        <w:t xml:space="preserve">SAE interpretability provides the monitoring layer. Qwen-Scope releases 14 SAE groups across 7 backbones, providing feature-level telemetry</w:t>
      </w:r>
      <w:r>
        <w:t xml:space="preserve"> </w:t>
      </w:r>
      <w:fldSimple w:instr="NOTEREF _Ref_Footnote_3 \h \f">
        <w:r>
          <w:rPr>
            <w:vertAlign w:val="superscript"/>
          </w:rPr>
          <w:t>3</w:t>
        </w:r>
      </w:fldSimple>
      <w:r>
        <w:t xml:space="preserve">. SAVE steering reduces object hallucination by 31–49% across multimodal architectures</w:t>
      </w:r>
      <w:r>
        <w:t xml:space="preserve"> </w:t>
      </w:r>
      <w:r>
        <w:rPr>
          <w:vertAlign w:val="superscript"/>
        </w:rPr>
        <w:footnoteReference w:id="25"/>
      </w:r>
      <w:r>
        <w:t xml:space="preserve">. Autonomy steering on a 35B MoE model inverts behavioral mode from 78% passive deference to 95% proactive execution at Cohen’s d = 1.01</w:t>
      </w:r>
      <w:r>
        <w:t xml:space="preserve"> </w:t>
      </w:r>
      <w:fldSimple w:instr="NOTEREF _Ref_Footnote_5 \h \f">
        <w:r>
          <w:rPr>
            <w:vertAlign w:val="superscript"/>
          </w:rPr>
          <w:t>5</w:t>
        </w:r>
      </w:fldSimple>
      <w:r>
        <w:t xml:space="preserve">. These are not prompt-engineering tricks; they are causal interventions on the model’s internal representation space.</w:t>
      </w:r>
    </w:p>
    <w:p>
      <w:pPr>
        <w:pStyle w:val="BodyText"/>
      </w:pPr>
      <w:r>
        <w:t xml:space="preserve">The ontological constraint layer provides the enforcement mechanism. XGrammar 2 extracts structured claims at 30–80 µs per token</w:t>
      </w:r>
      <w:r>
        <w:t xml:space="preserve"> </w:t>
      </w:r>
      <w:fldSimple w:instr="NOTEREF _Ref_Footnote_13 \h \f">
        <w:r>
          <w:rPr>
            <w:vertAlign w:val="superscript"/>
          </w:rPr>
          <w:t>13</w:t>
        </w:r>
      </w:fldSimple>
      <w:r>
        <w:t xml:space="preserve">. Rust’s type system, via const generics and the</w:t>
      </w:r>
      <w:r>
        <w:t xml:space="preserve"> </w:t>
      </w:r>
      <w:r>
        <w:rPr>
          <w:rStyle w:val="VerbatimChar"/>
        </w:rPr>
        <w:t xml:space="preserve">uom</w:t>
      </w:r>
      <w:r>
        <w:t xml:space="preserve"> </w:t>
      </w:r>
      <w:r>
        <w:t xml:space="preserve">crate, enforces dimensional analysis at compile time with zero runtime cost</w:t>
      </w:r>
      <w:r>
        <w:t xml:space="preserve"> </w:t>
      </w:r>
      <w:r>
        <w:rPr>
          <w:vertAlign w:val="superscript"/>
        </w:rPr>
        <w:footnoteReference w:id="26"/>
      </w:r>
      <w:r>
        <w:t xml:space="preserve">. The PhysicsReward signal decomposes into six components—physical consistency, unit consistency, bound checking, monotonicity, empirical evidence sufficiency, and code invariant verification—each mapped to a distinct validator. The claim graph captures logical dependencies and propagates confidence across the reasoning chain.</w:t>
      </w:r>
    </w:p>
    <w:p>
      <w:pPr>
        <w:pStyle w:val="BodyText"/>
      </w:pPr>
      <w:r>
        <w:t xml:space="preserve">The repair loop closes the cycle. Intrinsic self-correction—asking the model to critique and fix its own output without external feedback—fails 64.5% of the time across 14 models</w:t>
      </w:r>
      <w:r>
        <w:t xml:space="preserve"> </w:t>
      </w:r>
      <w:fldSimple w:instr="NOTEREF _Ref_Footnote_4 \h \f">
        <w:r>
          <w:rPr>
            <w:vertAlign w:val="superscript"/>
          </w:rPr>
          <w:t>4</w:t>
        </w:r>
      </w:fldSimple>
      <w:r>
        <w:t xml:space="preserve">. Tool-augmented correction, where the model receives feedback from code execution, calculators, proof assistants, or SMT solvers, converges reliably in 1–3 iterations</w:t>
      </w:r>
      <w:r>
        <w:t xml:space="preserve"> </w:t>
      </w:r>
      <w:r>
        <w:rPr>
          <w:vertAlign w:val="superscript"/>
        </w:rPr>
        <w:footnoteReference w:id="27"/>
      </w:r>
      <w:r>
        <w:t xml:space="preserve">. The Rex Propose→Extract→Constrain→Verify→Repair→Commit cycle is explicitly tool-augmented by design: the constraint engine and solver bridge provide external, non-model feedback.</w:t>
      </w:r>
    </w:p>
    <w:p>
      <w:pPr>
        <w:pStyle w:val="BodyText"/>
      </w:pPr>
      <w:r>
        <w:t xml:space="preserve">When these layers are stacked—deterministic runtime, SAE monitoring, typed ontologies, staged verification, and tool-augmented repair—the result is not merely a local LLM wrapper. It is a computational substrate where physical law, formal logic, and neural computation are unified through deterministic execution. The system becomes self-monitoring (SAE + constraint engine + repair loop), self-improving (benchmark fingerprinting + GRPO + feature-guided synthesis), self-proving (deterministic replay + formal verification + proof-carrying responses), and self-correcting (active inference dynamics + staged verification + hallucination early warning).</w:t>
      </w:r>
    </w:p>
    <w:bookmarkEnd w:id="24"/>
    <w:bookmarkStart w:id="25" w:name="what-to-keep-demote-and-cut"/>
    <w:p>
      <w:pPr>
        <w:pStyle w:val="Heading2"/>
      </w:pPr>
      <w:r>
        <w:t xml:space="preserve">What to Keep, Demote, and Cut</w:t>
      </w:r>
    </w:p>
    <w:p>
      <w:pPr>
        <w:pStyle w:val="FirstParagraph"/>
      </w:pPr>
      <w:r>
        <w:t xml:space="preserve">The research process yielded clear guidance on which original claims to retain, which to scope more carefully, and which to abandon.</w:t>
      </w:r>
    </w:p>
    <w:p>
      <w:pPr>
        <w:pStyle w:val="BodyText"/>
      </w:pPr>
      <w:r>
        <w:rPr>
          <w:bCs/>
          <w:b/>
        </w:rPr>
        <w:t xml:space="preserve">Keep.</w:t>
      </w:r>
      <w:r>
        <w:t xml:space="preserve"> </w:t>
      </w:r>
      <w:r>
        <w:t xml:space="preserve">The following claims are validated by multiple independent sources and should be retained as core architecture pillars. Deterministic replay via seeded runtimes and batch-invariant kernels is achievable, with a recommended tiered approach: quantized models for zero-overhead deterministic inference, custom kernels for verification runs</w:t>
      </w:r>
      <w:r>
        <w:t xml:space="preserve"> </w:t>
      </w:r>
      <w:fldSimple w:instr="NOTEREF _Ref_Footnote_15 \h \f">
        <w:r>
          <w:rPr>
            <w:vertAlign w:val="superscript"/>
          </w:rPr>
          <w:t>15</w:t>
        </w:r>
      </w:fldSimple>
      <w:r>
        <w:t xml:space="preserve"> </w:t>
      </w:r>
      <w:fldSimple w:instr="NOTEREF _Ref_Footnote_22 \h \f">
        <w:r>
          <w:rPr>
            <w:vertAlign w:val="superscript"/>
          </w:rPr>
          <w:t>22</w:t>
        </w:r>
      </w:fldSimple>
      <w:r>
        <w:t xml:space="preserve">. SAE steering is causally powerful with manageable overhead; Switch SAEs reduce encoder FLOPs by 128×, making real-time monitoring feasible</w:t>
      </w:r>
      <w:r>
        <w:t xml:space="preserve"> </w:t>
      </w:r>
      <w:r>
        <w:rPr>
          <w:vertAlign w:val="superscript"/>
        </w:rPr>
        <w:footnoteReference w:id="28"/>
      </w:r>
      <w:r>
        <w:t xml:space="preserve">. Apple Silicon’s UMA uniquely enables deterministic AI execution because it eliminates PCIe non-determinism</w:t>
      </w:r>
      <w:r>
        <w:t xml:space="preserve"> </w:t>
      </w:r>
      <w:r>
        <w:rPr>
          <w:vertAlign w:val="superscript"/>
        </w:rPr>
        <w:footnoteReference w:id="29"/>
      </w:r>
      <w:r>
        <w:t xml:space="preserve"> </w:t>
      </w:r>
      <w:r>
        <w:rPr>
          <w:vertAlign w:val="superscript"/>
        </w:rPr>
        <w:footnoteReference w:id="30"/>
      </w:r>
      <w:r>
        <w:t xml:space="preserve">. Tool-augmented repair loops converge reliably; GRPO enables efficient local RL with ~50% memory reduction</w:t>
      </w:r>
      <w:r>
        <w:t xml:space="preserve"> </w:t>
      </w:r>
      <w:fldSimple w:instr="NOTEREF _Ref_Footnote_12 \h \f">
        <w:r>
          <w:rPr>
            <w:vertAlign w:val="superscript"/>
          </w:rPr>
          <w:t>12</w:t>
        </w:r>
      </w:fldSimple>
      <w:r>
        <w:t xml:space="preserve"> </w:t>
      </w:r>
      <w:fldSimple w:instr="NOTEREF _Ref_Footnote_27 \h \f">
        <w:r>
          <w:rPr>
            <w:vertAlign w:val="superscript"/>
          </w:rPr>
          <w:t>27</w:t>
        </w:r>
      </w:fldSimple>
      <w:r>
        <w:t xml:space="preserve">. MLA compresses KV cache 90%+, and TransMLA enables retrofitting to Llama/Qwen architectures</w:t>
      </w:r>
      <w:r>
        <w:t xml:space="preserve"> </w:t>
      </w:r>
      <w:fldSimple w:instr="NOTEREF _Ref_Footnote_20 \h \f">
        <w:r>
          <w:rPr>
            <w:vertAlign w:val="superscript"/>
          </w:rPr>
          <w:t>20</w:t>
        </w:r>
      </w:fldSimple>
      <w:r>
        <w:t xml:space="preserve"> </w:t>
      </w:r>
      <w:fldSimple w:instr="NOTEREF _Ref_Footnote_21 \h \f">
        <w:r>
          <w:rPr>
            <w:vertAlign w:val="superscript"/>
          </w:rPr>
          <w:t>21</w:t>
        </w:r>
      </w:fldSimple>
      <w:r>
        <w:t xml:space="preserve">. The three-layer memory hierarchy is architecturally sound, with each layer occupying a distinct position in the latency-capacity tradeoff space.</w:t>
      </w:r>
    </w:p>
    <w:p>
      <w:pPr>
        <w:pStyle w:val="BodyText"/>
      </w:pPr>
      <w:r>
        <w:rPr>
          <w:bCs/>
          <w:b/>
        </w:rPr>
        <w:t xml:space="preserve">Demote.</w:t>
      </w:r>
      <w:r>
        <w:t xml:space="preserve"> </w:t>
      </w:r>
      <w:r>
        <w:t xml:space="preserve">The following claims require qualification. The</w:t>
      </w:r>
      <w:r>
        <w:t xml:space="preserve"> </w:t>
      </w:r>
      <w:r>
        <w:t xml:space="preserve">“</w:t>
      </w:r>
      <w:r>
        <w:t xml:space="preserve">infinite capacity</w:t>
      </w:r>
      <w:r>
        <w:t xml:space="preserve">”</w:t>
      </w:r>
      <w:r>
        <w:t xml:space="preserve"> </w:t>
      </w:r>
      <w:r>
        <w:t xml:space="preserve">claim for memory systems is not substantiated by peer-reviewed evidence and should be reframed as</w:t>
      </w:r>
      <w:r>
        <w:t xml:space="preserve"> </w:t>
      </w:r>
      <w:r>
        <w:t xml:space="preserve">“</w:t>
      </w:r>
      <w:r>
        <w:t xml:space="preserve">exponentially scaling capacity in specialized settings</w:t>
      </w:r>
      <w:r>
        <w:t xml:space="preserve">”</w:t>
      </w:r>
      <w:r>
        <w:t xml:space="preserve"> </w:t>
      </w:r>
      <w:r>
        <w:t xml:space="preserve">for Kuramoto/honeycomb networks and</w:t>
      </w:r>
      <w:r>
        <w:t xml:space="preserve"> </w:t>
      </w:r>
      <w:r>
        <w:t xml:space="preserve">“</w:t>
      </w:r>
      <w:r>
        <w:t xml:space="preserve">linear scaling with dimension</w:t>
      </w:r>
      <w:r>
        <w:t xml:space="preserve">”</w:t>
      </w:r>
      <w:r>
        <w:t xml:space="preserve"> </w:t>
      </w:r>
      <w:r>
        <w:t xml:space="preserve">for HDC</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 The topological safety claim should be treated as a metaphor: graph reachability and proof obligations provide real safety guarantees, but literal topological invariants are a conceptual framework, not a runtime mechanism. The Free Energy Principle mapping to repair loop dynamics is a rigorous theoretical foundation, not an engineering specification. Formal verification via Kani, Creusot, and Lean is proven for bounded Rust harnesses and protocol properties, but no complete verifier exists for production-scale transformers</w:t>
      </w:r>
      <w:r>
        <w:t xml:space="preserve"> </w:t>
      </w:r>
      <w:fldSimple w:instr="NOTEREF _Ref_Footnote_19 \h \f">
        <w:r>
          <w:rPr>
            <w:vertAlign w:val="superscript"/>
          </w:rPr>
          <w:t>19</w:t>
        </w:r>
      </w:fldSimple>
      <w:r>
        <w:t xml:space="preserve">; the correct framing is staged verification with fast, medium, and slow paths.</w:t>
      </w:r>
    </w:p>
    <w:p>
      <w:pPr>
        <w:pStyle w:val="BodyText"/>
      </w:pPr>
      <w:r>
        <w:rPr>
          <w:bCs/>
          <w:b/>
        </w:rPr>
        <w:t xml:space="preserve">Cut.</w:t>
      </w:r>
      <w:r>
        <w:t xml:space="preserve"> </w:t>
      </w:r>
      <w:r>
        <w:t xml:space="preserve">The following claims are ruled out by physics consensus. Antigravity and vacuum propulsion claims are rejected by established physics; no peer-reviewed mechanism supports macroscopic antigravity. The</w:t>
      </w:r>
      <w:r>
        <w:t xml:space="preserve"> </w:t>
      </w:r>
      <w:r>
        <w:t xml:space="preserve">“</w:t>
      </w:r>
      <w:r>
        <w:t xml:space="preserve">unbreakable</w:t>
      </w:r>
      <w:r>
        <w:t xml:space="preserve">”</w:t>
      </w:r>
      <w:r>
        <w:t xml:space="preserve"> </w:t>
      </w:r>
      <w:r>
        <w:t xml:space="preserve">safety claim should be cut as it overstates what formal methods can guarantee; formal verification proves properties of the specification and the code, not of the physical world the code operates within.</w:t>
      </w:r>
    </w:p>
    <w:p>
      <w:pPr>
        <w:pStyle w:val="BodyText"/>
      </w:pPr>
      <w:r>
        <w:rPr>
          <w:bCs/>
          <w:b/>
        </w:rPr>
        <w:t xml:space="preserve">Table 2: The Fifteen Cross-Dimensional Breakthroughs by Readiness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Insight</w:t>
            </w:r>
          </w:p>
        </w:tc>
        <w:tc>
          <w:tcPr/>
          <w:p>
            <w:pPr>
              <w:pStyle w:val="Compact"/>
              <w:jc w:val="left"/>
            </w:pPr>
            <w:r>
              <w:t xml:space="preserve">Dimensions Synthesized</w:t>
            </w:r>
          </w:p>
        </w:tc>
        <w:tc>
          <w:tcPr/>
          <w:p>
            <w:pPr>
              <w:pStyle w:val="Compact"/>
              <w:jc w:val="left"/>
            </w:pPr>
            <w:r>
              <w:t xml:space="preserve">Confidence</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SAE-Constraint Feedback Loop</w:t>
            </w:r>
          </w:p>
        </w:tc>
        <w:tc>
          <w:tcPr/>
          <w:p>
            <w:pPr>
              <w:pStyle w:val="Compact"/>
              <w:jc w:val="left"/>
            </w:pPr>
            <w:r>
              <w:t xml:space="preserve">SAE steering × Claim extraction × Repair × Hallucination root-cause</w:t>
            </w:r>
          </w:p>
        </w:tc>
        <w:tc>
          <w:tcPr/>
          <w:p>
            <w:pPr>
              <w:pStyle w:val="Compact"/>
              <w:jc w:val="left"/>
            </w:pPr>
            <w:r>
              <w:t xml:space="preserve">HIGH</w:t>
            </w:r>
          </w:p>
        </w:tc>
        <w:tc>
          <w:tcPr/>
          <w:p>
            <w:pPr>
              <w:pStyle w:val="Compact"/>
              <w:jc w:val="left"/>
            </w:pPr>
            <w:r>
              <w:t xml:space="preserve">Buildable now</w:t>
            </w:r>
          </w:p>
        </w:tc>
      </w:tr>
      <w:tr>
        <w:tc>
          <w:tcPr/>
          <w:p>
            <w:pPr>
              <w:pStyle w:val="Compact"/>
              <w:jc w:val="left"/>
            </w:pPr>
            <w:r>
              <w:t xml:space="preserve">2</w:t>
            </w:r>
          </w:p>
        </w:tc>
        <w:tc>
          <w:tcPr/>
          <w:p>
            <w:pPr>
              <w:pStyle w:val="Compact"/>
              <w:jc w:val="left"/>
            </w:pPr>
            <w:r>
              <w:t xml:space="preserve">Proof-Carrying AI Chain</w:t>
            </w:r>
          </w:p>
        </w:tc>
        <w:tc>
          <w:tcPr/>
          <w:p>
            <w:pPr>
              <w:pStyle w:val="Compact"/>
              <w:jc w:val="left"/>
            </w:pPr>
            <w:r>
              <w:t xml:space="preserve">Determinism × Formal verification × Type-safe FFI</w:t>
            </w:r>
          </w:p>
        </w:tc>
        <w:tc>
          <w:tcPr/>
          <w:p>
            <w:pPr>
              <w:pStyle w:val="Compact"/>
              <w:jc w:val="left"/>
            </w:pPr>
            <w:r>
              <w:t xml:space="preserve">HIGH</w:t>
            </w:r>
          </w:p>
        </w:tc>
        <w:tc>
          <w:tcPr/>
          <w:p>
            <w:pPr>
              <w:pStyle w:val="Compact"/>
              <w:jc w:val="left"/>
            </w:pPr>
            <w:r>
              <w:t xml:space="preserve">Buildable now</w:t>
            </w:r>
          </w:p>
        </w:tc>
      </w:tr>
      <w:tr>
        <w:tc>
          <w:tcPr/>
          <w:p>
            <w:pPr>
              <w:pStyle w:val="Compact"/>
              <w:jc w:val="left"/>
            </w:pPr>
            <w:r>
              <w:t xml:space="preserve">3</w:t>
            </w:r>
          </w:p>
        </w:tc>
        <w:tc>
          <w:tcPr/>
          <w:p>
            <w:pPr>
              <w:pStyle w:val="Compact"/>
              <w:jc w:val="left"/>
            </w:pPr>
            <w:r>
              <w:t xml:space="preserve">Three-Layer Memory Hierarchy</w:t>
            </w:r>
          </w:p>
        </w:tc>
        <w:tc>
          <w:tcPr/>
          <w:p>
            <w:pPr>
              <w:pStyle w:val="Compact"/>
              <w:jc w:val="left"/>
            </w:pPr>
            <w:r>
              <w:t xml:space="preserve">MLA × HDC × Kuramoto</w:t>
            </w:r>
          </w:p>
        </w:tc>
        <w:tc>
          <w:tcPr/>
          <w:p>
            <w:pPr>
              <w:pStyle w:val="Compact"/>
              <w:jc w:val="left"/>
            </w:pPr>
            <w:r>
              <w:t xml:space="preserve">MEDIUM-HIGH</w:t>
            </w:r>
          </w:p>
        </w:tc>
        <w:tc>
          <w:tcPr/>
          <w:p>
            <w:pPr>
              <w:pStyle w:val="Compact"/>
              <w:jc w:val="left"/>
            </w:pPr>
            <w:r>
              <w:t xml:space="preserve">Buildable now</w:t>
            </w:r>
          </w:p>
        </w:tc>
      </w:tr>
      <w:tr>
        <w:tc>
          <w:tcPr/>
          <w:p>
            <w:pPr>
              <w:pStyle w:val="Compact"/>
              <w:jc w:val="left"/>
            </w:pPr>
            <w:r>
              <w:t xml:space="preserve">8</w:t>
            </w:r>
          </w:p>
        </w:tc>
        <w:tc>
          <w:tcPr/>
          <w:p>
            <w:pPr>
              <w:pStyle w:val="Compact"/>
              <w:jc w:val="left"/>
            </w:pPr>
            <w:r>
              <w:t xml:space="preserve">Hallucination Early Warning</w:t>
            </w:r>
          </w:p>
        </w:tc>
        <w:tc>
          <w:tcPr/>
          <w:p>
            <w:pPr>
              <w:pStyle w:val="Compact"/>
              <w:jc w:val="left"/>
            </w:pPr>
            <w:r>
              <w:t xml:space="preserve">SAE monitoring × Entropy collapse × NLI × ANE concurrency</w:t>
            </w:r>
          </w:p>
        </w:tc>
        <w:tc>
          <w:tcPr/>
          <w:p>
            <w:pPr>
              <w:pStyle w:val="Compact"/>
              <w:jc w:val="left"/>
            </w:pPr>
            <w:r>
              <w:t xml:space="preserve">HIGH</w:t>
            </w:r>
          </w:p>
        </w:tc>
        <w:tc>
          <w:tcPr/>
          <w:p>
            <w:pPr>
              <w:pStyle w:val="Compact"/>
              <w:jc w:val="left"/>
            </w:pPr>
            <w:r>
              <w:t xml:space="preserve">Buildable now</w:t>
            </w:r>
          </w:p>
        </w:tc>
      </w:tr>
      <w:tr>
        <w:tc>
          <w:tcPr/>
          <w:p>
            <w:pPr>
              <w:pStyle w:val="Compact"/>
              <w:jc w:val="left"/>
            </w:pPr>
            <w:r>
              <w:t xml:space="preserve">10</w:t>
            </w:r>
          </w:p>
        </w:tc>
        <w:tc>
          <w:tcPr/>
          <w:p>
            <w:pPr>
              <w:pStyle w:val="Compact"/>
              <w:jc w:val="left"/>
            </w:pPr>
            <w:r>
              <w:t xml:space="preserve">Local Deterministic Agent Swarm</w:t>
            </w:r>
          </w:p>
        </w:tc>
        <w:tc>
          <w:tcPr/>
          <w:p>
            <w:pPr>
              <w:pStyle w:val="Compact"/>
              <w:jc w:val="left"/>
            </w:pPr>
            <w:r>
              <w:t xml:space="preserve">Determinism × Local-first OS × Repair × Safe FFI</w:t>
            </w:r>
          </w:p>
        </w:tc>
        <w:tc>
          <w:tcPr/>
          <w:p>
            <w:pPr>
              <w:pStyle w:val="Compact"/>
              <w:jc w:val="left"/>
            </w:pPr>
            <w:r>
              <w:t xml:space="preserve">HIGH</w:t>
            </w:r>
          </w:p>
        </w:tc>
        <w:tc>
          <w:tcPr/>
          <w:p>
            <w:pPr>
              <w:pStyle w:val="Compact"/>
              <w:jc w:val="left"/>
            </w:pPr>
            <w:r>
              <w:t xml:space="preserve">Buildable now</w:t>
            </w:r>
          </w:p>
        </w:tc>
      </w:tr>
      <w:tr>
        <w:tc>
          <w:tcPr/>
          <w:p>
            <w:pPr>
              <w:pStyle w:val="Compact"/>
              <w:jc w:val="left"/>
            </w:pPr>
            <w:r>
              <w:t xml:space="preserve">4</w:t>
            </w:r>
          </w:p>
        </w:tc>
        <w:tc>
          <w:tcPr/>
          <w:p>
            <w:pPr>
              <w:pStyle w:val="Compact"/>
              <w:jc w:val="left"/>
            </w:pPr>
            <w:r>
              <w:t xml:space="preserve">Benchmark-Guided Curriculum RL</w:t>
            </w:r>
          </w:p>
        </w:tc>
        <w:tc>
          <w:tcPr/>
          <w:p>
            <w:pPr>
              <w:pStyle w:val="Compact"/>
              <w:jc w:val="left"/>
            </w:pPr>
            <w:r>
              <w:t xml:space="preserve">Benchmark fingerprinting × GRPO × Repair convergence</w:t>
            </w:r>
          </w:p>
        </w:tc>
        <w:tc>
          <w:tcPr/>
          <w:p>
            <w:pPr>
              <w:pStyle w:val="Compact"/>
              <w:jc w:val="left"/>
            </w:pPr>
            <w:r>
              <w:t xml:space="preserve">MEDIUM</w:t>
            </w:r>
          </w:p>
        </w:tc>
        <w:tc>
          <w:tcPr/>
          <w:p>
            <w:pPr>
              <w:pStyle w:val="Compact"/>
              <w:jc w:val="left"/>
            </w:pPr>
            <w:r>
              <w:t xml:space="preserve">Requires implementation</w:t>
            </w:r>
          </w:p>
        </w:tc>
      </w:tr>
      <w:tr>
        <w:tc>
          <w:tcPr/>
          <w:p>
            <w:pPr>
              <w:pStyle w:val="Compact"/>
              <w:jc w:val="left"/>
            </w:pPr>
            <w:r>
              <w:t xml:space="preserve">5</w:t>
            </w:r>
          </w:p>
        </w:tc>
        <w:tc>
          <w:tcPr/>
          <w:p>
            <w:pPr>
              <w:pStyle w:val="Compact"/>
              <w:jc w:val="left"/>
            </w:pPr>
            <w:r>
              <w:t xml:space="preserve">Compiler-Constrained SAE Steering</w:t>
            </w:r>
          </w:p>
        </w:tc>
        <w:tc>
          <w:tcPr/>
          <w:p>
            <w:pPr>
              <w:pStyle w:val="Compact"/>
              <w:jc w:val="left"/>
            </w:pPr>
            <w:r>
              <w:t xml:space="preserve">Type-safe compilation × SAE steering</w:t>
            </w:r>
          </w:p>
        </w:tc>
        <w:tc>
          <w:tcPr/>
          <w:p>
            <w:pPr>
              <w:pStyle w:val="Compact"/>
              <w:jc w:val="left"/>
            </w:pPr>
            <w:r>
              <w:t xml:space="preserve">MEDIUM</w:t>
            </w:r>
          </w:p>
        </w:tc>
        <w:tc>
          <w:tcPr/>
          <w:p>
            <w:pPr>
              <w:pStyle w:val="Compact"/>
              <w:jc w:val="left"/>
            </w:pPr>
            <w:r>
              <w:t xml:space="preserve">Requires implementation</w:t>
            </w:r>
          </w:p>
        </w:tc>
      </w:tr>
      <w:tr>
        <w:tc>
          <w:tcPr/>
          <w:p>
            <w:pPr>
              <w:pStyle w:val="Compact"/>
              <w:jc w:val="left"/>
            </w:pPr>
            <w:r>
              <w:t xml:space="preserve">9</w:t>
            </w:r>
          </w:p>
        </w:tc>
        <w:tc>
          <w:tcPr/>
          <w:p>
            <w:pPr>
              <w:pStyle w:val="Compact"/>
              <w:jc w:val="left"/>
            </w:pPr>
            <w:r>
              <w:t xml:space="preserve">Physics-Informed GRPO Rewards</w:t>
            </w:r>
          </w:p>
        </w:tc>
        <w:tc>
          <w:tcPr/>
          <w:p>
            <w:pPr>
              <w:pStyle w:val="Compact"/>
              <w:jc w:val="left"/>
            </w:pPr>
            <w:r>
              <w:t xml:space="preserve">Physics surrogates × GRPO × PhysicsReward</w:t>
            </w:r>
          </w:p>
        </w:tc>
        <w:tc>
          <w:tcPr/>
          <w:p>
            <w:pPr>
              <w:pStyle w:val="Compact"/>
              <w:jc w:val="left"/>
            </w:pPr>
            <w:r>
              <w:t xml:space="preserve">MEDIUM</w:t>
            </w:r>
          </w:p>
        </w:tc>
        <w:tc>
          <w:tcPr/>
          <w:p>
            <w:pPr>
              <w:pStyle w:val="Compact"/>
              <w:jc w:val="left"/>
            </w:pPr>
            <w:r>
              <w:t xml:space="preserve">Requires implementation</w:t>
            </w:r>
          </w:p>
        </w:tc>
      </w:tr>
      <w:tr>
        <w:tc>
          <w:tcPr/>
          <w:p>
            <w:pPr>
              <w:pStyle w:val="Compact"/>
              <w:jc w:val="left"/>
            </w:pPr>
            <w:r>
              <w:t xml:space="preserve">12</w:t>
            </w:r>
          </w:p>
        </w:tc>
        <w:tc>
          <w:tcPr/>
          <w:p>
            <w:pPr>
              <w:pStyle w:val="Compact"/>
              <w:jc w:val="left"/>
            </w:pPr>
            <w:r>
              <w:t xml:space="preserve">Feature-Directed Model Surgery</w:t>
            </w:r>
          </w:p>
        </w:tc>
        <w:tc>
          <w:tcPr/>
          <w:p>
            <w:pPr>
              <w:pStyle w:val="Compact"/>
              <w:jc w:val="left"/>
            </w:pPr>
            <w:r>
              <w:t xml:space="preserve">SAE identification × Manifold constraints × GRPO/TransMLA</w:t>
            </w:r>
          </w:p>
        </w:tc>
        <w:tc>
          <w:tcPr/>
          <w:p>
            <w:pPr>
              <w:pStyle w:val="Compact"/>
              <w:jc w:val="left"/>
            </w:pPr>
            <w:r>
              <w:t xml:space="preserve">MEDIUM</w:t>
            </w:r>
          </w:p>
        </w:tc>
        <w:tc>
          <w:tcPr/>
          <w:p>
            <w:pPr>
              <w:pStyle w:val="Compact"/>
              <w:jc w:val="left"/>
            </w:pPr>
            <w:r>
              <w:t xml:space="preserve">Requires implementation</w:t>
            </w:r>
          </w:p>
        </w:tc>
      </w:tr>
      <w:tr>
        <w:tc>
          <w:tcPr/>
          <w:p>
            <w:pPr>
              <w:pStyle w:val="Compact"/>
              <w:jc w:val="left"/>
            </w:pPr>
            <w:r>
              <w:t xml:space="preserve">14</w:t>
            </w:r>
          </w:p>
        </w:tc>
        <w:tc>
          <w:tcPr/>
          <w:p>
            <w:pPr>
              <w:pStyle w:val="Compact"/>
              <w:jc w:val="left"/>
            </w:pPr>
            <w:r>
              <w:t xml:space="preserve">Temporal Feature Drift Detection</w:t>
            </w:r>
          </w:p>
        </w:tc>
        <w:tc>
          <w:tcPr/>
          <w:p>
            <w:pPr>
              <w:pStyle w:val="Compact"/>
              <w:jc w:val="left"/>
            </w:pPr>
            <w:r>
              <w:t xml:space="preserve">SAE monitoring × Feature-performance correlation × Temporal encoding</w:t>
            </w:r>
          </w:p>
        </w:tc>
        <w:tc>
          <w:tcPr/>
          <w:p>
            <w:pPr>
              <w:pStyle w:val="Compact"/>
              <w:jc w:val="left"/>
            </w:pPr>
            <w:r>
              <w:t xml:space="preserve">MEDIUM-HIGH</w:t>
            </w:r>
          </w:p>
        </w:tc>
        <w:tc>
          <w:tcPr/>
          <w:p>
            <w:pPr>
              <w:pStyle w:val="Compact"/>
              <w:jc w:val="left"/>
            </w:pPr>
            <w:r>
              <w:t xml:space="preserve">Requires implementation</w:t>
            </w:r>
          </w:p>
        </w:tc>
      </w:tr>
      <w:tr>
        <w:tc>
          <w:tcPr/>
          <w:p>
            <w:pPr>
              <w:pStyle w:val="Compact"/>
              <w:jc w:val="left"/>
            </w:pPr>
            <w:r>
              <w:t xml:space="preserve">6</w:t>
            </w:r>
          </w:p>
        </w:tc>
        <w:tc>
          <w:tcPr/>
          <w:p>
            <w:pPr>
              <w:pStyle w:val="Compact"/>
              <w:jc w:val="left"/>
            </w:pPr>
            <w:r>
              <w:t xml:space="preserve">Free Energy Repair Dynamics</w:t>
            </w:r>
          </w:p>
        </w:tc>
        <w:tc>
          <w:tcPr/>
          <w:p>
            <w:pPr>
              <w:pStyle w:val="Compact"/>
              <w:jc w:val="left"/>
            </w:pPr>
            <w:r>
              <w:t xml:space="preserve">Active Inference × Repair loops × Constraint engine</w:t>
            </w:r>
          </w:p>
        </w:tc>
        <w:tc>
          <w:tcPr/>
          <w:p>
            <w:pPr>
              <w:pStyle w:val="Compact"/>
              <w:jc w:val="left"/>
            </w:pPr>
            <w:r>
              <w:t xml:space="preserve">HIGH</w:t>
            </w:r>
          </w:p>
        </w:tc>
        <w:tc>
          <w:tcPr/>
          <w:p>
            <w:pPr>
              <w:pStyle w:val="Compact"/>
              <w:jc w:val="left"/>
            </w:pPr>
            <w:r>
              <w:t xml:space="preserve">Theoretical foundation</w:t>
            </w:r>
          </w:p>
        </w:tc>
      </w:tr>
      <w:tr>
        <w:tc>
          <w:tcPr/>
          <w:p>
            <w:pPr>
              <w:pStyle w:val="Compact"/>
              <w:jc w:val="left"/>
            </w:pPr>
            <w:r>
              <w:t xml:space="preserve">7</w:t>
            </w:r>
          </w:p>
        </w:tc>
        <w:tc>
          <w:tcPr/>
          <w:p>
            <w:pPr>
              <w:pStyle w:val="Compact"/>
              <w:jc w:val="left"/>
            </w:pPr>
            <w:r>
              <w:t xml:space="preserve">Apple Silicon Determinism Moat</w:t>
            </w:r>
          </w:p>
        </w:tc>
        <w:tc>
          <w:tcPr/>
          <w:p>
            <w:pPr>
              <w:pStyle w:val="Compact"/>
              <w:jc w:val="left"/>
            </w:pPr>
            <w:r>
              <w:t xml:space="preserve">Determinism × Apple Silicon × FFI safety</w:t>
            </w:r>
          </w:p>
        </w:tc>
        <w:tc>
          <w:tcPr/>
          <w:p>
            <w:pPr>
              <w:pStyle w:val="Compact"/>
              <w:jc w:val="left"/>
            </w:pPr>
            <w:r>
              <w:t xml:space="preserve">HIGH</w:t>
            </w:r>
          </w:p>
        </w:tc>
        <w:tc>
          <w:tcPr/>
          <w:p>
            <w:pPr>
              <w:pStyle w:val="Compact"/>
              <w:jc w:val="left"/>
            </w:pPr>
            <w:r>
              <w:t xml:space="preserve">Theoretical foundation</w:t>
            </w:r>
          </w:p>
        </w:tc>
      </w:tr>
      <w:tr>
        <w:tc>
          <w:tcPr/>
          <w:p>
            <w:pPr>
              <w:pStyle w:val="Compact"/>
              <w:jc w:val="left"/>
            </w:pPr>
            <w:r>
              <w:t xml:space="preserve">11</w:t>
            </w:r>
          </w:p>
        </w:tc>
        <w:tc>
          <w:tcPr/>
          <w:p>
            <w:pPr>
              <w:pStyle w:val="Compact"/>
              <w:jc w:val="left"/>
            </w:pPr>
            <w:r>
              <w:t xml:space="preserve">Determinism-Privacy-Locality Triad</w:t>
            </w:r>
          </w:p>
        </w:tc>
        <w:tc>
          <w:tcPr/>
          <w:p>
            <w:pPr>
              <w:pStyle w:val="Compact"/>
              <w:jc w:val="left"/>
            </w:pPr>
            <w:r>
              <w:t xml:space="preserve">Determinism × Apple Silicon × Type safety × Local-first</w:t>
            </w:r>
          </w:p>
        </w:tc>
        <w:tc>
          <w:tcPr/>
          <w:p>
            <w:pPr>
              <w:pStyle w:val="Compact"/>
              <w:jc w:val="left"/>
            </w:pPr>
            <w:r>
              <w:t xml:space="preserve">HIGH</w:t>
            </w:r>
          </w:p>
        </w:tc>
        <w:tc>
          <w:tcPr/>
          <w:p>
            <w:pPr>
              <w:pStyle w:val="Compact"/>
              <w:jc w:val="left"/>
            </w:pPr>
            <w:r>
              <w:t xml:space="preserve">Theoretical foundation</w:t>
            </w:r>
          </w:p>
        </w:tc>
      </w:tr>
      <w:tr>
        <w:tc>
          <w:tcPr/>
          <w:p>
            <w:pPr>
              <w:pStyle w:val="Compact"/>
              <w:jc w:val="left"/>
            </w:pPr>
            <w:r>
              <w:t xml:space="preserve">13</w:t>
            </w:r>
          </w:p>
        </w:tc>
        <w:tc>
          <w:tcPr/>
          <w:p>
            <w:pPr>
              <w:pStyle w:val="Compact"/>
              <w:jc w:val="left"/>
            </w:pPr>
            <w:r>
              <w:t xml:space="preserve">Ontological Compile Target</w:t>
            </w:r>
          </w:p>
        </w:tc>
        <w:tc>
          <w:tcPr/>
          <w:p>
            <w:pPr>
              <w:pStyle w:val="Compact"/>
              <w:jc w:val="left"/>
            </w:pPr>
            <w:r>
              <w:t xml:space="preserve">Ontologies × Type system × Physics-informed NNs</w:t>
            </w:r>
          </w:p>
        </w:tc>
        <w:tc>
          <w:tcPr/>
          <w:p>
            <w:pPr>
              <w:pStyle w:val="Compact"/>
              <w:jc w:val="left"/>
            </w:pPr>
            <w:r>
              <w:t xml:space="preserve">MEDIUM</w:t>
            </w:r>
          </w:p>
        </w:tc>
        <w:tc>
          <w:tcPr/>
          <w:p>
            <w:pPr>
              <w:pStyle w:val="Compact"/>
              <w:jc w:val="left"/>
            </w:pPr>
            <w:r>
              <w:t xml:space="preserve">Theoretical foundation</w:t>
            </w:r>
          </w:p>
        </w:tc>
      </w:tr>
      <w:tr>
        <w:tc>
          <w:tcPr/>
          <w:p>
            <w:pPr>
              <w:pStyle w:val="Compact"/>
              <w:jc w:val="left"/>
            </w:pPr>
            <w:r>
              <w:t xml:space="preserve">15</w:t>
            </w:r>
          </w:p>
        </w:tc>
        <w:tc>
          <w:tcPr/>
          <w:p>
            <w:pPr>
              <w:pStyle w:val="Compact"/>
              <w:jc w:val="left"/>
            </w:pPr>
            <w:r>
              <w:t xml:space="preserve">Complete Stack as New Paradigm</w:t>
            </w:r>
          </w:p>
        </w:tc>
        <w:tc>
          <w:tcPr/>
          <w:p>
            <w:pPr>
              <w:pStyle w:val="Compact"/>
              <w:jc w:val="left"/>
            </w:pPr>
            <w:r>
              <w:t xml:space="preserve">All 17 dimensions</w:t>
            </w:r>
          </w:p>
        </w:tc>
        <w:tc>
          <w:tcPr/>
          <w:p>
            <w:pPr>
              <w:pStyle w:val="Compact"/>
              <w:jc w:val="left"/>
            </w:pPr>
            <w:r>
              <w:t xml:space="preserve">HIGH</w:t>
            </w:r>
          </w:p>
        </w:tc>
        <w:tc>
          <w:tcPr/>
          <w:p>
            <w:pPr>
              <w:pStyle w:val="Compact"/>
              <w:jc w:val="left"/>
            </w:pPr>
            <w:r>
              <w:t xml:space="preserve">Theoretical foundation</w:t>
            </w:r>
          </w:p>
        </w:tc>
      </w:tr>
    </w:tbl>
    <w:p>
      <w:pPr>
        <w:pStyle w:val="BodyText"/>
      </w:pPr>
      <w:r>
        <w:t xml:space="preserve">The fifteen insights are the primary deliverable of the cross-dimensional analysis. The top five are buildable now: each component is independently proven, and the integration path is an engineering problem, not a research question. The middle five require implementation effort—one or more components need additional development, but the fusion design is architecturally sound. The bottom five provide theoretical foundations: they are conceptually rigorous and serve as principled explanations or strategic positioning rather than immediate build targets. This structure gives the reader a clear roadmap from today’s engineering (Insights 1, 2, 3, 8, 10) through near-term development (Insights 4, 5, 9, 12, 14) to long-term vision (Insights 6, 7, 11, 13, 15).</w:t>
      </w:r>
    </w:p>
    <w:bookmarkEnd w:id="25"/>
    <w:bookmarkStart w:id="26" w:name="the-path-forward"/>
    <w:p>
      <w:pPr>
        <w:pStyle w:val="Heading2"/>
      </w:pPr>
      <w:r>
        <w:t xml:space="preserve">The Path Forward</w:t>
      </w:r>
    </w:p>
    <w:p>
      <w:pPr>
        <w:pStyle w:val="FirstParagraph"/>
      </w:pPr>
      <w:r>
        <w:t xml:space="preserve">The research documented in the following twelve chapters does not claim to have built a deterministic superintelligence. It claims to have identified the architectural primitives, validated the constituent mechanisms, and mapped the integration path. The work ahead is engineering: porting Kuramoto simulation kernels to Metal, implementing the SAE-Constraint Feedback Loop hook architecture, calibrating the Hallucination Early Warning fusion weights, and building the agent interaction protocols for the Local Deterministic Agent Swarm.</w:t>
      </w:r>
    </w:p>
    <w:p>
      <w:pPr>
        <w:pStyle w:val="BodyText"/>
      </w:pPr>
      <w:r>
        <w:t xml:space="preserve">The stack’s competitive positioning should be sharp and factual. The claim is not that a 7B local model beats a 1T cloud model on all tasks. The claim is that deterministic, auditable, privacy-preserving, user-owned reasoning beats unconstrained cloud inference on reliability-critical tasks. This is a real moat because cloud architectures structurally cannot provide the properties that Rex guarantees by design: multi-tenant scheduling prevents determinism, data transmission prevents privacy, and cloud storage prevents user-owned persistent memory.</w:t>
      </w:r>
    </w:p>
    <w:p>
      <w:pPr>
        <w:pStyle w:val="BodyText"/>
      </w:pPr>
      <w:r>
        <w:t xml:space="preserve">For the elite technical audience reading this summary, the invitation is to treat the following chapters as a specification and a challenge. Every claim is cited, every mechanism is traced to its source, and every cross-dimensional insight is annotated with confidence and readiness. The thesis is falsifiable: build the deterministic runtime, measure the overhead, test the SAE steering, and compare the constrained local model against the unconstrained cloud model on reliability-critical tasks. The research provides the blueprint. The proof is in the execution.</w:t>
      </w:r>
    </w:p>
    <w:p>
      <w:r>
        <w:pict>
          <v:rect style="width:0;height:1.5pt" o:hralign="center" o:hrstd="t" o:hr="t"/>
        </w:pict>
      </w:r>
    </w:p>
    <w:bookmarkEnd w:id="26"/>
    <w:bookmarkStart w:id="34" w:name="X4ae71a2733c78e934ea1bac1ca075c611e94ca2"/>
    <w:p>
      <w:pPr>
        <w:pStyle w:val="Heading2"/>
      </w:pPr>
      <w:r>
        <w:t xml:space="preserve">1. The Deterministic Runtime: Seeds, Reproducibility, and Trust</w:t>
      </w:r>
    </w:p>
    <w:bookmarkStart w:id="27" w:name="Xa48afd09f0e0ae077dff26be8906622cc9acac8"/>
    <w:p>
      <w:pPr>
        <w:pStyle w:val="Heading3"/>
      </w:pPr>
      <w:r>
        <w:t xml:space="preserve">1.1 Why Determinism Matters for Superintelligence</w:t>
      </w:r>
    </w:p>
    <w:p>
      <w:pPr>
        <w:pStyle w:val="FirstParagraph"/>
      </w:pPr>
      <w:r>
        <w:t xml:space="preserve">Every current-generation large language model (LLM) inference pipeline is structurally non-deterministic. This is not a bug to be patched; it is a property baked into the architecture of cloud serving systems. Multi-tenant scheduling, variable network latency, hardware-level thread scheduling, and the non-associativity of floating-point arithmetic combine to guarantee that the same prompt, submitted twice, will follow different execution paths and may produce different outputs</w:t>
      </w:r>
      <w:r>
        <w:t xml:space="preserve"> </w:t>
      </w:r>
      <w:fldSimple w:instr="NOTEREF _Ref_Footnote_1 \h \f">
        <w:r>
          <w:rPr>
            <w:vertAlign w:val="superscript"/>
          </w:rPr>
          <w:t>1</w:t>
        </w:r>
      </w:fldSimple>
      <w:r>
        <w:t xml:space="preserve">. The fundamental reason is that floating-point addition is non-associative:</w:t>
      </w:r>
      <w:r>
        <w:t xml:space="preserve"> </w:t>
      </w:r>
      <m:oMath>
        <m:d>
          <m:dPr>
            <m:begChr m:val="("/>
            <m:endChr m:val=")"/>
            <m:sepChr m:val=""/>
            <m:grow/>
          </m:dPr>
          <m:e>
            <m:r>
              <m:t>a</m:t>
            </m:r>
            <m:r>
              <m:rPr>
                <m:sty m:val="p"/>
              </m:rPr>
              <m:t>+</m:t>
            </m:r>
            <m:r>
              <m:t>b</m:t>
            </m:r>
          </m:e>
        </m:d>
        <m:r>
          <m:rPr>
            <m:sty m:val="p"/>
          </m:rPr>
          <m:t>+</m:t>
        </m:r>
        <m:r>
          <m:t>c</m:t>
        </m:r>
        <m:r>
          <m:rPr>
            <m:sty m:val="p"/>
          </m:rPr>
          <m:t>≠</m:t>
        </m:r>
        <m:r>
          <m:t>a</m:t>
        </m:r>
        <m:r>
          <m:rPr>
            <m:sty m:val="p"/>
          </m:rPr>
          <m:t>+</m:t>
        </m:r>
        <m:d>
          <m:dPr>
            <m:begChr m:val="("/>
            <m:endChr m:val=")"/>
            <m:sepChr m:val=""/>
            <m:grow/>
          </m:dPr>
          <m:e>
            <m:r>
              <m:t>b</m:t>
            </m:r>
            <m:r>
              <m:rPr>
                <m:sty m:val="p"/>
              </m:rPr>
              <m:t>+</m:t>
            </m:r>
            <m:r>
              <m:t>c</m:t>
            </m:r>
          </m:e>
        </m:d>
      </m:oMath>
      <w:r>
        <w:t xml:space="preserve">. GPU kernels consume numbers in different orders across runs due to continuous batching, Split-K versus Non-Split-K matrix multiplication, variable block-size hyperparameters, collective AllReduce operations in tensor-parallel deployments, and non-deterministic atomic operations</w:t>
      </w:r>
      <w:r>
        <w:t xml:space="preserve"> </w:t>
      </w:r>
      <w:fldSimple w:instr="NOTEREF _Ref_Footnote_1 \h \f">
        <w:r>
          <w:rPr>
            <w:vertAlign w:val="superscript"/>
          </w:rPr>
          <w:t>1</w:t>
        </w:r>
      </w:fldSimple>
      <w:r>
        <w:t xml:space="preserve"> </w:t>
      </w:r>
      <w:r>
        <w:rPr>
          <w:vertAlign w:val="superscript"/>
        </w:rPr>
        <w:footnoteReference w:id="31"/>
      </w:r>
      <w:r>
        <w:t xml:space="preserve">. Even greedy decoding—where the model always selects the most probable next token—can yield divergent results across runs on identical hardware</w:t>
      </w:r>
      <w:r>
        <w:t xml:space="preserve"> </w:t>
      </w:r>
      <w:r>
        <w:rPr>
          <w:vertAlign w:val="superscript"/>
        </w:rPr>
        <w:footnoteReference w:id="32"/>
      </w:r>
      <w:r>
        <w:t xml:space="preserve">. DeepSeek-R1-Distill-Qwen-7B, for example, shows up to 9% accuracy variation on the AIME dataset under identical greedy decoding, driven solely by system configuration changes such as batch size and tensor-parallelism size</w:t>
      </w:r>
      <w:r>
        <w:t xml:space="preserve"> </w:t>
      </w:r>
      <w:fldSimple w:instr="NOTEREF _Ref_Footnote_1 \h \f">
        <w:r>
          <w:rPr>
            <w:vertAlign w:val="superscript"/>
          </w:rPr>
          <w:t>1</w:t>
        </w:r>
      </w:fldSimple>
      <w:r>
        <w:t xml:space="preserve">.</w:t>
      </w:r>
    </w:p>
    <w:p>
      <w:pPr>
        <w:pStyle w:val="BodyText"/>
      </w:pPr>
      <w:r>
        <w:t xml:space="preserve">For a system aspiring to superintelligence—defined here as reliable, general, and auditable reasoning—this non-determinism is catastrophic. It prevents regression testing (did the model get worse after the update?), scientific reproducibility (can another researcher replicate this result?), and forensic audit (what exactly happened during that run?). Deterministic execution is the substrate upon which trust is built. Without it, every output is a one-off event, never fully inspectable or accountable.</w:t>
      </w:r>
    </w:p>
    <w:p>
      <w:pPr>
        <w:pStyle w:val="BodyText"/>
      </w:pPr>
      <w:r>
        <w:t xml:space="preserve">The implications extend beyond engineering convenience. In safety-critical domains—medical diagnosis, legal reasoning, financial modeling, autonomous control—the ability to reproduce a reasoning chain exactly is not optional. When an AI agent recommends a treatment plan, executes a trade, or commits code, the operator must be able to replay the exact sequence of states that led to that decision. Cloud inference APIs offer, at best, probabilistic reproducibility. OpenAI exposes a</w:t>
      </w:r>
      <w:r>
        <w:t xml:space="preserve"> </w:t>
      </w:r>
      <w:r>
        <w:rPr>
          <w:rStyle w:val="VerbatimChar"/>
        </w:rPr>
        <w:t xml:space="preserve">seed</w:t>
      </w:r>
      <w:r>
        <w:t xml:space="preserve"> </w:t>
      </w:r>
      <w:r>
        <w:t xml:space="preserve">parameter, but the same seed plus the same input plus the same</w:t>
      </w:r>
      <w:r>
        <w:t xml:space="preserve"> </w:t>
      </w:r>
      <w:r>
        <w:rPr>
          <w:rStyle w:val="VerbatimChar"/>
        </w:rPr>
        <w:t xml:space="preserve">system_fingerprint</w:t>
      </w:r>
      <w:r>
        <w:t xml:space="preserve"> </w:t>
      </w:r>
      <w:r>
        <w:t xml:space="preserve">produces identical output only</w:t>
      </w:r>
      <w:r>
        <w:t xml:space="preserve"> </w:t>
      </w:r>
      <w:r>
        <w:t xml:space="preserve">“</w:t>
      </w:r>
      <w:r>
        <w:t xml:space="preserve">most of the time</w:t>
      </w:r>
      <w:r>
        <w:t xml:space="preserve">”</w:t>
      </w:r>
      <w:r>
        <w:t xml:space="preserve">; backend updates change the</w:t>
      </w:r>
      <w:r>
        <w:t xml:space="preserve"> </w:t>
      </w:r>
      <w:r>
        <w:rPr>
          <w:rStyle w:val="VerbatimChar"/>
        </w:rPr>
        <w:t xml:space="preserve">system_fingerprint</w:t>
      </w:r>
      <w:r>
        <w:t xml:space="preserve"> </w:t>
      </w:r>
      <w:r>
        <w:t xml:space="preserve">and break reproducibility</w:t>
      </w:r>
      <w:r>
        <w:t xml:space="preserve"> </w:t>
      </w:r>
      <w:fldSimple w:instr="NOTEREF _Ref_Footnote_2 \h \f">
        <w:r>
          <w:rPr>
            <w:vertAlign w:val="superscript"/>
          </w:rPr>
          <w:t>2</w:t>
        </w:r>
      </w:fldSimple>
      <w:r>
        <w:t xml:space="preserve">. Anthropic does not expose a stable seed parameter as of early 2026</w:t>
      </w:r>
      <w:r>
        <w:t xml:space="preserve"> </w:t>
      </w:r>
      <w:fldSimple w:instr="NOTEREF _Ref_Footnote_2 \h \f">
        <w:r>
          <w:rPr>
            <w:vertAlign w:val="superscript"/>
          </w:rPr>
          <w:t>2</w:t>
        </w:r>
      </w:fldSimple>
      <w:r>
        <w:t xml:space="preserve">. True determinism requires control over the entire execution stack, from scheduler to kernel to floating-point accumulation order.</w:t>
      </w:r>
    </w:p>
    <w:p>
      <w:pPr>
        <w:pStyle w:val="BodyText"/>
      </w:pPr>
      <w:r>
        <w:rPr>
          <w:bCs/>
          <w:b/>
        </w:rPr>
        <w:t xml:space="preserve">Table 1.1: Sources of Non-Determinism in LLM Inference</w:t>
      </w:r>
    </w:p>
    <w:tbl>
      <w:tblPr>
        <w:tblStyle w:val="Table"/>
        <w:tblW w:type="pct" w:w="5000"/>
        <w:tblLook w:firstRow="1" w:lastRow="0" w:firstColumn="0" w:lastColumn="0" w:noHBand="0" w:noVBand="0" w:val="0020"/>
      </w:tblPr>
      <w:tblGrid>
        <w:gridCol w:w="1584"/>
        <w:gridCol w:w="1810"/>
        <w:gridCol w:w="1810"/>
        <w:gridCol w:w="2715"/>
      </w:tblGrid>
      <w:tr>
        <w:trPr>
          <w:tblHeader w:val="true"/>
        </w:trPr>
        <w:tc>
          <w:tcPr/>
          <w:p>
            <w:pPr>
              <w:pStyle w:val="Compact"/>
              <w:jc w:val="left"/>
            </w:pPr>
            <w:r>
              <w:t xml:space="preserve">Layer</w:t>
            </w:r>
          </w:p>
        </w:tc>
        <w:tc>
          <w:tcPr/>
          <w:p>
            <w:pPr>
              <w:pStyle w:val="Compact"/>
              <w:jc w:val="left"/>
            </w:pPr>
            <w:r>
              <w:t xml:space="preserve">Source</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Hardware</w:t>
            </w:r>
          </w:p>
        </w:tc>
        <w:tc>
          <w:tcPr/>
          <w:p>
            <w:pPr>
              <w:pStyle w:val="Compact"/>
              <w:jc w:val="left"/>
            </w:pPr>
            <w:r>
              <w:t xml:space="preserve">GPU warp scheduling variance, atomic operation ordering</w:t>
            </w:r>
            <w:r>
              <w:t xml:space="preserve"> </w:t>
            </w:r>
            <w:fldSimple w:instr="NOTEREF _Ref_Footnote_31 \h \f">
              <w:r>
                <w:rPr>
                  <w:vertAlign w:val="superscript"/>
                </w:rPr>
                <w:t>31</w:t>
              </w:r>
            </w:fldSimple>
          </w:p>
        </w:tc>
        <w:tc>
          <w:tcPr/>
          <w:p>
            <w:pPr>
              <w:pStyle w:val="Compact"/>
              <w:jc w:val="left"/>
            </w:pPr>
            <w:r>
              <w:t xml:space="preserve">Bit-level output differences</w:t>
            </w:r>
          </w:p>
        </w:tc>
        <w:tc>
          <w:tcPr/>
          <w:p>
            <w:pPr>
              <w:pStyle w:val="Compact"/>
              <w:jc w:val="left"/>
            </w:pPr>
            <w:r>
              <w:t xml:space="preserve">Fixed scheduling, deterministic atomics</w:t>
            </w:r>
          </w:p>
        </w:tc>
      </w:tr>
      <w:tr>
        <w:tc>
          <w:tcPr/>
          <w:p>
            <w:pPr>
              <w:pStyle w:val="Compact"/>
              <w:jc w:val="left"/>
            </w:pPr>
            <w:r>
              <w:t xml:space="preserve">Framework</w:t>
            </w:r>
          </w:p>
        </w:tc>
        <w:tc>
          <w:tcPr/>
          <w:p>
            <w:pPr>
              <w:pStyle w:val="Compact"/>
              <w:jc w:val="left"/>
            </w:pPr>
            <w:r>
              <w:t xml:space="preserve">Batch-sensitive kernels (RMSNorm, matmul, attention)</w:t>
            </w:r>
            <w:r>
              <w:t xml:space="preserve"> </w:t>
            </w:r>
            <w:r>
              <w:rPr>
                <w:vertAlign w:val="superscript"/>
              </w:rPr>
              <w:footnoteReference w:id="33"/>
            </w:r>
          </w:p>
        </w:tc>
        <w:tc>
          <w:tcPr/>
          <w:p>
            <w:pPr>
              <w:pStyle w:val="Compact"/>
              <w:jc w:val="left"/>
            </w:pPr>
            <w:r>
              <w:t xml:space="preserve">Logit drift across batch sizes</w:t>
            </w:r>
          </w:p>
        </w:tc>
        <w:tc>
          <w:tcPr/>
          <w:p>
            <w:pPr>
              <w:pStyle w:val="Compact"/>
              <w:jc w:val="left"/>
            </w:pPr>
            <w:r>
              <w:t xml:space="preserve">Batch-invariant kernel variants</w:t>
            </w:r>
          </w:p>
        </w:tc>
      </w:tr>
      <w:tr>
        <w:tc>
          <w:tcPr/>
          <w:p>
            <w:pPr>
              <w:pStyle w:val="Compact"/>
              <w:jc w:val="left"/>
            </w:pPr>
            <w:r>
              <w:t xml:space="preserve">Numerical</w:t>
            </w:r>
          </w:p>
        </w:tc>
        <w:tc>
          <w:tcPr/>
          <w:p>
            <w:pPr>
              <w:pStyle w:val="Compact"/>
              <w:jc w:val="left"/>
            </w:pPr>
            <w:r>
              <w:t xml:space="preserve">FP non-associativity, reduction order variation</w:t>
            </w:r>
            <w:r>
              <w:t xml:space="preserve"> </w:t>
            </w:r>
            <w:fldSimple w:instr="NOTEREF _Ref_Footnote_1 \h \f">
              <w:r>
                <w:rPr>
                  <w:vertAlign w:val="superscript"/>
                </w:rPr>
                <w:t>1</w:t>
              </w:r>
            </w:fldSimple>
          </w:p>
        </w:tc>
        <w:tc>
          <w:tcPr/>
          <w:p>
            <w:pPr>
              <w:pStyle w:val="Compact"/>
              <w:jc w:val="left"/>
            </w:pPr>
            <w:r>
              <w:t xml:space="preserve">Cumulative rounding error</w:t>
            </w:r>
          </w:p>
        </w:tc>
        <w:tc>
          <w:tcPr/>
          <w:p>
            <w:pPr>
              <w:pStyle w:val="Compact"/>
              <w:jc w:val="left"/>
            </w:pPr>
            <w:r>
              <w:t xml:space="preserve">Reproducible Floating-point Accumulator (RFA)</w:t>
            </w:r>
            <w:r>
              <w:t xml:space="preserve"> </w:t>
            </w:r>
            <w:r>
              <w:rPr>
                <w:vertAlign w:val="superscript"/>
              </w:rPr>
              <w:footnoteReference w:id="34"/>
            </w:r>
          </w:p>
        </w:tc>
      </w:tr>
      <w:tr>
        <w:tc>
          <w:tcPr/>
          <w:p>
            <w:pPr>
              <w:pStyle w:val="Compact"/>
              <w:jc w:val="left"/>
            </w:pPr>
            <w:r>
              <w:t xml:space="preserve">Scheduling</w:t>
            </w:r>
          </w:p>
        </w:tc>
        <w:tc>
          <w:tcPr/>
          <w:p>
            <w:pPr>
              <w:pStyle w:val="Compact"/>
              <w:jc w:val="left"/>
            </w:pPr>
            <w:r>
              <w:t xml:space="preserve">Continuous batching, multi-tenant preemption</w:t>
            </w:r>
            <w:r>
              <w:t xml:space="preserve"> </w:t>
            </w:r>
            <w:r>
              <w:rPr>
                <w:vertAlign w:val="superscript"/>
              </w:rPr>
              <w:footnoteReference w:id="35"/>
            </w:r>
          </w:p>
        </w:tc>
        <w:tc>
          <w:tcPr/>
          <w:p>
            <w:pPr>
              <w:pStyle w:val="Compact"/>
              <w:jc w:val="left"/>
            </w:pPr>
            <w:r>
              <w:t xml:space="preserve">Variable computation graph</w:t>
            </w:r>
          </w:p>
        </w:tc>
        <w:tc>
          <w:tcPr/>
          <w:p>
            <w:pPr>
              <w:pStyle w:val="Compact"/>
              <w:jc w:val="left"/>
            </w:pPr>
            <w:r>
              <w:t xml:space="preserve">Deterministic batching, single-tenant runtime</w:t>
            </w:r>
          </w:p>
        </w:tc>
      </w:tr>
      <w:tr>
        <w:tc>
          <w:tcPr/>
          <w:p>
            <w:pPr>
              <w:pStyle w:val="Compact"/>
              <w:jc w:val="left"/>
            </w:pPr>
            <w:r>
              <w:t xml:space="preserve">Network</w:t>
            </w:r>
          </w:p>
        </w:tc>
        <w:tc>
          <w:tcPr/>
          <w:p>
            <w:pPr>
              <w:pStyle w:val="Compact"/>
              <w:jc w:val="left"/>
            </w:pPr>
            <w:r>
              <w:t xml:space="preserve">Variable latency in distributed AllReduce</w:t>
            </w:r>
            <w:r>
              <w:t xml:space="preserve"> </w:t>
            </w:r>
            <w:fldSimple w:instr="NOTEREF _Ref_Footnote_1 \h \f">
              <w:r>
                <w:rPr>
                  <w:vertAlign w:val="superscript"/>
                </w:rPr>
                <w:t>1</w:t>
              </w:r>
            </w:fldSimple>
          </w:p>
        </w:tc>
        <w:tc>
          <w:tcPr/>
          <w:p>
            <w:pPr>
              <w:pStyle w:val="Compact"/>
              <w:jc w:val="left"/>
            </w:pPr>
            <w:r>
              <w:t xml:space="preserve">Timing-dependent synchronization</w:t>
            </w:r>
          </w:p>
        </w:tc>
        <w:tc>
          <w:tcPr/>
          <w:p>
            <w:pPr>
              <w:pStyle w:val="Compact"/>
              <w:jc w:val="left"/>
            </w:pPr>
            <w:r>
              <w:t xml:space="preserve">Local execution, deterministic network simulation</w:t>
            </w:r>
          </w:p>
        </w:tc>
      </w:tr>
      <w:tr>
        <w:tc>
          <w:tcPr/>
          <w:p>
            <w:pPr>
              <w:pStyle w:val="Compact"/>
              <w:jc w:val="left"/>
            </w:pPr>
            <w:r>
              <w:t xml:space="preserve">RNG</w:t>
            </w:r>
          </w:p>
        </w:tc>
        <w:tc>
          <w:tcPr/>
          <w:p>
            <w:pPr>
              <w:pStyle w:val="Compact"/>
              <w:jc w:val="left"/>
            </w:pPr>
            <w:r>
              <w:t xml:space="preserve">Uncontrolled entropy sources (time, hardware counters)</w:t>
            </w:r>
            <w:r>
              <w:t xml:space="preserve"> </w:t>
            </w:r>
            <w:r>
              <w:rPr>
                <w:vertAlign w:val="superscript"/>
              </w:rPr>
              <w:footnoteReference w:id="36"/>
            </w:r>
          </w:p>
        </w:tc>
        <w:tc>
          <w:tcPr/>
          <w:p>
            <w:pPr>
              <w:pStyle w:val="Compact"/>
              <w:jc w:val="left"/>
            </w:pPr>
            <w:r>
              <w:t xml:space="preserve">Divergent sampling paths</w:t>
            </w:r>
          </w:p>
        </w:tc>
        <w:tc>
          <w:tcPr/>
          <w:p>
            <w:pPr>
              <w:pStyle w:val="Compact"/>
              <w:jc w:val="left"/>
            </w:pPr>
            <w:r>
              <w:t xml:space="preserve">Seeded ChaCha20, virtual clock</w:t>
            </w:r>
          </w:p>
        </w:tc>
      </w:tr>
    </w:tbl>
    <w:p>
      <w:pPr>
        <w:pStyle w:val="BodyText"/>
      </w:pPr>
      <w:r>
        <w:t xml:space="preserve">The table above catalogs the six primary layers where non-determinism enters the inference pipeline. Each layer requires a distinct mitigation strategy, and no single fix addresses all of them. The hardware layer demands control over GPU thread scheduling; the framework layer requires custom kernels that are invariant to batch composition; the numerical layer needs controlled reduction order; the scheduling layer needs deterministic batching policies; the network layer is best addressed by eliminating distributed execution entirely; and the RNG layer requires centralized seed management. This is why cloud inference cannot, by its nature, guarantee byte-identical replays: the cloud operator controls some layers, the framework controls others, and the user controls none.</w:t>
      </w:r>
    </w:p>
    <w:p>
      <w:pPr>
        <w:pStyle w:val="BodyText"/>
      </w:pPr>
      <w:r>
        <w:rPr>
          <w:bCs/>
          <w:b/>
        </w:rPr>
        <w:t xml:space="preserve">Deterministic execution enables three foundational capabilities.</w:t>
      </w:r>
      <w:r>
        <w:t xml:space="preserve"> </w:t>
      </w:r>
      <w:r>
        <w:t xml:space="preserve">First,</w:t>
      </w:r>
      <w:r>
        <w:t xml:space="preserve"> </w:t>
      </w:r>
      <w:r>
        <w:rPr>
          <w:bCs/>
          <w:b/>
        </w:rPr>
        <w:t xml:space="preserve">audit trails</w:t>
      </w:r>
      <w:r>
        <w:t xml:space="preserve">: every state transition is logged, hashed, and linked into a cryptographic chain. Second,</w:t>
      </w:r>
      <w:r>
        <w:t xml:space="preserve"> </w:t>
      </w:r>
      <w:r>
        <w:rPr>
          <w:bCs/>
          <w:b/>
        </w:rPr>
        <w:t xml:space="preserve">regression testing</w:t>
      </w:r>
      <w:r>
        <w:t xml:space="preserve">: a change to the model, kernel, or constraint engine can be evaluated against the exact same prompts with byte-identical comparison. Third,</w:t>
      </w:r>
      <w:r>
        <w:t xml:space="preserve"> </w:t>
      </w:r>
      <w:r>
        <w:rPr>
          <w:bCs/>
          <w:b/>
        </w:rPr>
        <w:t xml:space="preserve">scientific reproducibility</w:t>
      </w:r>
      <w:r>
        <w:t xml:space="preserve">: a reasoning result published by the system can be replicated by any party with the same seed, model weights, and runtime version. These are not quality-of-life features; they are the preconditions for treating AI outputs as evidence rather than opinion.</w:t>
      </w:r>
    </w:p>
    <w:p>
      <w:pPr>
        <w:pStyle w:val="BodyText"/>
      </w:pPr>
      <w:r>
        <w:t xml:space="preserve">The practical path to deterministic execution in a modern systems language is demonstrated by</w:t>
      </w:r>
      <w:r>
        <w:t xml:space="preserve"> </w:t>
      </w:r>
      <w:r>
        <w:rPr>
          <w:bCs/>
          <w:b/>
        </w:rPr>
        <w:t xml:space="preserve">MadSim</w:t>
      </w:r>
      <w:r>
        <w:t xml:space="preserve">, a Rust async runtime that replaces</w:t>
      </w:r>
      <w:r>
        <w:t xml:space="preserve"> </w:t>
      </w:r>
      <w:r>
        <w:rPr>
          <w:rStyle w:val="VerbatimChar"/>
        </w:rPr>
        <w:t xml:space="preserve">tokio</w:t>
      </w:r>
      <w:r>
        <w:t xml:space="preserve"> </w:t>
      </w:r>
      <w:r>
        <w:t xml:space="preserve">with a deterministic simulator. MadSim intercepts libc symbols—</w:t>
      </w:r>
      <w:r>
        <w:rPr>
          <w:rStyle w:val="VerbatimChar"/>
        </w:rPr>
        <w:t xml:space="preserve">getrandom</w:t>
      </w:r>
      <w:r>
        <w:t xml:space="preserve">,</w:t>
      </w:r>
      <w:r>
        <w:t xml:space="preserve"> </w:t>
      </w:r>
      <w:r>
        <w:rPr>
          <w:rStyle w:val="VerbatimChar"/>
        </w:rPr>
        <w:t xml:space="preserve">getentropy</w:t>
      </w:r>
      <w:r>
        <w:t xml:space="preserve">,</w:t>
      </w:r>
      <w:r>
        <w:t xml:space="preserve"> </w:t>
      </w:r>
      <w:r>
        <w:rPr>
          <w:rStyle w:val="VerbatimChar"/>
        </w:rPr>
        <w:t xml:space="preserve">clock_gettime</w:t>
      </w:r>
      <w:r>
        <w:t xml:space="preserve">,</w:t>
      </w:r>
      <w:r>
        <w:t xml:space="preserve"> </w:t>
      </w:r>
      <w:r>
        <w:rPr>
          <w:rStyle w:val="VerbatimChar"/>
        </w:rPr>
        <w:t xml:space="preserve">gettimeofday</w:t>
      </w:r>
      <w:r>
        <w:t xml:space="preserve">—and replaces them with seeded pseudo-random number generators and virtual clocks</w:t>
      </w:r>
      <w:r>
        <w:t xml:space="preserve"> </w:t>
      </w:r>
      <w:fldSimple w:instr="NOTEREF _Ref_Footnote_36 \h \f">
        <w:r>
          <w:rPr>
            <w:vertAlign w:val="superscript"/>
          </w:rPr>
          <w:t>36</w:t>
        </w:r>
      </w:fldSimple>
      <w:r>
        <w:t xml:space="preserve">. The runtime runs all async tasks in a single thread, eliminating OS scheduler non-determinism</w:t>
      </w:r>
      <w:r>
        <w:t xml:space="preserve"> </w:t>
      </w:r>
      <w:r>
        <w:rPr>
          <w:vertAlign w:val="superscript"/>
        </w:rPr>
        <w:footnoteReference w:id="37"/>
      </w:r>
      <w:r>
        <w:t xml:space="preserve">. When built with</w:t>
      </w:r>
      <w:r>
        <w:t xml:space="preserve"> </w:t>
      </w:r>
      <w:r>
        <w:rPr>
          <w:rStyle w:val="VerbatimChar"/>
        </w:rPr>
        <w:t xml:space="preserve">RUSTFLAGS="--cfg madsim"</w:t>
      </w:r>
      <w:r>
        <w:t xml:space="preserve">, the code compiles against</w:t>
      </w:r>
      <w:r>
        <w:t xml:space="preserve"> </w:t>
      </w:r>
      <w:r>
        <w:rPr>
          <w:rStyle w:val="VerbatimChar"/>
        </w:rPr>
        <w:t xml:space="preserve">madsim-tokio</w:t>
      </w:r>
      <w:r>
        <w:t xml:space="preserve">,</w:t>
      </w:r>
      <w:r>
        <w:t xml:space="preserve"> </w:t>
      </w:r>
      <w:r>
        <w:rPr>
          <w:rStyle w:val="VerbatimChar"/>
        </w:rPr>
        <w:t xml:space="preserve">madsim-tonic</w:t>
      </w:r>
      <w:r>
        <w:t xml:space="preserve">, and other patched crates, enabling deterministic replay of complex distributed behaviors</w:t>
      </w:r>
      <w:r>
        <w:t xml:space="preserve"> </w:t>
      </w:r>
      <w:fldSimple w:instr="NOTEREF _Ref_Footnote_37 \h \f">
        <w:r>
          <w:rPr>
            <w:vertAlign w:val="superscript"/>
          </w:rPr>
          <w:t>37</w:t>
        </w:r>
      </w:fldSimple>
      <w:r>
        <w:t xml:space="preserve">. RisingWave, a distributed SQL database, uses MadSim in production for deterministic simulation testing (DST), following the pattern pioneered by FoundationDB</w:t>
      </w:r>
      <w:r>
        <w:t xml:space="preserve"> </w:t>
      </w:r>
      <w:r>
        <w:rPr>
          <w:vertAlign w:val="superscript"/>
        </w:rPr>
        <w:footnoteReference w:id="38"/>
      </w:r>
      <w:r>
        <w:t xml:space="preserve"> </w:t>
      </w:r>
      <w:r>
        <w:rPr>
          <w:vertAlign w:val="superscript"/>
        </w:rPr>
        <w:footnoteReference w:id="39"/>
      </w:r>
      <w:r>
        <w:t xml:space="preserve">. FoundationDB’s approach—running the real database software (not mocks) in a discrete-event simulator alongside randomized workloads and aggressive fault injection—has accumulated roughly one trillion CPU-hours of simulation testing</w:t>
      </w:r>
      <w:r>
        <w:t xml:space="preserve"> </w:t>
      </w:r>
      <w:fldSimple w:instr="NOTEREF _Ref_Footnote_39 \h \f">
        <w:r>
          <w:rPr>
            <w:vertAlign w:val="superscript"/>
          </w:rPr>
          <w:t>39</w:t>
        </w:r>
      </w:fldSimple>
      <w:r>
        <w:t xml:space="preserve">. The core insight of DST is simple: instead of building a model of your code, take your real code and make it the model</w:t>
      </w:r>
      <w:r>
        <w:t xml:space="preserve"> </w:t>
      </w:r>
      <w:r>
        <w:rPr>
          <w:vertAlign w:val="superscript"/>
        </w:rPr>
        <w:footnoteReference w:id="40"/>
      </w:r>
      <w:r>
        <w:t xml:space="preserve">. This is the architectural template for the Rex deterministic runtime.</w:t>
      </w:r>
    </w:p>
    <w:bookmarkEnd w:id="27"/>
    <w:bookmarkStart w:id="31" w:name="gpu-determinism-on-apple-silicon"/>
    <w:p>
      <w:pPr>
        <w:pStyle w:val="Heading3"/>
      </w:pPr>
      <w:r>
        <w:t xml:space="preserve">1.2 GPU Determinism on Apple Silicon</w:t>
      </w:r>
    </w:p>
    <w:p>
      <w:pPr>
        <w:pStyle w:val="FirstParagraph"/>
      </w:pPr>
      <w:r>
        <w:t xml:space="preserve">Apple Silicon presents a uniquely favorable substrate for deterministic AI execution because its Unified Memory Architecture (UMA) eliminates an entire class of non-determinism that plagues discrete GPU systems. On a conventional NVIDIA or AMD setup, CPU-to-GPU transfers traverse PCIe, introducing timing variance from bus contention, driver scheduling, and DMA queue depth. The transfer itself is deterministic in outcome but non-deterministic in timing, and when the inference pipeline includes synchronous waits for tensor movement, the cumulative scheduling effect can alter batch composition and kernel launch order. On Apple Silicon, the CPU, GPU, and Neural Engine (ANE) share the same physical memory pool; a tensor allocated by the Rust kernel via</w:t>
      </w:r>
      <w:r>
        <w:t xml:space="preserve"> </w:t>
      </w:r>
      <w:r>
        <w:rPr>
          <w:rStyle w:val="VerbatimChar"/>
        </w:rPr>
        <w:t xml:space="preserve">MTLStorageModeShared</w:t>
      </w:r>
      <w:r>
        <w:t xml:space="preserve"> </w:t>
      </w:r>
      <w:r>
        <w:t xml:space="preserve">is directly readable by Metal compute shaders and ANE programs without copy, serialization, or address translation</w:t>
      </w:r>
      <w:r>
        <w:t xml:space="preserve"> </w:t>
      </w:r>
      <w:fldSimple w:instr="NOTEREF _Ref_Footnote_29 \h \f">
        <w:r>
          <w:rPr>
            <w:vertAlign w:val="superscript"/>
          </w:rPr>
          <w:t>29</w:t>
        </w:r>
      </w:fldSimple>
      <w:r>
        <w:t xml:space="preserve"> </w:t>
      </w:r>
      <w:fldSimple w:instr="NOTEREF _Ref_Footnote_30 \h \f">
        <w:r>
          <w:rPr>
            <w:vertAlign w:val="superscript"/>
          </w:rPr>
          <w:t>30</w:t>
        </w:r>
      </w:fldSimple>
      <w:r>
        <w:t xml:space="preserve">. This zero-copy property is not merely a performance optimization—it is a determinism enabler, because it removes a timing-variable boundary from the execution path. The M4 Max provides 546 GB/s of shared memory bandwidth, and independent benchmarks show 28 tok/s on 70B-parameter Q4-quantized models versus 10 tok/s on an RTX 4090, demonstrating that UMA’s elimination of PCIe transfers is simultaneously a performance and determinism advantage.</w:t>
      </w:r>
    </w:p>
    <w:p>
      <w:pPr>
        <w:pStyle w:val="BodyText"/>
      </w:pPr>
      <w:r>
        <w:t xml:space="preserve">The research dimension on deterministic execution identified multiple proven paths to GPU determinism, each with distinct overhead profiles. The</w:t>
      </w:r>
      <w:r>
        <w:t xml:space="preserve"> </w:t>
      </w:r>
      <w:r>
        <w:rPr>
          <w:rStyle w:val="VerbatimChar"/>
        </w:rPr>
        <w:t xml:space="preserve">mlx-deterministic</w:t>
      </w:r>
      <w:r>
        <w:t xml:space="preserve"> </w:t>
      </w:r>
      <w:r>
        <w:t xml:space="preserve">project implements custom Metal kernels for MLX that achieve bitwise-identical (0.0 tolerance) inference on Apple Silicon with approximately 27–31% overhead for large matrix multiplications compared to standard MLX</w:t>
      </w:r>
      <w:r>
        <w:t xml:space="preserve"> </w:t>
      </w:r>
      <w:fldSimple w:instr="NOTEREF _Ref_Footnote_15 \h \f">
        <w:r>
          <w:rPr>
            <w:vertAlign w:val="superscript"/>
          </w:rPr>
          <w:t>15</w:t>
        </w:r>
      </w:fldSimple>
      <w:r>
        <w:t xml:space="preserve">. The technique uses a fixed SIMD reduction order and avoids batch-dependent kernel configurations. Quantized integer models (Q4_K_M, Q8_0) on MLX achieve perfect reproducibility with zero overhead because integer operations are associative, unlike floating-point</w:t>
      </w:r>
      <w:r>
        <w:t xml:space="preserve"> </w:t>
      </w:r>
      <w:fldSimple w:instr="NOTEREF _Ref_Footnote_22 \h \f">
        <w:r>
          <w:rPr>
            <w:vertAlign w:val="superscript"/>
          </w:rPr>
          <w:t>22</w:t>
        </w:r>
      </w:fldSimple>
      <w:r>
        <w:t xml:space="preserve">. On the CUDA side, Thinking Machines Lab identified the true root cause of LLM inference non-determinism as lack of batch invariance in inference kernels—standard RMSNorm, matmul, and attention kernels change their internal reduction strategy based on batch shape, producing different rounding accumulations</w:t>
      </w:r>
      <w:r>
        <w:t xml:space="preserve"> </w:t>
      </w:r>
      <w:fldSimple w:instr="NOTEREF _Ref_Footnote_33 \h \f">
        <w:r>
          <w:rPr>
            <w:vertAlign w:val="superscript"/>
          </w:rPr>
          <w:t>33</w:t>
        </w:r>
      </w:fldSimple>
      <w:r>
        <w:t xml:space="preserve">. Their batch-invariant variants achieve 100% bitwise-identical outputs across 1,000 runs under dynamic batching with approximately 10–40% performance cost depending on operation and hardware</w:t>
      </w:r>
      <w:r>
        <w:t xml:space="preserve"> </w:t>
      </w:r>
      <w:r>
        <w:rPr>
          <w:vertAlign w:val="superscript"/>
        </w:rPr>
        <w:footnoteReference w:id="41"/>
      </w:r>
      <w:r>
        <w:t xml:space="preserve">. NVIDIA CUB provides explicit</w:t>
      </w:r>
      <w:r>
        <w:t xml:space="preserve"> </w:t>
      </w:r>
      <w:r>
        <w:rPr>
          <w:rStyle w:val="VerbatimChar"/>
        </w:rPr>
        <w:t xml:space="preserve">gpu_to_gpu</w:t>
      </w:r>
      <w:r>
        <w:t xml:space="preserve"> </w:t>
      </w:r>
      <w:r>
        <w:t xml:space="preserve">determinism using Reproducible Floating-point Accumulators (RFA) that group values into fixed exponent-range bins, at 20–30% overhead</w:t>
      </w:r>
      <w:r>
        <w:t xml:space="preserve"> </w:t>
      </w:r>
      <w:fldSimple w:instr="NOTEREF _Ref_Footnote_34 \h \f">
        <w:r>
          <w:rPr>
            <w:vertAlign w:val="superscript"/>
          </w:rPr>
          <w:t>34</w:t>
        </w:r>
      </w:fldSimple>
      <w:r>
        <w:t xml:space="preserve">. At the hardware level, GPUDet—a deterministic GPU architecture proposed at ASPLOS 2013—achieves full determinism with as little as 4% overhead for compute-bound applications by leveraging inherent SIMD determinism and introducing a Z-Buffer Unit for ordered memory writes</w:t>
      </w:r>
      <w:r>
        <w:t xml:space="preserve"> </w:t>
      </w:r>
      <w:r>
        <w:rPr>
          <w:vertAlign w:val="superscript"/>
        </w:rPr>
        <w:footnoteReference w:id="42"/>
      </w:r>
      <w:r>
        <w:t xml:space="preserve"> </w:t>
      </w:r>
      <w:r>
        <w:rPr>
          <w:vertAlign w:val="superscript"/>
        </w:rPr>
        <w:footnoteReference w:id="43"/>
      </w:r>
      <w:r>
        <w:t xml:space="preserve">.</w:t>
      </w:r>
    </w:p>
    <w:p>
      <w:pPr>
        <w:pStyle w:val="CaptionedFigure"/>
      </w:pPr>
      <w:r>
        <w:drawing>
          <wp:inline>
            <wp:extent cx="5334000" cy="3168498"/>
            <wp:effectExtent b="0" l="0" r="0" t="0"/>
            <wp:docPr descr="Determinism overhead comparison" title="" id="29" name="Picture"/>
            <a:graphic>
              <a:graphicData uri="http://schemas.openxmlformats.org/drawingml/2006/picture">
                <pic:pic>
                  <pic:nvPicPr>
                    <pic:cNvPr descr="/mnt/agents/output/fig_1_1_determinism_overhead.png" id="30" name="Picture"/>
                    <pic:cNvPicPr>
                      <a:picLocks noChangeArrowheads="1" noChangeAspect="1"/>
                    </pic:cNvPicPr>
                  </pic:nvPicPr>
                  <pic:blipFill>
                    <a:blip r:embed="rId28"/>
                    <a:stretch>
                      <a:fillRect/>
                    </a:stretch>
                  </pic:blipFill>
                  <pic:spPr bwMode="auto">
                    <a:xfrm>
                      <a:off x="0" y="0"/>
                      <a:ext cx="5334000" cy="3168498"/>
                    </a:xfrm>
                    <a:prstGeom prst="rect">
                      <a:avLst/>
                    </a:prstGeom>
                    <a:noFill/>
                    <a:ln w="9525">
                      <a:noFill/>
                      <a:headEnd/>
                      <a:tailEnd/>
                    </a:ln>
                  </pic:spPr>
                </pic:pic>
              </a:graphicData>
            </a:graphic>
          </wp:inline>
        </w:drawing>
      </w:r>
    </w:p>
    <w:p>
      <w:pPr>
        <w:pStyle w:val="ImageCaption"/>
      </w:pPr>
      <w:r>
        <w:t xml:space="preserve">Determinism overhead comparison</w:t>
      </w:r>
    </w:p>
    <w:p>
      <w:pPr>
        <w:pStyle w:val="BodyText"/>
      </w:pPr>
      <w:r>
        <w:rPr>
          <w:iCs/>
          <w:i/>
        </w:rPr>
        <w:t xml:space="preserve">Figure 1.1: Performance overhead versus reproducibility guarantee across deterministic inference methods. Quantized models achieve bitwise identity at zero cost; custom kernels incur 20–30% overhead; hardware-level solutions (GPUDet) approach 4% for compute-bound workloads. Sources: mlx-deterministic</w:t>
      </w:r>
      <w:r>
        <w:rPr>
          <w:iCs/>
          <w:i/>
        </w:rPr>
        <w:t xml:space="preserve"> </w:t>
      </w:r>
      <w:fldSimple w:instr="NOTEREF _Ref_Footnote_15 \h \f">
        <w:r>
          <w:rPr>
            <w:vertAlign w:val="superscript"/>
          </w:rPr>
          <w:t>15</w:t>
        </w:r>
      </w:fldSimple>
      <w:r>
        <w:rPr>
          <w:iCs/>
          <w:i/>
        </w:rPr>
        <w:t xml:space="preserve">, Thinking Machines Lab</w:t>
      </w:r>
      <w:r>
        <w:rPr>
          <w:iCs/>
          <w:i/>
        </w:rPr>
        <w:t xml:space="preserve"> </w:t>
      </w:r>
      <w:fldSimple w:instr="NOTEREF _Ref_Footnote_33 \h \f">
        <w:r>
          <w:rPr>
            <w:vertAlign w:val="superscript"/>
          </w:rPr>
          <w:t>33</w:t>
        </w:r>
      </w:fldSimple>
      <w:r>
        <w:rPr>
          <w:iCs/>
          <w:i/>
        </w:rPr>
        <w:t xml:space="preserve">, NVIDIA CUB</w:t>
      </w:r>
      <w:r>
        <w:rPr>
          <w:iCs/>
          <w:i/>
        </w:rPr>
        <w:t xml:space="preserve"> </w:t>
      </w:r>
      <w:fldSimple w:instr="NOTEREF _Ref_Footnote_34 \h \f">
        <w:r>
          <w:rPr>
            <w:vertAlign w:val="superscript"/>
          </w:rPr>
          <w:t>34</w:t>
        </w:r>
      </w:fldSimple>
      <w:r>
        <w:rPr>
          <w:iCs/>
          <w:i/>
        </w:rPr>
        <w:t xml:space="preserve">, GPUDet</w:t>
      </w:r>
      <w:r>
        <w:rPr>
          <w:iCs/>
          <w:i/>
        </w:rPr>
        <w:t xml:space="preserve"> </w:t>
      </w:r>
      <w:fldSimple w:instr="NOTEREF _Ref_Footnote_42 \h \f">
        <w:r>
          <w:rPr>
            <w:vertAlign w:val="superscript"/>
          </w:rPr>
          <w:t>42</w:t>
        </w:r>
      </w:fldSimple>
      <w:r>
        <w:rPr>
          <w:iCs/>
          <w:i/>
        </w:rPr>
        <w:t xml:space="preserve">, MLX quantized</w:t>
      </w:r>
      <w:r>
        <w:rPr>
          <w:iCs/>
          <w:i/>
        </w:rPr>
        <w:t xml:space="preserve"> </w:t>
      </w:r>
      <w:fldSimple w:instr="NOTEREF _Ref_Footnote_22 \h \f">
        <w:r>
          <w:rPr>
            <w:vertAlign w:val="superscript"/>
          </w:rPr>
          <w:t>22</w:t>
        </w:r>
      </w:fldSimple>
      <w:r>
        <w:rPr>
          <w:iCs/>
          <w:i/>
        </w:rPr>
        <w:t xml:space="preserve">.</w:t>
      </w:r>
    </w:p>
    <w:p>
      <w:pPr>
        <w:pStyle w:val="BodyText"/>
      </w:pPr>
      <w:r>
        <w:rPr>
          <w:bCs/>
          <w:b/>
        </w:rPr>
        <w:t xml:space="preserve">Table 1.2: Determinism Methods and Their Overhead on Apple Silicon vs. Discrete GPU</w:t>
      </w:r>
    </w:p>
    <w:tbl>
      <w:tblPr>
        <w:tblStyle w:val="Table"/>
        <w:tblW w:type="pct" w:w="5000"/>
        <w:tblLook w:firstRow="1" w:lastRow="0" w:firstColumn="0" w:lastColumn="0" w:noHBand="0" w:noVBand="0" w:val="0020"/>
      </w:tblPr>
      <w:tblGrid>
        <w:gridCol w:w="1092"/>
        <w:gridCol w:w="1365"/>
        <w:gridCol w:w="1365"/>
        <w:gridCol w:w="1502"/>
        <w:gridCol w:w="2594"/>
      </w:tblGrid>
      <w:tr>
        <w:trPr>
          <w:tblHeader w:val="true"/>
        </w:trPr>
        <w:tc>
          <w:tcPr/>
          <w:p>
            <w:pPr>
              <w:pStyle w:val="Compact"/>
              <w:jc w:val="left"/>
            </w:pPr>
            <w:r>
              <w:t xml:space="preserve">Method</w:t>
            </w:r>
          </w:p>
        </w:tc>
        <w:tc>
          <w:tcPr/>
          <w:p>
            <w:pPr>
              <w:pStyle w:val="Compact"/>
              <w:jc w:val="left"/>
            </w:pPr>
            <w:r>
              <w:t xml:space="preserve">Platform</w:t>
            </w:r>
          </w:p>
        </w:tc>
        <w:tc>
          <w:tcPr/>
          <w:p>
            <w:pPr>
              <w:pStyle w:val="Compact"/>
              <w:jc w:val="left"/>
            </w:pPr>
            <w:r>
              <w:t xml:space="preserve">Overhead</w:t>
            </w:r>
          </w:p>
        </w:tc>
        <w:tc>
          <w:tcPr/>
          <w:p>
            <w:pPr>
              <w:pStyle w:val="Compact"/>
              <w:jc w:val="left"/>
            </w:pPr>
            <w:r>
              <w:t xml:space="preserve">Guarantee</w:t>
            </w:r>
          </w:p>
        </w:tc>
        <w:tc>
          <w:tcPr/>
          <w:p>
            <w:pPr>
              <w:pStyle w:val="Compact"/>
              <w:jc w:val="left"/>
            </w:pPr>
            <w:r>
              <w:t xml:space="preserve">Production Status</w:t>
            </w:r>
          </w:p>
        </w:tc>
      </w:tr>
      <w:tr>
        <w:tc>
          <w:tcPr/>
          <w:p>
            <w:pPr>
              <w:pStyle w:val="Compact"/>
              <w:jc w:val="left"/>
            </w:pPr>
            <w:r>
              <w:t xml:space="preserve">Standard MLX FP32</w:t>
            </w:r>
          </w:p>
        </w:tc>
        <w:tc>
          <w:tcPr/>
          <w:p>
            <w:pPr>
              <w:pStyle w:val="Compact"/>
              <w:jc w:val="left"/>
            </w:pPr>
            <w:r>
              <w:t xml:space="preserve">Apple Silicon</w:t>
            </w:r>
          </w:p>
        </w:tc>
        <w:tc>
          <w:tcPr/>
          <w:p>
            <w:pPr>
              <w:pStyle w:val="Compact"/>
              <w:jc w:val="left"/>
            </w:pPr>
            <w:r>
              <w:t xml:space="preserve">0%</w:t>
            </w:r>
          </w:p>
        </w:tc>
        <w:tc>
          <w:tcPr/>
          <w:p>
            <w:pPr>
              <w:pStyle w:val="Compact"/>
              <w:jc w:val="left"/>
            </w:pPr>
            <w:r>
              <w:t xml:space="preserve">None (batch-sensitive)</w:t>
            </w:r>
            <w:r>
              <w:t xml:space="preserve"> </w:t>
            </w:r>
            <w:fldSimple w:instr="NOTEREF _Ref_Footnote_22 \h \f">
              <w:r>
                <w:rPr>
                  <w:vertAlign w:val="superscript"/>
                </w:rPr>
                <w:t>22</w:t>
              </w:r>
            </w:fldSimple>
          </w:p>
        </w:tc>
        <w:tc>
          <w:tcPr/>
          <w:p>
            <w:pPr>
              <w:pStyle w:val="Compact"/>
              <w:jc w:val="left"/>
            </w:pPr>
            <w:r>
              <w:t xml:space="preserve">Production</w:t>
            </w:r>
          </w:p>
        </w:tc>
      </w:tr>
      <w:tr>
        <w:tc>
          <w:tcPr/>
          <w:p>
            <w:pPr>
              <w:pStyle w:val="Compact"/>
              <w:jc w:val="left"/>
            </w:pPr>
            <w:r>
              <w:t xml:space="preserve">Quantized MLX (Q4_K_M, Q8_0)</w:t>
            </w:r>
          </w:p>
        </w:tc>
        <w:tc>
          <w:tcPr/>
          <w:p>
            <w:pPr>
              <w:pStyle w:val="Compact"/>
              <w:jc w:val="left"/>
            </w:pPr>
            <w:r>
              <w:t xml:space="preserve">Apple Silicon</w:t>
            </w:r>
          </w:p>
        </w:tc>
        <w:tc>
          <w:tcPr/>
          <w:p>
            <w:pPr>
              <w:pStyle w:val="Compact"/>
              <w:jc w:val="left"/>
            </w:pPr>
            <w:r>
              <w:t xml:space="preserve">0%</w:t>
            </w:r>
          </w:p>
        </w:tc>
        <w:tc>
          <w:tcPr/>
          <w:p>
            <w:pPr>
              <w:pStyle w:val="Compact"/>
              <w:jc w:val="left"/>
            </w:pPr>
            <w:r>
              <w:t xml:space="preserve">Bitwise-identical</w:t>
            </w:r>
            <w:r>
              <w:t xml:space="preserve"> </w:t>
            </w:r>
            <w:fldSimple w:instr="NOTEREF _Ref_Footnote_22 \h \f">
              <w:r>
                <w:rPr>
                  <w:vertAlign w:val="superscript"/>
                </w:rPr>
                <w:t>22</w:t>
              </w:r>
            </w:fldSimple>
          </w:p>
        </w:tc>
        <w:tc>
          <w:tcPr/>
          <w:p>
            <w:pPr>
              <w:pStyle w:val="Compact"/>
              <w:jc w:val="left"/>
            </w:pPr>
            <w:r>
              <w:t xml:space="preserve">Production</w:t>
            </w:r>
          </w:p>
        </w:tc>
      </w:tr>
      <w:tr>
        <w:tc>
          <w:tcPr/>
          <w:p>
            <w:pPr>
              <w:pStyle w:val="Compact"/>
              <w:jc w:val="left"/>
            </w:pPr>
            <w:r>
              <w:rPr>
                <w:rStyle w:val="VerbatimChar"/>
              </w:rPr>
              <w:t xml:space="preserve">mlx-deterministic</w:t>
            </w:r>
            <w:r>
              <w:t xml:space="preserve"> </w:t>
            </w:r>
            <w:r>
              <w:t xml:space="preserve">custom Metal</w:t>
            </w:r>
          </w:p>
        </w:tc>
        <w:tc>
          <w:tcPr/>
          <w:p>
            <w:pPr>
              <w:pStyle w:val="Compact"/>
              <w:jc w:val="left"/>
            </w:pPr>
            <w:r>
              <w:t xml:space="preserve">Apple Silicon</w:t>
            </w:r>
          </w:p>
        </w:tc>
        <w:tc>
          <w:tcPr/>
          <w:p>
            <w:pPr>
              <w:pStyle w:val="Compact"/>
              <w:jc w:val="left"/>
            </w:pPr>
            <w:r>
              <w:t xml:space="preserve">~27%</w:t>
            </w:r>
            <w:r>
              <w:t xml:space="preserve"> </w:t>
            </w:r>
            <w:fldSimple w:instr="NOTEREF _Ref_Footnote_15 \h \f">
              <w:r>
                <w:rPr>
                  <w:vertAlign w:val="superscript"/>
                </w:rPr>
                <w:t>15</w:t>
              </w:r>
            </w:fldSimple>
          </w:p>
        </w:tc>
        <w:tc>
          <w:tcPr/>
          <w:p>
            <w:pPr>
              <w:pStyle w:val="Compact"/>
              <w:jc w:val="left"/>
            </w:pPr>
            <w:r>
              <w:t xml:space="preserve">Bitwise-identical</w:t>
            </w:r>
          </w:p>
        </w:tc>
        <w:tc>
          <w:tcPr/>
          <w:p>
            <w:pPr>
              <w:pStyle w:val="Compact"/>
              <w:jc w:val="left"/>
            </w:pPr>
            <w:r>
              <w:t xml:space="preserve">Community project</w:t>
            </w:r>
          </w:p>
        </w:tc>
      </w:tr>
      <w:tr>
        <w:tc>
          <w:tcPr/>
          <w:p>
            <w:pPr>
              <w:pStyle w:val="Compact"/>
              <w:jc w:val="left"/>
            </w:pPr>
            <w:r>
              <w:t xml:space="preserve">Thinking Machines batch-invariant</w:t>
            </w:r>
          </w:p>
        </w:tc>
        <w:tc>
          <w:tcPr/>
          <w:p>
            <w:pPr>
              <w:pStyle w:val="Compact"/>
              <w:jc w:val="left"/>
            </w:pPr>
            <w:r>
              <w:t xml:space="preserve">CUDA (NVIDIA)</w:t>
            </w:r>
          </w:p>
        </w:tc>
        <w:tc>
          <w:tcPr/>
          <w:p>
            <w:pPr>
              <w:pStyle w:val="Compact"/>
              <w:jc w:val="left"/>
            </w:pPr>
            <w:r>
              <w:t xml:space="preserve">~20%</w:t>
            </w:r>
            <w:r>
              <w:t xml:space="preserve"> </w:t>
            </w:r>
            <w:fldSimple w:instr="NOTEREF _Ref_Footnote_33 \h \f">
              <w:r>
                <w:rPr>
                  <w:vertAlign w:val="superscript"/>
                </w:rPr>
                <w:t>33</w:t>
              </w:r>
            </w:fldSimple>
          </w:p>
        </w:tc>
        <w:tc>
          <w:tcPr/>
          <w:p>
            <w:pPr>
              <w:pStyle w:val="Compact"/>
              <w:jc w:val="left"/>
            </w:pPr>
            <w:r>
              <w:t xml:space="preserve">Bitwise-identical</w:t>
            </w:r>
          </w:p>
        </w:tc>
        <w:tc>
          <w:tcPr/>
          <w:p>
            <w:pPr>
              <w:pStyle w:val="Compact"/>
              <w:jc w:val="left"/>
            </w:pPr>
            <w:r>
              <w:t xml:space="preserve">Adopted by SGLang</w:t>
            </w:r>
            <w:r>
              <w:t xml:space="preserve"> </w:t>
            </w:r>
            <w:r>
              <w:rPr>
                <w:vertAlign w:val="superscript"/>
              </w:rPr>
              <w:footnoteReference w:id="44"/>
            </w:r>
          </w:p>
        </w:tc>
      </w:tr>
      <w:tr>
        <w:tc>
          <w:tcPr/>
          <w:p>
            <w:pPr>
              <w:pStyle w:val="Compact"/>
              <w:jc w:val="left"/>
            </w:pPr>
            <w:r>
              <w:t xml:space="preserve">NVIDIA CUB RFA</w:t>
            </w:r>
          </w:p>
        </w:tc>
        <w:tc>
          <w:tcPr/>
          <w:p>
            <w:pPr>
              <w:pStyle w:val="Compact"/>
              <w:jc w:val="left"/>
            </w:pPr>
            <w:r>
              <w:t xml:space="preserve">CUDA (NVIDIA)</w:t>
            </w:r>
          </w:p>
        </w:tc>
        <w:tc>
          <w:tcPr/>
          <w:p>
            <w:pPr>
              <w:pStyle w:val="Compact"/>
              <w:jc w:val="left"/>
            </w:pPr>
            <w:r>
              <w:t xml:space="preserve">~25%</w:t>
            </w:r>
            <w:r>
              <w:t xml:space="preserve"> </w:t>
            </w:r>
            <w:fldSimple w:instr="NOTEREF _Ref_Footnote_34 \h \f">
              <w:r>
                <w:rPr>
                  <w:vertAlign w:val="superscript"/>
                </w:rPr>
                <w:t>34</w:t>
              </w:r>
            </w:fldSimple>
          </w:p>
        </w:tc>
        <w:tc>
          <w:tcPr/>
          <w:p>
            <w:pPr>
              <w:pStyle w:val="Compact"/>
              <w:jc w:val="left"/>
            </w:pPr>
            <w:r>
              <w:t xml:space="preserve">Cross-GPU identical</w:t>
            </w:r>
          </w:p>
        </w:tc>
        <w:tc>
          <w:tcPr/>
          <w:p>
            <w:pPr>
              <w:pStyle w:val="Compact"/>
              <w:jc w:val="left"/>
            </w:pPr>
            <w:r>
              <w:t xml:space="preserve">Production (CCCL)</w:t>
            </w:r>
          </w:p>
        </w:tc>
      </w:tr>
      <w:tr>
        <w:tc>
          <w:tcPr/>
          <w:p>
            <w:pPr>
              <w:pStyle w:val="Compact"/>
              <w:jc w:val="left"/>
            </w:pPr>
            <w:r>
              <w:t xml:space="preserve">GPUDet (hardware)</w:t>
            </w:r>
          </w:p>
        </w:tc>
        <w:tc>
          <w:tcPr/>
          <w:p>
            <w:pPr>
              <w:pStyle w:val="Compact"/>
              <w:jc w:val="left"/>
            </w:pPr>
            <w:r>
              <w:t xml:space="preserve">Theoretical GPU</w:t>
            </w:r>
          </w:p>
        </w:tc>
        <w:tc>
          <w:tcPr/>
          <w:p>
            <w:pPr>
              <w:pStyle w:val="Compact"/>
              <w:jc w:val="left"/>
            </w:pPr>
            <w:r>
              <w:t xml:space="preserve">~4%</w:t>
            </w:r>
            <w:r>
              <w:t xml:space="preserve"> </w:t>
            </w:r>
            <w:fldSimple w:instr="NOTEREF _Ref_Footnote_42 \h \f">
              <w:r>
                <w:rPr>
                  <w:vertAlign w:val="superscript"/>
                </w:rPr>
                <w:t>42</w:t>
              </w:r>
            </w:fldSimple>
          </w:p>
        </w:tc>
        <w:tc>
          <w:tcPr/>
          <w:p>
            <w:pPr>
              <w:pStyle w:val="Compact"/>
              <w:jc w:val="left"/>
            </w:pPr>
            <w:r>
              <w:t xml:space="preserve">Fully deterministic</w:t>
            </w:r>
          </w:p>
        </w:tc>
        <w:tc>
          <w:tcPr/>
          <w:p>
            <w:pPr>
              <w:pStyle w:val="Compact"/>
              <w:jc w:val="left"/>
            </w:pPr>
            <w:r>
              <w:t xml:space="preserve">Research prototype</w:t>
            </w:r>
          </w:p>
        </w:tc>
      </w:tr>
    </w:tbl>
    <w:p>
      <w:pPr>
        <w:pStyle w:val="BodyText"/>
      </w:pPr>
      <w:r>
        <w:t xml:space="preserve">The table makes clear that Apple Silicon enjoys two advantages unavailable to discrete GPU systems. First, UMA eliminates PCIe transfer non-determinism entirely. Second, the integer quantization path—Q4_K_M and Q8_0 models running on MLX—provides perfect reproducibility at zero performance cost</w:t>
      </w:r>
      <w:r>
        <w:t xml:space="preserve"> </w:t>
      </w:r>
      <w:fldSimple w:instr="NOTEREF _Ref_Footnote_22 \h \f">
        <w:r>
          <w:rPr>
            <w:vertAlign w:val="superscript"/>
          </w:rPr>
          <w:t>22</w:t>
        </w:r>
      </w:fldSimple>
      <w:r>
        <w:t xml:space="preserve">. On discrete GPUs, even with batch-invariant kernels, the PCIe boundary and multi-GPU AllReduce collectives introduce additional non-determinism that batch invariance alone cannot address</w:t>
      </w:r>
      <w:r>
        <w:t xml:space="preserve"> </w:t>
      </w:r>
      <w:fldSimple w:instr="NOTEREF _Ref_Footnote_1 \h \f">
        <w:r>
          <w:rPr>
            <w:vertAlign w:val="superscript"/>
          </w:rPr>
          <w:t>1</w:t>
        </w:r>
      </w:fldSimple>
      <w:r>
        <w:t xml:space="preserve">. For the Rex substrate, this means Apple Silicon is the optimal target for deterministic inference: the combination of UMA zero-copy, quantized model reproducibility, and custom Metal kernels for cases requiring floating-point creates a determinism stack that is structurally impossible to replicate on cloud GPU clusters.</w:t>
      </w:r>
    </w:p>
    <w:p>
      <w:pPr>
        <w:pStyle w:val="BodyText"/>
      </w:pPr>
      <w:r>
        <w:t xml:space="preserve">The practical implementation within Rex follows a tiered approach. For standard inference, quantized models (Q4_K_M or Q8_0) provide deterministic outputs with no overhead. For verification runs—where exact reproducibility is mandatory—Rex can fall back to custom deterministic Metal kernels or batch-invariant configurations at approximately 27% overhead. The scheduler records which tier was used for each RunEvent, so downstream auditing can weight the verification result accordingly. This tiered design resolves the tension between throughput and determinism identified in cross-verification: deterministic scheduling plus seeded random number generation (RNG) operates at low cost; byte-identical kernels are reserved for verification and testing runs</w:t>
      </w:r>
      <w:r>
        <w:t xml:space="preserve"> </w:t>
      </w:r>
      <w:r>
        <w:rPr>
          <w:vertAlign w:val="superscript"/>
        </w:rPr>
        <w:footnoteReference w:id="45"/>
      </w:r>
      <w:r>
        <w:t xml:space="preserve"> </w:t>
      </w:r>
      <w:fldSimple w:instr="NOTEREF _Ref_Footnote_33 \h \f">
        <w:r>
          <w:rPr>
            <w:vertAlign w:val="superscript"/>
          </w:rPr>
          <w:t>33</w:t>
        </w:r>
      </w:fldSimple>
      <w:r>
        <w:t xml:space="preserve">. The key insight is that not every inference needs the same guarantee. A casual conversation benefits from speed; a medical diagnosis or financial calculation benefits from proof. Tiered determinism matches the verification budget to the criticality of the decision.</w:t>
      </w:r>
    </w:p>
    <w:bookmarkEnd w:id="31"/>
    <w:bookmarkStart w:id="32" w:name="X8e7ffb45262f3f672d33c7f46dad39c44c95643"/>
    <w:p>
      <w:pPr>
        <w:pStyle w:val="Heading3"/>
      </w:pPr>
      <w:r>
        <w:t xml:space="preserve">1.3 The Run Ledger: Cryptographic Attestation of Every Thought</w:t>
      </w:r>
    </w:p>
    <w:p>
      <w:pPr>
        <w:pStyle w:val="FirstParagraph"/>
      </w:pPr>
      <w:r>
        <w:t xml:space="preserve">Deterministic execution without structured recording is a wasted guarantee. The Run Ledger is Rex’s append-only log of every agent execution step, designed to make the system’s reasoning process as auditable as a blockchain transaction. Each step in an agent’s lifecycle—model inference, tool call, retrieval lookup, constraint validation, repair iteration—is recorded as a</w:t>
      </w:r>
      <w:r>
        <w:t xml:space="preserve"> </w:t>
      </w:r>
      <w:r>
        <w:rPr>
          <w:rStyle w:val="VerbatimChar"/>
        </w:rPr>
        <w:t xml:space="preserve">RunEvent</w:t>
      </w:r>
      <w:r>
        <w:t xml:space="preserve"> </w:t>
      </w:r>
      <w:r>
        <w:t xml:space="preserve">and incorporated into a Merkle tree that produces a single root hash attesting to the entire computation.</w:t>
      </w:r>
    </w:p>
    <w:p>
      <w:pPr>
        <w:pStyle w:val="BodyText"/>
      </w:pPr>
      <w:r>
        <w:rPr>
          <w:bCs/>
          <w:b/>
        </w:rPr>
        <w:t xml:space="preserve">Table 1.3: RunEvent Structure and Hash Coverage</w:t>
      </w:r>
    </w:p>
    <w:tbl>
      <w:tblPr>
        <w:tblStyle w:val="Table"/>
        <w:tblW w:type="pct" w:w="5000"/>
        <w:tblLook w:firstRow="1" w:lastRow="0" w:firstColumn="0" w:lastColumn="0" w:noHBand="0" w:noVBand="0" w:val="0020"/>
      </w:tblPr>
      <w:tblGrid>
        <w:gridCol w:w="1498"/>
        <w:gridCol w:w="1284"/>
        <w:gridCol w:w="1926"/>
        <w:gridCol w:w="3210"/>
      </w:tblGrid>
      <w:tr>
        <w:trPr>
          <w:tblHeader w:val="true"/>
        </w:trPr>
        <w:tc>
          <w:tcPr/>
          <w:p>
            <w:pPr>
              <w:pStyle w:val="Compact"/>
              <w:jc w:val="left"/>
            </w:pPr>
            <w:r>
              <w:t xml:space="preserve">Field</w:t>
            </w:r>
          </w:p>
        </w:tc>
        <w:tc>
          <w:tcPr/>
          <w:p>
            <w:pPr>
              <w:pStyle w:val="Compact"/>
              <w:jc w:val="left"/>
            </w:pPr>
            <w:r>
              <w:t xml:space="preserve">Size</w:t>
            </w:r>
          </w:p>
        </w:tc>
        <w:tc>
          <w:tcPr/>
          <w:p>
            <w:pPr>
              <w:pStyle w:val="Compact"/>
              <w:jc w:val="left"/>
            </w:pPr>
            <w:r>
              <w:t xml:space="preserve">Purpose</w:t>
            </w:r>
          </w:p>
        </w:tc>
        <w:tc>
          <w:tcPr/>
          <w:p>
            <w:pPr>
              <w:pStyle w:val="Compact"/>
              <w:jc w:val="left"/>
            </w:pPr>
            <w:r>
              <w:t xml:space="preserve">Hash Coverage</w:t>
            </w:r>
          </w:p>
        </w:tc>
      </w:tr>
      <w:tr>
        <w:tc>
          <w:tcPr/>
          <w:p>
            <w:pPr>
              <w:pStyle w:val="Compact"/>
              <w:jc w:val="left"/>
            </w:pPr>
            <w:r>
              <w:rPr>
                <w:rStyle w:val="VerbatimChar"/>
              </w:rPr>
              <w:t xml:space="preserve">run_id</w:t>
            </w:r>
          </w:p>
        </w:tc>
        <w:tc>
          <w:tcPr/>
          <w:p>
            <w:pPr>
              <w:pStyle w:val="Compact"/>
              <w:jc w:val="left"/>
            </w:pPr>
            <w:r>
              <w:t xml:space="preserve">16 bytes</w:t>
            </w:r>
          </w:p>
        </w:tc>
        <w:tc>
          <w:tcPr/>
          <w:p>
            <w:pPr>
              <w:pStyle w:val="Compact"/>
              <w:jc w:val="left"/>
            </w:pPr>
            <w:r>
              <w:t xml:space="preserve">Unique execution identifier</w:t>
            </w:r>
          </w:p>
        </w:tc>
        <w:tc>
          <w:tcPr/>
          <w:p>
            <w:pPr>
              <w:pStyle w:val="Compact"/>
              <w:jc w:val="left"/>
            </w:pPr>
            <w:r>
              <w:t xml:space="preserve">Links to session root</w:t>
            </w:r>
          </w:p>
        </w:tc>
      </w:tr>
      <w:tr>
        <w:tc>
          <w:tcPr/>
          <w:p>
            <w:pPr>
              <w:pStyle w:val="Compact"/>
              <w:jc w:val="left"/>
            </w:pPr>
            <w:r>
              <w:rPr>
                <w:rStyle w:val="VerbatimChar"/>
              </w:rPr>
              <w:t xml:space="preserve">step</w:t>
            </w:r>
          </w:p>
        </w:tc>
        <w:tc>
          <w:tcPr/>
          <w:p>
            <w:pPr>
              <w:pStyle w:val="Compact"/>
              <w:jc w:val="left"/>
            </w:pPr>
            <w:r>
              <w:t xml:space="preserve">8 bytes</w:t>
            </w:r>
          </w:p>
        </w:tc>
        <w:tc>
          <w:tcPr/>
          <w:p>
            <w:pPr>
              <w:pStyle w:val="Compact"/>
              <w:jc w:val="left"/>
            </w:pPr>
            <w:r>
              <w:t xml:space="preserve">Sequential step index within run</w:t>
            </w:r>
          </w:p>
        </w:tc>
        <w:tc>
          <w:tcPr/>
          <w:p>
            <w:pPr>
              <w:pStyle w:val="Compact"/>
              <w:jc w:val="left"/>
            </w:pPr>
            <w:r>
              <w:t xml:space="preserve">Enables ordering verification</w:t>
            </w:r>
          </w:p>
        </w:tc>
      </w:tr>
      <w:tr>
        <w:tc>
          <w:tcPr/>
          <w:p>
            <w:pPr>
              <w:pStyle w:val="Compact"/>
              <w:jc w:val="left"/>
            </w:pPr>
            <w:r>
              <w:rPr>
                <w:rStyle w:val="VerbatimChar"/>
              </w:rPr>
              <w:t xml:space="preserve">model_hash</w:t>
            </w:r>
          </w:p>
        </w:tc>
        <w:tc>
          <w:tcPr/>
          <w:p>
            <w:pPr>
              <w:pStyle w:val="Compact"/>
              <w:jc w:val="left"/>
            </w:pPr>
            <w:r>
              <w:t xml:space="preserve">32 bytes</w:t>
            </w:r>
          </w:p>
        </w:tc>
        <w:tc>
          <w:tcPr/>
          <w:p>
            <w:pPr>
              <w:pStyle w:val="Compact"/>
              <w:jc w:val="left"/>
            </w:pPr>
            <w:r>
              <w:t xml:space="preserve">SHA-256 of model weights/config</w:t>
            </w:r>
          </w:p>
        </w:tc>
        <w:tc>
          <w:tcPr/>
          <w:p>
            <w:pPr>
              <w:pStyle w:val="Compact"/>
              <w:jc w:val="left"/>
            </w:pPr>
            <w:r>
              <w:t xml:space="preserve">Guarantees model provenance</w:t>
            </w:r>
          </w:p>
        </w:tc>
      </w:tr>
      <w:tr>
        <w:tc>
          <w:tcPr/>
          <w:p>
            <w:pPr>
              <w:pStyle w:val="Compact"/>
              <w:jc w:val="left"/>
            </w:pPr>
            <w:r>
              <w:rPr>
                <w:rStyle w:val="VerbatimChar"/>
              </w:rPr>
              <w:t xml:space="preserve">prompt_hash</w:t>
            </w:r>
          </w:p>
        </w:tc>
        <w:tc>
          <w:tcPr/>
          <w:p>
            <w:pPr>
              <w:pStyle w:val="Compact"/>
              <w:jc w:val="left"/>
            </w:pPr>
            <w:r>
              <w:t xml:space="preserve">32 bytes</w:t>
            </w:r>
          </w:p>
        </w:tc>
        <w:tc>
          <w:tcPr/>
          <w:p>
            <w:pPr>
              <w:pStyle w:val="Compact"/>
              <w:jc w:val="left"/>
            </w:pPr>
            <w:r>
              <w:t xml:space="preserve">SHA-256 of full prompt text</w:t>
            </w:r>
          </w:p>
        </w:tc>
        <w:tc>
          <w:tcPr/>
          <w:p>
            <w:pPr>
              <w:pStyle w:val="Compact"/>
              <w:jc w:val="left"/>
            </w:pPr>
            <w:r>
              <w:t xml:space="preserve">Guarantees input provenance</w:t>
            </w:r>
          </w:p>
        </w:tc>
      </w:tr>
      <w:tr>
        <w:tc>
          <w:tcPr/>
          <w:p>
            <w:pPr>
              <w:pStyle w:val="Compact"/>
              <w:jc w:val="left"/>
            </w:pPr>
            <w:r>
              <w:rPr>
                <w:rStyle w:val="VerbatimChar"/>
              </w:rPr>
              <w:t xml:space="preserve">retrieval_hash</w:t>
            </w:r>
          </w:p>
        </w:tc>
        <w:tc>
          <w:tcPr/>
          <w:p>
            <w:pPr>
              <w:pStyle w:val="Compact"/>
              <w:jc w:val="left"/>
            </w:pPr>
            <w:r>
              <w:t xml:space="preserve">32 bytes</w:t>
            </w:r>
          </w:p>
        </w:tc>
        <w:tc>
          <w:tcPr/>
          <w:p>
            <w:pPr>
              <w:pStyle w:val="Compact"/>
              <w:jc w:val="left"/>
            </w:pPr>
            <w:r>
              <w:t xml:space="preserve">SHA-256 of retrieved documents</w:t>
            </w:r>
          </w:p>
        </w:tc>
        <w:tc>
          <w:tcPr/>
          <w:p>
            <w:pPr>
              <w:pStyle w:val="Compact"/>
              <w:jc w:val="left"/>
            </w:pPr>
            <w:r>
              <w:t xml:space="preserve">Attests knowledge source</w:t>
            </w:r>
          </w:p>
        </w:tc>
      </w:tr>
      <w:tr>
        <w:tc>
          <w:tcPr/>
          <w:p>
            <w:pPr>
              <w:pStyle w:val="Compact"/>
              <w:jc w:val="left"/>
            </w:pPr>
            <w:r>
              <w:rPr>
                <w:rStyle w:val="VerbatimChar"/>
              </w:rPr>
              <w:t xml:space="preserve">tool_call_hash</w:t>
            </w:r>
          </w:p>
        </w:tc>
        <w:tc>
          <w:tcPr/>
          <w:p>
            <w:pPr>
              <w:pStyle w:val="Compact"/>
              <w:jc w:val="left"/>
            </w:pPr>
            <w:r>
              <w:t xml:space="preserve">32 bytes</w:t>
            </w:r>
          </w:p>
        </w:tc>
        <w:tc>
          <w:tcPr/>
          <w:p>
            <w:pPr>
              <w:pStyle w:val="Compact"/>
              <w:jc w:val="left"/>
            </w:pPr>
            <w:r>
              <w:t xml:space="preserve">SHA-256 of tool I/O</w:t>
            </w:r>
          </w:p>
        </w:tc>
        <w:tc>
          <w:tcPr/>
          <w:p>
            <w:pPr>
              <w:pStyle w:val="Compact"/>
              <w:jc w:val="left"/>
            </w:pPr>
            <w:r>
              <w:t xml:space="preserve">Attests external computation</w:t>
            </w:r>
          </w:p>
        </w:tc>
      </w:tr>
      <w:tr>
        <w:tc>
          <w:tcPr/>
          <w:p>
            <w:pPr>
              <w:pStyle w:val="Compact"/>
              <w:jc w:val="left"/>
            </w:pPr>
            <w:r>
              <w:rPr>
                <w:rStyle w:val="VerbatimChar"/>
              </w:rPr>
              <w:t xml:space="preserve">seed</w:t>
            </w:r>
          </w:p>
        </w:tc>
        <w:tc>
          <w:tcPr/>
          <w:p>
            <w:pPr>
              <w:pStyle w:val="Compact"/>
              <w:jc w:val="left"/>
            </w:pPr>
            <w:r>
              <w:t xml:space="preserve">8 bytes</w:t>
            </w:r>
          </w:p>
        </w:tc>
        <w:tc>
          <w:tcPr/>
          <w:p>
            <w:pPr>
              <w:pStyle w:val="Compact"/>
              <w:jc w:val="left"/>
            </w:pPr>
            <w:r>
              <w:t xml:space="preserve">Deterministic RNG seed</w:t>
            </w:r>
          </w:p>
        </w:tc>
        <w:tc>
          <w:tcPr/>
          <w:p>
            <w:pPr>
              <w:pStyle w:val="Compact"/>
              <w:jc w:val="left"/>
            </w:pPr>
            <w:r>
              <w:t xml:space="preserve">Enables exact replay</w:t>
            </w:r>
          </w:p>
        </w:tc>
      </w:tr>
      <w:tr>
        <w:tc>
          <w:tcPr/>
          <w:p>
            <w:pPr>
              <w:pStyle w:val="Compact"/>
              <w:jc w:val="left"/>
            </w:pPr>
            <w:r>
              <w:rPr>
                <w:rStyle w:val="VerbatimChar"/>
              </w:rPr>
              <w:t xml:space="preserve">output_hash</w:t>
            </w:r>
          </w:p>
        </w:tc>
        <w:tc>
          <w:tcPr/>
          <w:p>
            <w:pPr>
              <w:pStyle w:val="Compact"/>
              <w:jc w:val="left"/>
            </w:pPr>
            <w:r>
              <w:t xml:space="preserve">32 bytes</w:t>
            </w:r>
          </w:p>
        </w:tc>
        <w:tc>
          <w:tcPr/>
          <w:p>
            <w:pPr>
              <w:pStyle w:val="Compact"/>
              <w:jc w:val="left"/>
            </w:pPr>
            <w:r>
              <w:t xml:space="preserve">SHA-256 of generated output</w:t>
            </w:r>
          </w:p>
        </w:tc>
        <w:tc>
          <w:tcPr/>
          <w:p>
            <w:pPr>
              <w:pStyle w:val="Compact"/>
              <w:jc w:val="left"/>
            </w:pPr>
            <w:r>
              <w:t xml:space="preserve">Attests result provenance</w:t>
            </w:r>
          </w:p>
        </w:tc>
      </w:tr>
      <w:tr>
        <w:tc>
          <w:tcPr/>
          <w:p>
            <w:pPr>
              <w:pStyle w:val="Compact"/>
              <w:jc w:val="left"/>
            </w:pPr>
            <w:r>
              <w:rPr>
                <w:rStyle w:val="VerbatimChar"/>
              </w:rPr>
              <w:t xml:space="preserve">verifier_result</w:t>
            </w:r>
          </w:p>
        </w:tc>
        <w:tc>
          <w:tcPr/>
          <w:p>
            <w:pPr>
              <w:pStyle w:val="Compact"/>
              <w:jc w:val="left"/>
            </w:pPr>
            <w:r>
              <w:t xml:space="preserve">variable</w:t>
            </w:r>
          </w:p>
        </w:tc>
        <w:tc>
          <w:tcPr/>
          <w:p>
            <w:pPr>
              <w:pStyle w:val="Compact"/>
              <w:jc w:val="left"/>
            </w:pPr>
            <w:r>
              <w:t xml:space="preserve">Constraint engine verdict</w:t>
            </w:r>
          </w:p>
        </w:tc>
        <w:tc>
          <w:tcPr/>
          <w:p>
            <w:pPr>
              <w:pStyle w:val="Compact"/>
              <w:jc w:val="left"/>
            </w:pPr>
            <w:r>
              <w:t xml:space="preserve">Attests validation status</w:t>
            </w:r>
          </w:p>
        </w:tc>
      </w:tr>
      <w:tr>
        <w:tc>
          <w:tcPr/>
          <w:p>
            <w:pPr>
              <w:pStyle w:val="Compact"/>
              <w:jc w:val="left"/>
            </w:pPr>
            <w:r>
              <w:rPr>
                <w:rStyle w:val="VerbatimChar"/>
              </w:rPr>
              <w:t xml:space="preserve">prev_hash</w:t>
            </w:r>
          </w:p>
        </w:tc>
        <w:tc>
          <w:tcPr/>
          <w:p>
            <w:pPr>
              <w:pStyle w:val="Compact"/>
              <w:jc w:val="left"/>
            </w:pPr>
            <w:r>
              <w:t xml:space="preserve">32 bytes</w:t>
            </w:r>
          </w:p>
        </w:tc>
        <w:tc>
          <w:tcPr/>
          <w:p>
            <w:pPr>
              <w:pStyle w:val="Compact"/>
              <w:jc w:val="left"/>
            </w:pPr>
            <w:r>
              <w:t xml:space="preserve">SHA-256 of previous event</w:t>
            </w:r>
          </w:p>
        </w:tc>
        <w:tc>
          <w:tcPr/>
          <w:p>
            <w:pPr>
              <w:pStyle w:val="Compact"/>
              <w:jc w:val="left"/>
            </w:pPr>
            <w:r>
              <w:t xml:space="preserve">Chains events tamper-evidently</w:t>
            </w:r>
          </w:p>
        </w:tc>
      </w:tr>
    </w:tbl>
    <w:p>
      <w:pPr>
        <w:pStyle w:val="BodyText"/>
      </w:pPr>
      <w:r>
        <w:t xml:space="preserve">The</w:t>
      </w:r>
      <w:r>
        <w:t xml:space="preserve"> </w:t>
      </w:r>
      <w:r>
        <w:rPr>
          <w:rStyle w:val="VerbatimChar"/>
        </w:rPr>
        <w:t xml:space="preserve">RunEvent</w:t>
      </w:r>
      <w:r>
        <w:t xml:space="preserve"> </w:t>
      </w:r>
      <w:r>
        <w:t xml:space="preserve">structure is derived from the proof-carrying AI execution chain concept (Insight 2)</w:t>
      </w:r>
      <w:r>
        <w:t xml:space="preserve"> </w:t>
      </w:r>
      <w:fldSimple w:instr="NOTEREF _Ref_Footnote_9 \h \f">
        <w:r>
          <w:rPr>
            <w:vertAlign w:val="superscript"/>
          </w:rPr>
          <w:t>9</w:t>
        </w:r>
      </w:fldSimple>
      <w:r>
        <w:t xml:space="preserve"> </w:t>
      </w:r>
      <w:fldSimple w:instr="NOTEREF _Ref_Footnote_10 \h \f">
        <w:r>
          <w:rPr>
            <w:vertAlign w:val="superscript"/>
          </w:rPr>
          <w:t>10</w:t>
        </w:r>
      </w:fldSimple>
      <w:r>
        <w:t xml:space="preserve">. Each event chains to its predecessor via</w:t>
      </w:r>
      <w:r>
        <w:t xml:space="preserve"> </w:t>
      </w:r>
      <w:r>
        <w:rPr>
          <w:rStyle w:val="VerbatimChar"/>
        </w:rPr>
        <w:t xml:space="preserve">prev_hash</w:t>
      </w:r>
      <w:r>
        <w:t xml:space="preserve">, creating a linear hash chain. Multiple events within a single agent step (model output, claim extraction, constraint check, repair prompt) are organized into a Merkle tree whose root is published to the Run Ledger</w:t>
      </w:r>
      <w:r>
        <w:t xml:space="preserve"> </w:t>
      </w:r>
      <w:fldSimple w:instr="NOTEREF _Ref_Footnote_10 \h \f">
        <w:r>
          <w:rPr>
            <w:vertAlign w:val="superscript"/>
          </w:rPr>
          <w:t>10</w:t>
        </w:r>
      </w:fldSimple>
      <w:r>
        <w:t xml:space="preserve">. Altering any field in any event changes its hash, which cascades through the chain and the Merkle root, making tamper detection immediate and external. OpenFang, a Rust-based agent operating system, implements an equivalent pattern: a</w:t>
      </w:r>
      <w:r>
        <w:t xml:space="preserve"> </w:t>
      </w:r>
      <w:r>
        <w:rPr>
          <w:rStyle w:val="VerbatimChar"/>
        </w:rPr>
        <w:t xml:space="preserve">Merkle Hash-Chain Audit Trail</w:t>
      </w:r>
      <w:r>
        <w:t xml:space="preserve"> </w:t>
      </w:r>
      <w:r>
        <w:t xml:space="preserve">where each entry is chained to the previous via SHA-256, making retroactive modification impossible without breaking the chain</w:t>
      </w:r>
      <w:r>
        <w:t xml:space="preserve"> </w:t>
      </w:r>
      <w:fldSimple w:instr="NOTEREF _Ref_Footnote_9 \h \f">
        <w:r>
          <w:rPr>
            <w:vertAlign w:val="superscript"/>
          </w:rPr>
          <w:t>9</w:t>
        </w:r>
      </w:fldSimple>
      <w:r>
        <w:t xml:space="preserve">. The Merkle structure is particularly efficient for agent execution because it enables logarithmic verification: an external auditor can verify that a specific event belongs to a legitimate run by checking only</w:t>
      </w:r>
      <w:r>
        <w:t xml:space="preserve"> </w:t>
      </w:r>
      <m:oMath>
        <m:r>
          <m:t>O</m:t>
        </m:r>
        <m:d>
          <m:dPr>
            <m:begChr m:val="("/>
            <m:endChr m:val=")"/>
            <m:sepChr m:val=""/>
            <m:grow/>
          </m:dPr>
          <m:e>
            <m:r>
              <m:rPr>
                <m:sty m:val="p"/>
              </m:rPr>
              <m:t>log</m:t>
            </m:r>
            <m:r>
              <m:t>n</m:t>
            </m:r>
          </m:e>
        </m:d>
      </m:oMath>
      <w:r>
        <w:t xml:space="preserve"> </w:t>
      </w:r>
      <w:r>
        <w:t xml:space="preserve">hash siblings, rather than replaying the entire chain. This property scales to millions of events without linear cost growth.</w:t>
      </w:r>
    </w:p>
    <w:p>
      <w:pPr>
        <w:pStyle w:val="BodyText"/>
      </w:pPr>
      <w:r>
        <w:t xml:space="preserve">The ledger enables</w:t>
      </w:r>
      <w:r>
        <w:t xml:space="preserve"> </w:t>
      </w:r>
      <w:r>
        <w:rPr>
          <w:bCs/>
          <w:b/>
        </w:rPr>
        <w:t xml:space="preserve">time-travel debugging</w:t>
      </w:r>
      <w:r>
        <w:t xml:space="preserve"> </w:t>
      </w:r>
      <w:r>
        <w:t xml:space="preserve">for AI agents. When a user reports an anomalous output, the operator can replay the exact sequence: load the model identified by</w:t>
      </w:r>
      <w:r>
        <w:t xml:space="preserve"> </w:t>
      </w:r>
      <w:r>
        <w:rPr>
          <w:rStyle w:val="VerbatimChar"/>
        </w:rPr>
        <w:t xml:space="preserve">model_hash</w:t>
      </w:r>
      <w:r>
        <w:t xml:space="preserve">, initialize the RNG with</w:t>
      </w:r>
      <w:r>
        <w:t xml:space="preserve"> </w:t>
      </w:r>
      <w:r>
        <w:rPr>
          <w:rStyle w:val="VerbatimChar"/>
        </w:rPr>
        <w:t xml:space="preserve">seed</w:t>
      </w:r>
      <w:r>
        <w:t xml:space="preserve">, feed the prompt reconstructed from</w:t>
      </w:r>
      <w:r>
        <w:t xml:space="preserve"> </w:t>
      </w:r>
      <w:r>
        <w:rPr>
          <w:rStyle w:val="VerbatimChar"/>
        </w:rPr>
        <w:t xml:space="preserve">prompt_hash</w:t>
      </w:r>
      <w:r>
        <w:t xml:space="preserve">, substitute recorded tool responses from</w:t>
      </w:r>
      <w:r>
        <w:t xml:space="preserve"> </w:t>
      </w:r>
      <w:r>
        <w:rPr>
          <w:rStyle w:val="VerbatimChar"/>
        </w:rPr>
        <w:t xml:space="preserve">tool_call_hash</w:t>
      </w:r>
      <w:r>
        <w:t xml:space="preserve">, and execute deterministically. This transforms failure investigation from probabilistic sampling—</w:t>
      </w:r>
      <w:r>
        <w:t xml:space="preserve">“</w:t>
      </w:r>
      <w:r>
        <w:t xml:space="preserve">run it again and see if it breaks</w:t>
      </w:r>
      <w:r>
        <w:t xml:space="preserve">”</w:t>
      </w:r>
      <w:r>
        <w:t xml:space="preserve">—into deterministic diagnosis:</w:t>
      </w:r>
      <w:r>
        <w:t xml:space="preserve"> </w:t>
      </w:r>
      <w:r>
        <w:t xml:space="preserve">“</w:t>
      </w:r>
      <w:r>
        <w:t xml:space="preserve">the bug is at step 47, when the retrieval returned document hash 0x3a7f… and the constraint engine passed a claim that should have failed.</w:t>
      </w:r>
      <w:r>
        <w:t xml:space="preserve">”</w:t>
      </w:r>
      <w:r>
        <w:t xml:space="preserve"> </w:t>
      </w:r>
      <w:r>
        <w:t xml:space="preserve">The replay fidelity ladder defined in agent engineering practice identifies five levels: Level 0 (log-only), Level 1 (tool-response recording), Level 2 (state snapshots), Level 3 (deterministic branching), and Level 4 (diff-based experiments)</w:t>
      </w:r>
      <w:r>
        <w:t xml:space="preserve"> </w:t>
      </w:r>
      <w:r>
        <w:rPr>
          <w:vertAlign w:val="superscript"/>
        </w:rPr>
        <w:footnoteReference w:id="46"/>
      </w:r>
      <w:r>
        <w:t xml:space="preserve">. Level 2—state snapshots at each agent handoff—is the threshold where teams begin shipping agents with confidence</w:t>
      </w:r>
      <w:r>
        <w:t xml:space="preserve"> </w:t>
      </w:r>
      <w:fldSimple w:instr="NOTEREF _Ref_Footnote_46 \h \f">
        <w:r>
          <w:rPr>
            <w:vertAlign w:val="superscript"/>
          </w:rPr>
          <w:t>46</w:t>
        </w:r>
      </w:fldSimple>
      <w:r>
        <w:t xml:space="preserve">. Rex targets Level 3: deterministic branching, where the operator can modify a single variable mid-replay and observe how the reasoning chain diverges. This is the</w:t>
      </w:r>
      <w:r>
        <w:t xml:space="preserve"> </w:t>
      </w:r>
      <w:r>
        <w:t xml:space="preserve">“</w:t>
      </w:r>
      <w:r>
        <w:t xml:space="preserve">diff-based experiment</w:t>
      </w:r>
      <w:r>
        <w:t xml:space="preserve">”</w:t>
      </w:r>
      <w:r>
        <w:t xml:space="preserve"> </w:t>
      </w:r>
      <w:r>
        <w:t xml:space="preserve">capability that transforms debugging from archaeology into science.</w:t>
      </w:r>
    </w:p>
    <w:p>
      <w:pPr>
        <w:pStyle w:val="BodyText"/>
      </w:pPr>
      <w:r>
        <w:t xml:space="preserve">The minimum event set for deterministic replay includes every LLM request with full prompt and response, every tool call with inputs and outputs, every agent-to-agent message, and the state snapshot at each handoff point</w:t>
      </w:r>
      <w:r>
        <w:t xml:space="preserve"> </w:t>
      </w:r>
      <w:r>
        <w:rPr>
          <w:vertAlign w:val="superscript"/>
        </w:rPr>
        <w:footnoteReference w:id="47"/>
      </w:r>
      <w:r>
        <w:t xml:space="preserve">. Structured execution traces must record model parameters, tool versions, timestamps, and sampling parameters alongside the raw I/O</w:t>
      </w:r>
      <w:r>
        <w:t xml:space="preserve"> </w:t>
      </w:r>
      <w:r>
        <w:rPr>
          <w:vertAlign w:val="superscript"/>
        </w:rPr>
        <w:footnoteReference w:id="48"/>
      </w:r>
      <w:r>
        <w:t xml:space="preserve">. Rex extends this minimum set with cryptographic hashes of all inputs—model weights, prompt text, retrieved documents, tool definitions—so that replay integrity can be verified without trusting the replay environment.</w:t>
      </w:r>
    </w:p>
    <w:bookmarkEnd w:id="32"/>
    <w:bookmarkStart w:id="33" w:name="formal-verification-of-the-runtime"/>
    <w:p>
      <w:pPr>
        <w:pStyle w:val="Heading3"/>
      </w:pPr>
      <w:r>
        <w:t xml:space="preserve">1.4 Formal Verification of the Runtime</w:t>
      </w:r>
    </w:p>
    <w:p>
      <w:pPr>
        <w:pStyle w:val="FirstParagraph"/>
      </w:pPr>
      <w:r>
        <w:t xml:space="preserve">Deterministic execution provides reproducibility; formal verification provides proof. The Rex runtime is designed for staged verification, matching the constraint that no single verification method can cover all components at all time scales. The architecture distinguishes three paths: a fast path for every agent step, a medium path for critical modules, and a slow path for offline correctness arguments.</w:t>
      </w:r>
    </w:p>
    <w:p>
      <w:pPr>
        <w:pStyle w:val="BodyText"/>
      </w:pPr>
      <w:r>
        <w:rPr>
          <w:bCs/>
          <w:b/>
        </w:rPr>
        <w:t xml:space="preserve">Kani</w:t>
      </w:r>
      <w:r>
        <w:t xml:space="preserve"> </w:t>
      </w:r>
      <w:r>
        <w:t xml:space="preserve">is an open-source bit-precise model checker for Rust, built on CBMC (C Bounded Model Checker). It verifies Rust programs through symbolic execution over Rust MIR (Mid-Level IR)</w:t>
      </w:r>
      <w:r>
        <w:t xml:space="preserve"> </w:t>
      </w:r>
      <w:fldSimple w:instr="NOTEREF _Ref_Footnote_17 \h \f">
        <w:r>
          <w:rPr>
            <w:vertAlign w:val="superscript"/>
          </w:rPr>
          <w:t>17</w:t>
        </w:r>
      </w:fldSimple>
      <w:r>
        <w:t xml:space="preserve">. Kani automatically checks for undefined behavior in</w:t>
      </w:r>
      <w:r>
        <w:t xml:space="preserve"> </w:t>
      </w:r>
      <w:r>
        <w:rPr>
          <w:rStyle w:val="VerbatimChar"/>
        </w:rPr>
        <w:t xml:space="preserve">unsafe</w:t>
      </w:r>
      <w:r>
        <w:t xml:space="preserve"> </w:t>
      </w:r>
      <w:r>
        <w:t xml:space="preserve">blocks and supports function contracts (</w:t>
      </w:r>
      <w:r>
        <w:rPr>
          <w:rStyle w:val="VerbatimChar"/>
        </w:rPr>
        <w:t xml:space="preserve">#[kani::requires]</w:t>
      </w:r>
      <w:r>
        <w:t xml:space="preserve">,</w:t>
      </w:r>
      <w:r>
        <w:t xml:space="preserve"> </w:t>
      </w:r>
      <w:r>
        <w:rPr>
          <w:rStyle w:val="VerbatimChar"/>
        </w:rPr>
        <w:t xml:space="preserve">#[kani::ensures]</w:t>
      </w:r>
      <w:r>
        <w:t xml:space="preserve">,</w:t>
      </w:r>
      <w:r>
        <w:t xml:space="preserve"> </w:t>
      </w:r>
      <w:r>
        <w:rPr>
          <w:rStyle w:val="VerbatimChar"/>
        </w:rPr>
        <w:t xml:space="preserve">#[kani::modifies]</w:t>
      </w:r>
      <w:r>
        <w:t xml:space="preserve">) and loop contracts (</w:t>
      </w:r>
      <w:r>
        <w:rPr>
          <w:rStyle w:val="VerbatimChar"/>
        </w:rPr>
        <w:t xml:space="preserve">#[kani::loop_invariant]</w:t>
      </w:r>
      <w:r>
        <w:t xml:space="preserve">) as of version 0.64.0</w:t>
      </w:r>
      <w:r>
        <w:t xml:space="preserve"> </w:t>
      </w:r>
      <w:fldSimple w:instr="NOTEREF _Ref_Footnote_12 \h \f">
        <w:r>
          <w:rPr>
            <w:vertAlign w:val="superscript"/>
          </w:rPr>
          <w:t>12</w:t>
        </w:r>
      </w:fldSimple>
      <w:r>
        <w:t xml:space="preserve">. Performance is highly variable and depends on harness design: simple properties verify in milliseconds (0.035 s for</w:t>
      </w:r>
      <w:r>
        <w:t xml:space="preserve"> </w:t>
      </w:r>
      <w:r>
        <w:rPr>
          <w:rStyle w:val="VerbatimChar"/>
        </w:rPr>
        <w:t xml:space="preserve">panic_or_zero</w:t>
      </w:r>
      <w:r>
        <w:t xml:space="preserve">, 0.28 s for</w:t>
      </w:r>
      <w:r>
        <w:t xml:space="preserve"> </w:t>
      </w:r>
      <w:r>
        <w:rPr>
          <w:rStyle w:val="VerbatimChar"/>
        </w:rPr>
        <w:t xml:space="preserve">i64_abs</w:t>
      </w:r>
      <w:r>
        <w:t xml:space="preserve"> </w:t>
      </w:r>
      <w:r>
        <w:t xml:space="preserve">overflow detection)</w:t>
      </w:r>
      <w:r>
        <w:t xml:space="preserve"> </w:t>
      </w:r>
      <w:fldSimple w:instr="NOTEREF _Ref_Footnote_3 \h \f">
        <w:r>
          <w:rPr>
            <w:vertAlign w:val="superscript"/>
          </w:rPr>
          <w:t>3</w:t>
        </w:r>
      </w:fldSimple>
      <w:r>
        <w:t xml:space="preserve">, while data structure harnesses with</w:t>
      </w:r>
      <w:r>
        <w:t xml:space="preserve"> </w:t>
      </w:r>
      <w:r>
        <w:rPr>
          <w:rStyle w:val="VerbatimChar"/>
        </w:rPr>
        <w:t xml:space="preserve">BTreeSet</w:t>
      </w:r>
      <w:r>
        <w:t xml:space="preserve"> </w:t>
      </w:r>
      <w:r>
        <w:t xml:space="preserve">can exceed 1,000 s</w:t>
      </w:r>
      <w:r>
        <w:t xml:space="preserve"> </w:t>
      </w:r>
      <w:fldSimple w:instr="NOTEREF _Ref_Footnote_4 \h \f">
        <w:r>
          <w:rPr>
            <w:vertAlign w:val="superscript"/>
          </w:rPr>
          <w:t>4</w:t>
        </w:r>
      </w:fldSimple>
      <w:r>
        <w:t xml:space="preserve">. SAT solver selection matters enormously—Kissat reduced</w:t>
      </w:r>
      <w:r>
        <w:t xml:space="preserve"> </w:t>
      </w:r>
      <w:r>
        <w:rPr>
          <w:rStyle w:val="VerbatimChar"/>
        </w:rPr>
        <w:t xml:space="preserve">random::tests::gen_range_biased_test</w:t>
      </w:r>
      <w:r>
        <w:t xml:space="preserve"> </w:t>
      </w:r>
      <w:r>
        <w:t xml:space="preserve">from 1,460 s to 5.5 s, a 200× speedup</w:t>
      </w:r>
      <w:r>
        <w:t xml:space="preserve"> </w:t>
      </w:r>
      <w:fldSimple w:instr="NOTEREF _Ref_Footnote_27 \h \f">
        <w:r>
          <w:rPr>
            <w:vertAlign w:val="superscript"/>
          </w:rPr>
          <w:t>27</w:t>
        </w:r>
      </w:fldSimple>
      <w:r>
        <w:t xml:space="preserve">. Kani currently lacks support for multithreading, atomic operations, and async runtimes (though async syntax is supported), and loops or deep recursion cause state-space explosion</w:t>
      </w:r>
      <w:r>
        <w:t xml:space="preserve"> </w:t>
      </w:r>
      <w:fldSimple w:instr="NOTEREF _Ref_Footnote_25 \h \f">
        <w:r>
          <w:rPr>
            <w:vertAlign w:val="superscript"/>
          </w:rPr>
          <w:t>25</w:t>
        </w:r>
      </w:fldSimple>
      <w:r>
        <w:t xml:space="preserve">. For Rex, Kani is applied to bounded harnesses for core data structures—hash chains, Merkle tree builders, seed derivation functions—where the input space can be constrained to symbolic sizes that verify in seconds.</w:t>
      </w:r>
    </w:p>
    <w:p>
      <w:pPr>
        <w:pStyle w:val="BodyText"/>
      </w:pPr>
      <w:r>
        <w:rPr>
          <w:bCs/>
          <w:b/>
        </w:rPr>
        <w:t xml:space="preserve">Creusot</w:t>
      </w:r>
      <w:r>
        <w:t xml:space="preserve"> </w:t>
      </w:r>
      <w:r>
        <w:t xml:space="preserve">is a deductive verifier for Rust that translates annotated Rust into Why3’s MLCFG intermediate language, enabling SMT-based verification</w:t>
      </w:r>
      <w:r>
        <w:t xml:space="preserve"> </w:t>
      </w:r>
      <w:r>
        <w:rPr>
          <w:vertAlign w:val="superscript"/>
        </w:rPr>
        <w:footnoteReference w:id="49"/>
      </w:r>
      <w:r>
        <w:t xml:space="preserve"> </w:t>
      </w:r>
      <w:fldSimple w:instr="NOTEREF _Ref_Footnote_16 \h \f">
        <w:r>
          <w:rPr>
            <w:vertAlign w:val="superscript"/>
          </w:rPr>
          <w:t>16</w:t>
        </w:r>
      </w:fldSimple>
      <w:r>
        <w:t xml:space="preserve">. It provides a specification language called Pearlite with</w:t>
      </w:r>
      <w:r>
        <w:t xml:space="preserve"> </w:t>
      </w:r>
      <w:r>
        <w:rPr>
          <w:rStyle w:val="VerbatimChar"/>
        </w:rPr>
        <w:t xml:space="preserve">requires</w:t>
      </w:r>
      <w:r>
        <w:t xml:space="preserve">/</w:t>
      </w:r>
      <w:r>
        <w:rPr>
          <w:rStyle w:val="VerbatimChar"/>
        </w:rPr>
        <w:t xml:space="preserve">ensures</w:t>
      </w:r>
      <w:r>
        <w:t xml:space="preserve"> </w:t>
      </w:r>
      <w:r>
        <w:t xml:space="preserve">contracts, loop invariants, ghost code, and</w:t>
      </w:r>
      <w:r>
        <w:t xml:space="preserve"> </w:t>
      </w:r>
      <w:r>
        <w:rPr>
          <w:rStyle w:val="VerbatimChar"/>
        </w:rPr>
        <w:t xml:space="preserve">variant</w:t>
      </w:r>
      <w:r>
        <w:t xml:space="preserve"> </w:t>
      </w:r>
      <w:r>
        <w:t xml:space="preserve">clauses for termination</w:t>
      </w:r>
      <w:r>
        <w:t xml:space="preserve"> </w:t>
      </w:r>
      <w:fldSimple w:instr="NOTEREF _Ref_Footnote_16 \h \f">
        <w:r>
          <w:rPr>
            <w:vertAlign w:val="superscript"/>
          </w:rPr>
          <w:t>16</w:t>
        </w:r>
      </w:fldSimple>
      <w:r>
        <w:t xml:space="preserve">. Creusot’s encoding through Why3 is lighter-weight than Prusti’s Viper separation logic for safe Rust, though recently added linear ghost types enable verification of</w:t>
      </w:r>
      <w:r>
        <w:t xml:space="preserve"> </w:t>
      </w:r>
      <w:r>
        <w:rPr>
          <w:rStyle w:val="VerbatimChar"/>
        </w:rPr>
        <w:t xml:space="preserve">unsafe</w:t>
      </w:r>
      <w:r>
        <w:t xml:space="preserve"> </w:t>
      </w:r>
      <w:r>
        <w:t xml:space="preserve">low-level pointer code</w:t>
      </w:r>
      <w:r>
        <w:t xml:space="preserve"> </w:t>
      </w:r>
      <w:fldSimple w:instr="NOTEREF _Ref_Footnote_49 \h \f">
        <w:r>
          <w:rPr>
            <w:vertAlign w:val="superscript"/>
          </w:rPr>
          <w:t>49</w:t>
        </w:r>
      </w:fldSimple>
      <w:r>
        <w:t xml:space="preserve"> </w:t>
      </w:r>
      <w:fldSimple w:instr="NOTEREF _Ref_Footnote_6 \h \f">
        <w:r>
          <w:rPr>
            <w:vertAlign w:val="superscript"/>
          </w:rPr>
          <w:t>6</w:t>
        </w:r>
      </w:fldSimple>
      <w:r>
        <w:t xml:space="preserve">. Creusot is experimental but maturing; its verification time depends on SMT solver performance (Z3, CVC4/5, Alt-Ergo). For Rex, Creusot proves functional correctness of the constraint engine’s core algorithms—dimensional analysis, bound checking, Merkle tree construction—against WhyML specifications that encode the physical invariants as formal predicates.</w:t>
      </w:r>
    </w:p>
    <w:p>
      <w:pPr>
        <w:pStyle w:val="BodyText"/>
      </w:pPr>
      <w:r>
        <w:rPr>
          <w:bCs/>
          <w:b/>
        </w:rPr>
        <w:t xml:space="preserve">Lean 4</w:t>
      </w:r>
      <w:r>
        <w:t xml:space="preserve"> </w:t>
      </w:r>
      <w:r>
        <w:t xml:space="preserve">provides interactive theorem proving for the slow path. The mathlib4 build (exceeding 60,000 declarations) completes in approximately 2,300 s, roughly 2.3× faster than Lean 3 and more than 4× faster than Coq</w:t>
      </w:r>
      <w:r>
        <w:t xml:space="preserve"> </w:t>
      </w:r>
      <w:r>
        <w:rPr>
          <w:vertAlign w:val="superscript"/>
        </w:rPr>
        <w:footnoteReference w:id="50"/>
      </w:r>
      <w:r>
        <w:t xml:space="preserve">. Lean 4 supports certified code extraction—compiling verified definitions into efficient C while eliminating proof overhead</w:t>
      </w:r>
      <w:r>
        <w:t xml:space="preserve"> </w:t>
      </w:r>
      <w:fldSimple w:instr="NOTEREF _Ref_Footnote_20 \h \f">
        <w:r>
          <w:rPr>
            <w:vertAlign w:val="superscript"/>
          </w:rPr>
          <w:t>20</w:t>
        </w:r>
      </w:fldSimple>
      <w:r>
        <w:t xml:space="preserve">—and metaprogramming via the</w:t>
      </w:r>
      <w:r>
        <w:t xml:space="preserve"> </w:t>
      </w:r>
      <w:r>
        <w:rPr>
          <w:rStyle w:val="VerbatimChar"/>
        </w:rPr>
        <w:t xml:space="preserve">MetaM</w:t>
      </w:r>
      <w:r>
        <w:t xml:space="preserve"> </w:t>
      </w:r>
      <w:r>
        <w:t xml:space="preserve">monad for custom tactics</w:t>
      </w:r>
      <w:r>
        <w:t xml:space="preserve"> </w:t>
      </w:r>
      <w:r>
        <w:rPr>
          <w:vertAlign w:val="superscript"/>
        </w:rPr>
        <w:footnoteReference w:id="51"/>
      </w:r>
      <w:r>
        <w:t xml:space="preserve">. For Rex, Lean is not used for per-step verification; it is used offline for verifying protocol properties (e.g.,</w:t>
      </w:r>
      <w:r>
        <w:t xml:space="preserve"> </w:t>
      </w:r>
      <w:r>
        <w:t xml:space="preserve">“</w:t>
      </w:r>
      <w:r>
        <w:t xml:space="preserve">the Merkle chain is tamper-evident,</w:t>
      </w:r>
      <w:r>
        <w:t xml:space="preserve">”</w:t>
      </w:r>
      <w:r>
        <w:t xml:space="preserve"> </w:t>
      </w:r>
      <w:r>
        <w:t xml:space="preserve">“</w:t>
      </w:r>
      <w:r>
        <w:t xml:space="preserve">the seed derivation function is collision-resistant</w:t>
      </w:r>
      <w:r>
        <w:t xml:space="preserve">”</w:t>
      </w:r>
      <w:r>
        <w:t xml:space="preserve">) and mathematical claims extracted by the constraint engine.</w:t>
      </w:r>
    </w:p>
    <w:p>
      <w:pPr>
        <w:pStyle w:val="SourceCode"/>
      </w:pPr>
      <w:r>
        <w:rPr>
          <w:rStyle w:val="CommentTok"/>
        </w:rPr>
        <w:t xml:space="preserve">/// Staged verification coordinator for the Rex runtime.</w:t>
      </w:r>
      <w:r>
        <w:br/>
      </w:r>
      <w:r>
        <w:rPr>
          <w:rStyle w:val="CommentTok"/>
        </w:rPr>
        <w:t xml:space="preserve">/// Fast path: &lt;10ms per step. Medium path: seconds. Slow path: offline.</w:t>
      </w:r>
      <w:r>
        <w:br/>
      </w:r>
      <w:r>
        <w:rPr>
          <w:rStyle w:val="KeywordTok"/>
        </w:rPr>
        <w:t xml:space="preserve">pub</w:t>
      </w:r>
      <w:r>
        <w:rPr>
          <w:rStyle w:val="NormalTok"/>
        </w:rPr>
        <w:t xml:space="preserve"> </w:t>
      </w:r>
      <w:r>
        <w:rPr>
          <w:rStyle w:val="KeywordTok"/>
        </w:rPr>
        <w:t xml:space="preserve">enum</w:t>
      </w:r>
      <w:r>
        <w:rPr>
          <w:rStyle w:val="NormalTok"/>
        </w:rPr>
        <w:t xml:space="preserve"> VerificationTier </w:t>
      </w:r>
      <w:r>
        <w:rPr>
          <w:rStyle w:val="OperatorTok"/>
        </w:rPr>
        <w:t xml:space="preserve">{</w:t>
      </w:r>
      <w:r>
        <w:br/>
      </w:r>
      <w:r>
        <w:rPr>
          <w:rStyle w:val="NormalTok"/>
        </w:rPr>
        <w:t xml:space="preserve">    </w:t>
      </w:r>
      <w:r>
        <w:rPr>
          <w:rStyle w:val="CommentTok"/>
        </w:rPr>
        <w:t xml:space="preserve">/// Property-based test + refinement type check (&lt;10ms)</w:t>
      </w:r>
      <w:r>
        <w:br/>
      </w:r>
      <w:r>
        <w:rPr>
          <w:rStyle w:val="NormalTok"/>
        </w:rPr>
        <w:t xml:space="preserve">    Fast</w:t>
      </w:r>
      <w:r>
        <w:rPr>
          <w:rStyle w:val="OperatorTok"/>
        </w:rPr>
        <w:t xml:space="preserve">,</w:t>
      </w:r>
      <w:r>
        <w:br/>
      </w:r>
      <w:r>
        <w:rPr>
          <w:rStyle w:val="NormalTok"/>
        </w:rPr>
        <w:t xml:space="preserve">    </w:t>
      </w:r>
      <w:r>
        <w:rPr>
          <w:rStyle w:val="CommentTok"/>
        </w:rPr>
        <w:t xml:space="preserve">/// Kani model check on bounded harness (0.03s–5s)</w:t>
      </w:r>
      <w:r>
        <w:br/>
      </w:r>
      <w:r>
        <w:rPr>
          <w:rStyle w:val="NormalTok"/>
        </w:rPr>
        <w:t xml:space="preserve">    Medium</w:t>
      </w:r>
      <w:r>
        <w:rPr>
          <w:rStyle w:val="OperatorTok"/>
        </w:rPr>
        <w:t xml:space="preserve">,</w:t>
      </w:r>
      <w:r>
        <w:br/>
      </w:r>
      <w:r>
        <w:rPr>
          <w:rStyle w:val="NormalTok"/>
        </w:rPr>
        <w:t xml:space="preserve">    </w:t>
      </w:r>
      <w:r>
        <w:rPr>
          <w:rStyle w:val="CommentTok"/>
        </w:rPr>
        <w:t xml:space="preserve">/// Creusot/Lean theorem proving (seconds–minutes, batched)</w:t>
      </w:r>
      <w:r>
        <w:br/>
      </w:r>
      <w:r>
        <w:rPr>
          <w:rStyle w:val="NormalTok"/>
        </w:rPr>
        <w:t xml:space="preserve">    Slow</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StagedVerifier </w:t>
      </w:r>
      <w:r>
        <w:rPr>
          <w:rStyle w:val="OperatorTok"/>
        </w:rPr>
        <w:t xml:space="preserve">{</w:t>
      </w:r>
      <w:r>
        <w:br/>
      </w:r>
      <w:r>
        <w:rPr>
          <w:rStyle w:val="NormalTok"/>
        </w:rPr>
        <w:t xml:space="preserve">    </w:t>
      </w:r>
      <w:r>
        <w:rPr>
          <w:rStyle w:val="KeywordTok"/>
        </w:rPr>
        <w:t xml:space="preserve">pub</w:t>
      </w:r>
      <w:r>
        <w:rPr>
          <w:rStyle w:val="NormalTok"/>
        </w:rPr>
        <w:t xml:space="preserve"> fast</w:t>
      </w:r>
      <w:r>
        <w:rPr>
          <w:rStyle w:val="OperatorTok"/>
        </w:rPr>
        <w:t xml:space="preserve">:</w:t>
      </w:r>
      <w:r>
        <w:rPr>
          <w:rStyle w:val="NormalTok"/>
        </w:rPr>
        <w:t xml:space="preserve"> PropertyBasedTester</w:t>
      </w:r>
      <w:r>
        <w:rPr>
          <w:rStyle w:val="OperatorTok"/>
        </w:rPr>
        <w:t xml:space="preserve">,</w:t>
      </w:r>
      <w:r>
        <w:br/>
      </w:r>
      <w:r>
        <w:rPr>
          <w:rStyle w:val="NormalTok"/>
        </w:rPr>
        <w:t xml:space="preserve">    </w:t>
      </w:r>
      <w:r>
        <w:rPr>
          <w:rStyle w:val="KeywordTok"/>
        </w:rPr>
        <w:t xml:space="preserve">pub</w:t>
      </w:r>
      <w:r>
        <w:rPr>
          <w:rStyle w:val="NormalTok"/>
        </w:rPr>
        <w:t xml:space="preserve"> medium</w:t>
      </w:r>
      <w:r>
        <w:rPr>
          <w:rStyle w:val="OperatorTok"/>
        </w:rPr>
        <w:t xml:space="preserve">:</w:t>
      </w:r>
      <w:r>
        <w:rPr>
          <w:rStyle w:val="NormalTok"/>
        </w:rPr>
        <w:t xml:space="preserve"> KaniHarnessRunner</w:t>
      </w:r>
      <w:r>
        <w:rPr>
          <w:rStyle w:val="OperatorTok"/>
        </w:rPr>
        <w:t xml:space="preserve">,</w:t>
      </w:r>
      <w:r>
        <w:br/>
      </w:r>
      <w:r>
        <w:rPr>
          <w:rStyle w:val="NormalTok"/>
        </w:rPr>
        <w:t xml:space="preserve">    </w:t>
      </w:r>
      <w:r>
        <w:rPr>
          <w:rStyle w:val="KeywordTok"/>
        </w:rPr>
        <w:t xml:space="preserve">pub</w:t>
      </w:r>
      <w:r>
        <w:rPr>
          <w:rStyle w:val="NormalTok"/>
        </w:rPr>
        <w:t xml:space="preserve"> slow</w:t>
      </w:r>
      <w:r>
        <w:rPr>
          <w:rStyle w:val="OperatorTok"/>
        </w:rPr>
        <w:t xml:space="preserve">:</w:t>
      </w:r>
      <w:r>
        <w:rPr>
          <w:rStyle w:val="NormalTok"/>
        </w:rPr>
        <w:t xml:space="preserve"> OfflineProverPool</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StagedVerifier </w:t>
      </w:r>
      <w:r>
        <w:rPr>
          <w:rStyle w:val="OperatorTok"/>
        </w:rPr>
        <w:t xml:space="preserve">{</w:t>
      </w:r>
      <w:r>
        <w:br/>
      </w:r>
      <w:r>
        <w:rPr>
          <w:rStyle w:val="NormalTok"/>
        </w:rPr>
        <w:t xml:space="preserve">    </w:t>
      </w:r>
      <w:r>
        <w:rPr>
          <w:rStyle w:val="CommentTok"/>
        </w:rPr>
        <w:t xml:space="preserve">/// Every agent step triggers the fast path.</w:t>
      </w:r>
      <w:r>
        <w:br/>
      </w:r>
      <w:r>
        <w:rPr>
          <w:rStyle w:val="NormalTok"/>
        </w:rPr>
        <w:t xml:space="preserve">    </w:t>
      </w:r>
      <w:r>
        <w:rPr>
          <w:rStyle w:val="CommentTok"/>
        </w:rPr>
        <w:t xml:space="preserve">/// Critical steps (e.g., first tool call in a chain) also trigger medium.</w:t>
      </w:r>
      <w:r>
        <w:br/>
      </w:r>
      <w:r>
        <w:rPr>
          <w:rStyle w:val="NormalTok"/>
        </w:rPr>
        <w:t xml:space="preserve">    </w:t>
      </w:r>
      <w:r>
        <w:rPr>
          <w:rStyle w:val="CommentTok"/>
        </w:rPr>
        <w:t xml:space="preserve">/// End-of-session summary triggers slow path for the full trace.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verify(</w:t>
      </w:r>
      <w:r>
        <w:rPr>
          <w:rStyle w:val="OperatorTok"/>
        </w:rPr>
        <w:t xml:space="preserve">&amp;</w:t>
      </w:r>
      <w:r>
        <w:rPr>
          <w:rStyle w:val="KeywordTok"/>
        </w:rPr>
        <w:t xml:space="preserve">self</w:t>
      </w:r>
      <w:r>
        <w:rPr>
          <w:rStyle w:val="OperatorTok"/>
        </w:rPr>
        <w:t xml:space="preserve">,</w:t>
      </w:r>
      <w:r>
        <w:rPr>
          <w:rStyle w:val="NormalTok"/>
        </w:rPr>
        <w:t xml:space="preserve"> event</w:t>
      </w:r>
      <w:r>
        <w:rPr>
          <w:rStyle w:val="OperatorTok"/>
        </w:rPr>
        <w:t xml:space="preserve">:</w:t>
      </w:r>
      <w:r>
        <w:rPr>
          <w:rStyle w:val="NormalTok"/>
        </w:rPr>
        <w:t xml:space="preserve"> </w:t>
      </w:r>
      <w:r>
        <w:rPr>
          <w:rStyle w:val="OperatorTok"/>
        </w:rPr>
        <w:t xml:space="preserve">&amp;</w:t>
      </w:r>
      <w:r>
        <w:rPr>
          <w:rStyle w:val="NormalTok"/>
        </w:rPr>
        <w:t xml:space="preserve">RunEvent</w:t>
      </w:r>
      <w:r>
        <w:rPr>
          <w:rStyle w:val="OperatorTok"/>
        </w:rPr>
        <w:t xml:space="preserve">,</w:t>
      </w:r>
      <w:r>
        <w:rPr>
          <w:rStyle w:val="NormalTok"/>
        </w:rPr>
        <w:t xml:space="preserve"> tier</w:t>
      </w:r>
      <w:r>
        <w:rPr>
          <w:rStyle w:val="OperatorTok"/>
        </w:rPr>
        <w:t xml:space="preserve">:</w:t>
      </w:r>
      <w:r>
        <w:rPr>
          <w:rStyle w:val="NormalTok"/>
        </w:rPr>
        <w:t xml:space="preserve"> VerificationTier) </w:t>
      </w:r>
      <w:r>
        <w:rPr>
          <w:rStyle w:val="OperatorTok"/>
        </w:rPr>
        <w:t xml:space="preserve">-&gt;</w:t>
      </w:r>
      <w:r>
        <w:rPr>
          <w:rStyle w:val="NormalTok"/>
        </w:rPr>
        <w:t xml:space="preserve"> VerifierResult </w:t>
      </w:r>
      <w:r>
        <w:rPr>
          <w:rStyle w:val="OperatorTok"/>
        </w:rPr>
        <w:t xml:space="preserve">{</w:t>
      </w:r>
      <w:r>
        <w:br/>
      </w:r>
      <w:r>
        <w:rPr>
          <w:rStyle w:val="NormalTok"/>
        </w:rPr>
        <w:t xml:space="preserve">        </w:t>
      </w:r>
      <w:r>
        <w:rPr>
          <w:rStyle w:val="ControlFlowTok"/>
        </w:rPr>
        <w:t xml:space="preserve">match</w:t>
      </w:r>
      <w:r>
        <w:rPr>
          <w:rStyle w:val="NormalTok"/>
        </w:rPr>
        <w:t xml:space="preserve"> tier </w:t>
      </w:r>
      <w:r>
        <w:rPr>
          <w:rStyle w:val="OperatorTok"/>
        </w:rPr>
        <w:t xml:space="preserve">{</w:t>
      </w:r>
      <w:r>
        <w:br/>
      </w:r>
      <w:r>
        <w:rPr>
          <w:rStyle w:val="NormalTok"/>
        </w:rPr>
        <w:t xml:space="preserve">            </w:t>
      </w:r>
      <w:r>
        <w:rPr>
          <w:rStyle w:val="PreprocessorTok"/>
        </w:rPr>
        <w:t xml:space="preserve">VerificationTier::</w:t>
      </w:r>
      <w:r>
        <w:rPr>
          <w:rStyle w:val="NormalTok"/>
        </w:rPr>
        <w:t xml:space="preserve">Fast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fast</w:t>
      </w:r>
      <w:r>
        <w:rPr>
          <w:rStyle w:val="OperatorTok"/>
        </w:rPr>
        <w:t xml:space="preserve">.</w:t>
      </w:r>
      <w:r>
        <w:rPr>
          <w:rStyle w:val="NormalTok"/>
        </w:rPr>
        <w:t xml:space="preserve">check(event)</w:t>
      </w:r>
      <w:r>
        <w:rPr>
          <w:rStyle w:val="OperatorTok"/>
        </w:rPr>
        <w:t xml:space="preserve">,</w:t>
      </w:r>
      <w:r>
        <w:br/>
      </w:r>
      <w:r>
        <w:rPr>
          <w:rStyle w:val="NormalTok"/>
        </w:rPr>
        <w:t xml:space="preserve">            </w:t>
      </w:r>
      <w:r>
        <w:rPr>
          <w:rStyle w:val="PreprocessorTok"/>
        </w:rPr>
        <w:t xml:space="preserve">VerificationTier::</w:t>
      </w:r>
      <w:r>
        <w:rPr>
          <w:rStyle w:val="NormalTok"/>
        </w:rPr>
        <w:t xml:space="preserve">Medium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medium</w:t>
      </w:r>
      <w:r>
        <w:rPr>
          <w:rStyle w:val="OperatorTok"/>
        </w:rPr>
        <w:t xml:space="preserve">.</w:t>
      </w:r>
      <w:r>
        <w:rPr>
          <w:rStyle w:val="NormalTok"/>
        </w:rPr>
        <w:t xml:space="preserve">check_bounded(event)</w:t>
      </w:r>
      <w:r>
        <w:rPr>
          <w:rStyle w:val="OperatorTok"/>
        </w:rPr>
        <w:t xml:space="preserve">,</w:t>
      </w:r>
      <w:r>
        <w:br/>
      </w:r>
      <w:r>
        <w:rPr>
          <w:rStyle w:val="NormalTok"/>
        </w:rPr>
        <w:t xml:space="preserve">            </w:t>
      </w:r>
      <w:r>
        <w:rPr>
          <w:rStyle w:val="PreprocessorTok"/>
        </w:rPr>
        <w:t xml:space="preserve">VerificationTier::</w:t>
      </w:r>
      <w:r>
        <w:rPr>
          <w:rStyle w:val="NormalTok"/>
        </w:rPr>
        <w:t xml:space="preserve">Slow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slow</w:t>
      </w:r>
      <w:r>
        <w:rPr>
          <w:rStyle w:val="OperatorTok"/>
        </w:rPr>
        <w:t xml:space="preserve">.</w:t>
      </w:r>
      <w:r>
        <w:rPr>
          <w:rStyle w:val="NormalTok"/>
        </w:rPr>
        <w:t xml:space="preserve">enqueue(event)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staged verification model resolves the real-time feasibility tension identified in cross-verification</w:t>
      </w:r>
      <w:r>
        <w:t xml:space="preserve"> </w:t>
      </w:r>
      <w:r>
        <w:rPr>
          <w:vertAlign w:val="superscript"/>
        </w:rPr>
        <w:footnoteReference w:id="52"/>
      </w:r>
      <w:r>
        <w:t xml:space="preserve">. Full formal verification is not real-time feasible for production LLMs—no complete verifier exists for transformer-scale networks, and alpha-beta-CROWN (the state-of-the-art neural network verifier) scales to millions of parameters but not to production-scale transformers</w:t>
      </w:r>
      <w:r>
        <w:t xml:space="preserve"> </w:t>
      </w:r>
      <w:fldSimple w:instr="NOTEREF _Ref_Footnote_19 \h \f">
        <w:r>
          <w:rPr>
            <w:vertAlign w:val="superscript"/>
          </w:rPr>
          <w:t>19</w:t>
        </w:r>
      </w:fldSimple>
      <w:r>
        <w:t xml:space="preserve">. SMT solvers handle small linear constraints in milliseconds; XGrammar claim extraction operates at 30–80 µs per token</w:t>
      </w:r>
      <w:r>
        <w:t xml:space="preserve"> </w:t>
      </w:r>
      <w:fldSimple w:instr="NOTEREF _Ref_Footnote_52 \h \f">
        <w:r>
          <w:rPr>
            <w:vertAlign w:val="superscript"/>
          </w:rPr>
          <w:t>52</w:t>
        </w:r>
      </w:fldSimple>
      <w:r>
        <w:t xml:space="preserve">. The staged approach assigns each technique to the time scale where it is viable: fast path for every token, medium path for critical reasoning chains, slow path for session-level audit. This is not a compromise—it is an architectural partition that respects the computational complexity of each verification class. The fast path provides statistical confidence through property-based testing; the medium path provides bounded proof through model checking; the slow path provides unconditional proof through theorem proving. Each tier addresses a different threat model: property-based testing catches common bugs, model checking catches edge cases within bounded input spaces, and theorem proving catches logical errors in the specification itself.</w:t>
      </w:r>
    </w:p>
    <w:p>
      <w:pPr>
        <w:pStyle w:val="BodyText"/>
      </w:pPr>
      <w:r>
        <w:t xml:space="preserve">The Rust type system itself contributes to the fast path. Rust’s ownership model prevents data races at compile time without runtime overhead.</w:t>
      </w:r>
      <w:r>
        <w:t xml:space="preserve"> </w:t>
      </w:r>
      <w:r>
        <w:rPr>
          <w:rStyle w:val="VerbatimChar"/>
        </w:rPr>
        <w:t xml:space="preserve">const fn</w:t>
      </w:r>
      <w:r>
        <w:t xml:space="preserve"> </w:t>
      </w:r>
      <w:r>
        <w:t xml:space="preserve">and</w:t>
      </w:r>
      <w:r>
        <w:t xml:space="preserve"> </w:t>
      </w:r>
      <w:r>
        <w:rPr>
          <w:rStyle w:val="VerbatimChar"/>
        </w:rPr>
        <w:t xml:space="preserve">const generics</w:t>
      </w:r>
      <w:r>
        <w:t xml:space="preserve"> </w:t>
      </w:r>
      <w:r>
        <w:t xml:space="preserve">enforce invariants at compile time: the</w:t>
      </w:r>
      <w:r>
        <w:t xml:space="preserve"> </w:t>
      </w:r>
      <w:r>
        <w:rPr>
          <w:rStyle w:val="VerbatimChar"/>
        </w:rPr>
        <w:t xml:space="preserve">uom</w:t>
      </w:r>
      <w:r>
        <w:t xml:space="preserve"> </w:t>
      </w:r>
      <w:r>
        <w:t xml:space="preserve">crate and similar patterns achieve zero-cost dimensional analysis by encoding physical dimensions in the type system</w:t>
      </w:r>
      <w:r>
        <w:t xml:space="preserve"> </w:t>
      </w:r>
      <w:fldSimple w:instr="NOTEREF _Ref_Footnote_26 \h \f">
        <w:r>
          <w:rPr>
            <w:vertAlign w:val="superscript"/>
          </w:rPr>
          <w:t>26</w:t>
        </w:r>
      </w:fldSimple>
      <w:r>
        <w:t xml:space="preserve"> </w:t>
      </w:r>
      <w:fldSimple w:instr="NOTEREF _Ref_Footnote_30 \h \f">
        <w:r>
          <w:rPr>
            <w:vertAlign w:val="superscript"/>
          </w:rPr>
          <w:t>30</w:t>
        </w:r>
      </w:fldSimple>
      <w:r>
        <w:t xml:space="preserve">. The dimensional analysis code sketched in the revised architecture—</w:t>
      </w:r>
      <w:r>
        <w:rPr>
          <w:rStyle w:val="VerbatimChar"/>
        </w:rPr>
        <w:t xml:space="preserve">Dimension { exponents: [i8; 7] }</w:t>
      </w:r>
      <w:r>
        <w:t xml:space="preserve"> </w:t>
      </w:r>
      <w:r>
        <w:t xml:space="preserve">for M, L, T, I, Θ, N, J—can be extended with</w:t>
      </w:r>
      <w:r>
        <w:t xml:space="preserve"> </w:t>
      </w:r>
      <w:r>
        <w:rPr>
          <w:rStyle w:val="VerbatimChar"/>
        </w:rPr>
        <w:t xml:space="preserve">const</w:t>
      </w:r>
      <w:r>
        <w:t xml:space="preserve"> </w:t>
      </w:r>
      <w:r>
        <w:t xml:space="preserve">evaluation to reject</w:t>
      </w:r>
      <w:r>
        <w:t xml:space="preserve"> </w:t>
      </w:r>
      <w:r>
        <w:rPr>
          <w:rStyle w:val="VerbatimChar"/>
        </w:rPr>
        <w:t xml:space="preserve">Length + Time</w:t>
      </w:r>
      <w:r>
        <w:t xml:space="preserve"> </w:t>
      </w:r>
      <w:r>
        <w:t xml:space="preserve">at compile time, not runtime. This is the</w:t>
      </w:r>
      <w:r>
        <w:t xml:space="preserve"> </w:t>
      </w:r>
      <w:r>
        <w:t xml:space="preserve">“</w:t>
      </w:r>
      <w:r>
        <w:t xml:space="preserve">compiler-constrained cognition</w:t>
      </w:r>
      <w:r>
        <w:t xml:space="preserve">”</w:t>
      </w:r>
      <w:r>
        <w:t xml:space="preserve"> </w:t>
      </w:r>
      <w:r>
        <w:t xml:space="preserve">principle: physical law becomes type error.</w:t>
      </w:r>
    </w:p>
    <w:p>
      <w:pPr>
        <w:pStyle w:val="BodyText"/>
      </w:pPr>
      <w:r>
        <w:t xml:space="preserve">The integration of deterministic execution, cryptographic attestation, and staged formal verification creates what cross-dimensional analysis calls the</w:t>
      </w:r>
      <w:r>
        <w:t xml:space="preserve"> </w:t>
      </w:r>
      <w:r>
        <w:rPr>
          <w:bCs/>
          <w:b/>
        </w:rPr>
        <w:t xml:space="preserve">Proof-Carrying AI Execution Chain</w:t>
      </w:r>
      <w:r>
        <w:t xml:space="preserve"> </w:t>
      </w:r>
      <w:fldSimple w:instr="NOTEREF _Ref_Footnote_9 \h \f">
        <w:r>
          <w:rPr>
            <w:vertAlign w:val="superscript"/>
          </w:rPr>
          <w:t>9</w:t>
        </w:r>
      </w:fldSimple>
      <w:r>
        <w:t xml:space="preserve"> </w:t>
      </w:r>
      <w:fldSimple w:instr="NOTEREF _Ref_Footnote_10 \h \f">
        <w:r>
          <w:rPr>
            <w:vertAlign w:val="superscript"/>
          </w:rPr>
          <w:t>10</w:t>
        </w:r>
      </w:fldSimple>
      <w:r>
        <w:t xml:space="preserve">. Model generates output within deterministic runtime (hashed state); claim graph extraction produces structured claims (hashed claims); constraint engine validates claims (hashed validation result); repair steps are logged (hashed repair trace); final response includes Merkle root of entire computation. Users can verify: this response was generated by model hash X, from prompt hash Y, with verifier result Z, and the computation can be replayed with seed W. This is not a theoretical protocol; it is a construction from existing, proven components: MadSim for deterministic scheduling</w:t>
      </w:r>
      <w:r>
        <w:t xml:space="preserve"> </w:t>
      </w:r>
      <w:fldSimple w:instr="NOTEREF _Ref_Footnote_37 \h \f">
        <w:r>
          <w:rPr>
            <w:vertAlign w:val="superscript"/>
          </w:rPr>
          <w:t>37</w:t>
        </w:r>
      </w:fldSimple>
      <w:r>
        <w:t xml:space="preserve">, Merkle trees for tamper-evident logging</w:t>
      </w:r>
      <w:r>
        <w:t xml:space="preserve"> </w:t>
      </w:r>
      <w:fldSimple w:instr="NOTEREF _Ref_Footnote_10 \h \f">
        <w:r>
          <w:rPr>
            <w:vertAlign w:val="superscript"/>
          </w:rPr>
          <w:t>10</w:t>
        </w:r>
      </w:fldSimple>
      <w:r>
        <w:t xml:space="preserve">, Kani for bounded property verification</w:t>
      </w:r>
      <w:r>
        <w:t xml:space="preserve"> </w:t>
      </w:r>
      <w:fldSimple w:instr="NOTEREF _Ref_Footnote_17 \h \f">
        <w:r>
          <w:rPr>
            <w:vertAlign w:val="superscript"/>
          </w:rPr>
          <w:t>17</w:t>
        </w:r>
      </w:fldSimple>
      <w:r>
        <w:t xml:space="preserve">, and Apple Silicon UMA for zero-copy deterministic memory access</w:t>
      </w:r>
      <w:r>
        <w:t xml:space="preserve"> </w:t>
      </w:r>
      <w:fldSimple w:instr="NOTEREF _Ref_Footnote_29 \h \f">
        <w:r>
          <w:rPr>
            <w:vertAlign w:val="superscript"/>
          </w:rPr>
          <w:t>29</w:t>
        </w:r>
      </w:fldSimple>
      <w:r>
        <w:t xml:space="preserve">.</w:t>
      </w:r>
    </w:p>
    <w:p>
      <w:pPr>
        <w:pStyle w:val="BodyText"/>
      </w:pPr>
      <w:r>
        <w:t xml:space="preserve">The local-first nature of the substrate is what makes this chain possible. Cloud inference cannot replicate the determinism-privacy-locality triad because cloud scheduling is inherently non-deterministic (multi-tenant), cloud requires data transmission (privacy loss), and cloud cannot provide user-owned persistent memory (locality loss). The</w:t>
      </w:r>
      <w:r>
        <w:t xml:space="preserve"> </w:t>
      </w:r>
      <w:r>
        <w:t xml:space="preserve">“</w:t>
      </w:r>
      <w:r>
        <w:t xml:space="preserve">deterministic substrate as moat</w:t>
      </w:r>
      <w:r>
        <w:t xml:space="preserve">”</w:t>
      </w:r>
      <w:r>
        <w:t xml:space="preserve"> </w:t>
      </w:r>
      <w:r>
        <w:t xml:space="preserve">is structural: cloud architectures are physically incapable of providing the properties that Rex guarantees by design. This is not a marketing claim—it is a consequence of where the non-determinism enters the stack. Remove the cloud, and you remove the non-determinism at its source.</w:t>
      </w:r>
    </w:p>
    <w:p>
      <w:r>
        <w:pict>
          <v:rect style="width:0;height:1.5pt" o:hralign="center" o:hrstd="t" o:hr="t"/>
        </w:pict>
      </w:r>
    </w:p>
    <w:bookmarkEnd w:id="33"/>
    <w:bookmarkEnd w:id="34"/>
    <w:bookmarkStart w:id="53" w:name="Xf6ebbbf3b619c8227b91efb2c81860bc1f0041d"/>
    <w:p>
      <w:pPr>
        <w:pStyle w:val="Heading2"/>
      </w:pPr>
      <w:r>
        <w:t xml:space="preserve">2. Seeing Inside the Model: SAE Interpretability and Feature Steering</w:t>
      </w:r>
    </w:p>
    <w:p>
      <w:pPr>
        <w:pStyle w:val="FirstParagraph"/>
      </w:pPr>
      <w:r>
        <w:t xml:space="preserve">Mechanistic interpretability has crossed a threshold. Where researchers once treated large language models as opaque function approximators, Sparse Autoencoder (SAE) methods now decompose the residual stream into sparse, human-interpretable feature directions that can be read as real-time sensors and written as control surfaces. For a deterministic substrate like Rex, this capability is not optional decoration—it is the diagnostic and actuation layer that turns a black-box neural network into an instrumented, steerable, and verifiable reasoning engine. This chapter maps the SAE ecosystem from training infrastructure through causal steering to compiler-constrained feature manipulation, demonstrating how interpretability becomes the operational nervous system of a deterministic superintelligence substrate.</w:t>
      </w:r>
    </w:p>
    <w:bookmarkStart w:id="38" w:name="qwen-scope-a-complete-sae-ecosystem"/>
    <w:p>
      <w:pPr>
        <w:pStyle w:val="Heading3"/>
      </w:pPr>
      <w:r>
        <w:t xml:space="preserve">2.1 Qwen-Scope: A Complete SAE Ecosystem</w:t>
      </w:r>
    </w:p>
    <w:p>
      <w:pPr>
        <w:pStyle w:val="FirstParagraph"/>
      </w:pPr>
      <w:r>
        <w:t xml:space="preserve">The mechanistic interpretability pipeline demands scale. Training SAEs on a single layer of a single model is a research demonstration; training them systematically across an entire model family is engineering infrastructure. Qwen-Scope represents the most comprehensive open-source SAE suite released to date, providing the feature-level telemetry that Rex requires for real-time monitoring and intervention</w:t>
      </w:r>
      <w:r>
        <w:t xml:space="preserve"> </w:t>
      </w:r>
      <w:fldSimple w:instr="NOTEREF _Ref_Footnote_3 \h \f">
        <w:r>
          <w:rPr>
            <w:vertAlign w:val="superscript"/>
          </w:rPr>
          <w:t>3</w:t>
        </w:r>
      </w:fldSimple>
      <w:r>
        <w:t xml:space="preserve">.</w:t>
      </w:r>
    </w:p>
    <w:bookmarkStart w:id="35" w:name="Xc4b01dec6126d8045c05c0d6acc598212d69ebc"/>
    <w:p>
      <w:pPr>
        <w:pStyle w:val="Heading4"/>
      </w:pPr>
      <w:r>
        <w:t xml:space="preserve">2.1.1 Scope: 14 SAE Groups Across 7 Qwen Backbones (Dense + MoE)</w:t>
      </w:r>
    </w:p>
    <w:p>
      <w:pPr>
        <w:pStyle w:val="FirstParagraph"/>
      </w:pPr>
      <w:r>
        <w:t xml:space="preserve">Qwen-Scope releases</w:t>
      </w:r>
      <w:r>
        <w:t xml:space="preserve"> </w:t>
      </w:r>
      <w:r>
        <w:rPr>
          <w:bCs/>
          <w:b/>
        </w:rPr>
        <w:t xml:space="preserve">14 distinct groups of SAE weights</w:t>
      </w:r>
      <w:r>
        <w:t xml:space="preserve"> </w:t>
      </w:r>
      <w:r>
        <w:t xml:space="preserve">trained across</w:t>
      </w:r>
      <w:r>
        <w:t xml:space="preserve"> </w:t>
      </w:r>
      <w:r>
        <w:rPr>
          <w:bCs/>
          <w:b/>
        </w:rPr>
        <w:t xml:space="preserve">7 foundational backbones</w:t>
      </w:r>
      <w:r>
        <w:t xml:space="preserve">, spanning both dense transformers and Mixture-of-Experts (MoE) architectures</w:t>
      </w:r>
      <w:r>
        <w:t xml:space="preserve"> </w:t>
      </w:r>
      <w:fldSimple w:instr="NOTEREF _Ref_Footnote_3 \h \f">
        <w:r>
          <w:rPr>
            <w:vertAlign w:val="superscript"/>
          </w:rPr>
          <w:t>3</w:t>
        </w:r>
      </w:fldSimple>
      <w:r>
        <w:t xml:space="preserve">. The MoE coverage is significant: MoE models route each token through a sparse subset of expert sub-networks, adding a combinatorial layer to internal computation that has historically resisted interpretability. Qwen-Scope demonstrates that SAEs disentangle MoE representations as effectively as dense-model activations, provided the dictionary width scales with model complexity.</w:t>
      </w:r>
    </w:p>
    <w:p>
      <w:pPr>
        <w:pStyle w:val="BodyText"/>
      </w:pPr>
      <w:r>
        <w:t xml:space="preserve">For each backbone, SAEs are trained on the residual stream activations of</w:t>
      </w:r>
      <w:r>
        <w:t xml:space="preserve"> </w:t>
      </w:r>
      <w:r>
        <w:rPr>
          <w:bCs/>
          <w:b/>
        </w:rPr>
        <w:t xml:space="preserve">all layers</w:t>
      </w:r>
      <w:r>
        <w:t xml:space="preserve">. This layer-wise coverage is critical because feature semantics evolve with depth: early layers encode lexical and syntactic regularities, while deeper layers encode semantic abstractions and reasoning patterns. The unified training pipeline normalizes hyperparameters across architectures, ensuring that features extracted from a dense Qwen3.5-7B model are structurally comparable to those from a Qwen3.5-35B-A3B MoE model</w:t>
      </w:r>
      <w:r>
        <w:t xml:space="preserve"> </w:t>
      </w:r>
      <w:fldSimple w:instr="NOTEREF _Ref_Footnote_3 \h \f">
        <w:r>
          <w:rPr>
            <w:vertAlign w:val="superscript"/>
          </w:rPr>
          <w:t>3</w:t>
        </w:r>
      </w:fldSimple>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Backbone</w:t>
            </w:r>
          </w:p>
        </w:tc>
        <w:tc>
          <w:tcPr/>
          <w:p>
            <w:pPr>
              <w:pStyle w:val="Compact"/>
              <w:jc w:val="left"/>
            </w:pPr>
            <w:r>
              <w:t xml:space="preserve">Architecture</w:t>
            </w:r>
          </w:p>
        </w:tc>
        <w:tc>
          <w:tcPr/>
          <w:p>
            <w:pPr>
              <w:pStyle w:val="Compact"/>
              <w:jc w:val="left"/>
            </w:pPr>
            <w:r>
              <w:t xml:space="preserve">Parameters</w:t>
            </w:r>
          </w:p>
        </w:tc>
        <w:tc>
          <w:tcPr/>
          <w:p>
            <w:pPr>
              <w:pStyle w:val="Compact"/>
              <w:jc w:val="left"/>
            </w:pPr>
            <w:r>
              <w:t xml:space="preserve">SAE Width (d_sae)</w:t>
            </w:r>
          </w:p>
        </w:tc>
        <w:tc>
          <w:tcPr/>
          <w:p>
            <w:pPr>
              <w:pStyle w:val="Compact"/>
              <w:jc w:val="left"/>
            </w:pPr>
            <w:r>
              <w:t xml:space="preserve">Expansion Factor</w:t>
            </w:r>
          </w:p>
        </w:tc>
        <w:tc>
          <w:tcPr/>
          <w:p>
            <w:pPr>
              <w:pStyle w:val="Compact"/>
              <w:jc w:val="left"/>
            </w:pPr>
            <w:r>
              <w:t xml:space="preserve">Top-K</w:t>
            </w:r>
          </w:p>
        </w:tc>
        <w:tc>
          <w:tcPr/>
          <w:p>
            <w:pPr>
              <w:pStyle w:val="Compact"/>
              <w:jc w:val="left"/>
            </w:pPr>
            <w:r>
              <w:t xml:space="preserve">Layers</w:t>
            </w:r>
          </w:p>
        </w:tc>
      </w:tr>
      <w:tr>
        <w:tc>
          <w:tcPr/>
          <w:p>
            <w:pPr>
              <w:pStyle w:val="Compact"/>
              <w:jc w:val="left"/>
            </w:pPr>
            <w:r>
              <w:t xml:space="preserve">Qwen3.5-27B</w:t>
            </w:r>
          </w:p>
        </w:tc>
        <w:tc>
          <w:tcPr/>
          <w:p>
            <w:pPr>
              <w:pStyle w:val="Compact"/>
              <w:jc w:val="left"/>
            </w:pPr>
            <w:r>
              <w:t xml:space="preserve">Dense</w:t>
            </w:r>
          </w:p>
        </w:tc>
        <w:tc>
          <w:tcPr/>
          <w:p>
            <w:pPr>
              <w:pStyle w:val="Compact"/>
              <w:jc w:val="left"/>
            </w:pPr>
            <w:r>
              <w:t xml:space="preserve">27B</w:t>
            </w:r>
          </w:p>
        </w:tc>
        <w:tc>
          <w:tcPr/>
          <w:p>
            <w:pPr>
              <w:pStyle w:val="Compact"/>
              <w:jc w:val="left"/>
            </w:pPr>
            <w:r>
              <w:t xml:space="preserve">81,920</w:t>
            </w:r>
          </w:p>
        </w:tc>
        <w:tc>
          <w:tcPr/>
          <w:p>
            <w:pPr>
              <w:pStyle w:val="Compact"/>
              <w:jc w:val="left"/>
            </w:pPr>
            <w:r>
              <w:t xml:space="preserve">16x</w:t>
            </w:r>
          </w:p>
        </w:tc>
        <w:tc>
          <w:tcPr/>
          <w:p>
            <w:pPr>
              <w:pStyle w:val="Compact"/>
              <w:jc w:val="left"/>
            </w:pPr>
            <w:r>
              <w:t xml:space="preserve">50/100</w:t>
            </w:r>
          </w:p>
        </w:tc>
        <w:tc>
          <w:tcPr/>
          <w:p>
            <w:pPr>
              <w:pStyle w:val="Compact"/>
              <w:jc w:val="left"/>
            </w:pPr>
            <w:r>
              <w:t xml:space="preserve">0–63</w:t>
            </w:r>
          </w:p>
        </w:tc>
      </w:tr>
      <w:tr>
        <w:tc>
          <w:tcPr/>
          <w:p>
            <w:pPr>
              <w:pStyle w:val="Compact"/>
              <w:jc w:val="left"/>
            </w:pPr>
            <w:r>
              <w:t xml:space="preserve">Qwen3.5-35B-A3B</w:t>
            </w:r>
          </w:p>
        </w:tc>
        <w:tc>
          <w:tcPr/>
          <w:p>
            <w:pPr>
              <w:pStyle w:val="Compact"/>
              <w:jc w:val="left"/>
            </w:pPr>
            <w:r>
              <w:t xml:space="preserve">MoE</w:t>
            </w:r>
          </w:p>
        </w:tc>
        <w:tc>
          <w:tcPr/>
          <w:p>
            <w:pPr>
              <w:pStyle w:val="Compact"/>
              <w:jc w:val="left"/>
            </w:pPr>
            <w:r>
              <w:t xml:space="preserve">35B total, 3B active</w:t>
            </w:r>
          </w:p>
        </w:tc>
        <w:tc>
          <w:tcPr/>
          <w:p>
            <w:pPr>
              <w:pStyle w:val="Compact"/>
              <w:jc w:val="left"/>
            </w:pPr>
            <w:r>
              <w:t xml:space="preserve">81,920</w:t>
            </w:r>
          </w:p>
        </w:tc>
        <w:tc>
          <w:tcPr/>
          <w:p>
            <w:pPr>
              <w:pStyle w:val="Compact"/>
              <w:jc w:val="left"/>
            </w:pPr>
            <w:r>
              <w:t xml:space="preserve">16x</w:t>
            </w:r>
          </w:p>
        </w:tc>
        <w:tc>
          <w:tcPr/>
          <w:p>
            <w:pPr>
              <w:pStyle w:val="Compact"/>
              <w:jc w:val="left"/>
            </w:pPr>
            <w:r>
              <w:t xml:space="preserve">50/100</w:t>
            </w:r>
          </w:p>
        </w:tc>
        <w:tc>
          <w:tcPr/>
          <w:p>
            <w:pPr>
              <w:pStyle w:val="Compact"/>
              <w:jc w:val="left"/>
            </w:pPr>
            <w:r>
              <w:t xml:space="preserve">0–63</w:t>
            </w:r>
          </w:p>
        </w:tc>
      </w:tr>
      <w:tr>
        <w:tc>
          <w:tcPr/>
          <w:p>
            <w:pPr>
              <w:pStyle w:val="Compact"/>
              <w:jc w:val="left"/>
            </w:pPr>
            <w:r>
              <w:t xml:space="preserve">Qwen3-8B</w:t>
            </w:r>
          </w:p>
        </w:tc>
        <w:tc>
          <w:tcPr/>
          <w:p>
            <w:pPr>
              <w:pStyle w:val="Compact"/>
              <w:jc w:val="left"/>
            </w:pPr>
            <w:r>
              <w:t xml:space="preserve">Dense</w:t>
            </w:r>
          </w:p>
        </w:tc>
        <w:tc>
          <w:tcPr/>
          <w:p>
            <w:pPr>
              <w:pStyle w:val="Compact"/>
              <w:jc w:val="left"/>
            </w:pPr>
            <w:r>
              <w:t xml:space="preserve">8B</w:t>
            </w:r>
          </w:p>
        </w:tc>
        <w:tc>
          <w:tcPr/>
          <w:p>
            <w:pPr>
              <w:pStyle w:val="Compact"/>
              <w:jc w:val="left"/>
            </w:pPr>
            <w:r>
              <w:t xml:space="preserve">65,536</w:t>
            </w:r>
          </w:p>
        </w:tc>
        <w:tc>
          <w:tcPr/>
          <w:p>
            <w:pPr>
              <w:pStyle w:val="Compact"/>
              <w:jc w:val="left"/>
            </w:pPr>
            <w:r>
              <w:t xml:space="preserve">8x</w:t>
            </w:r>
          </w:p>
        </w:tc>
        <w:tc>
          <w:tcPr/>
          <w:p>
            <w:pPr>
              <w:pStyle w:val="Compact"/>
              <w:jc w:val="left"/>
            </w:pPr>
            <w:r>
              <w:t xml:space="preserve">50/100</w:t>
            </w:r>
          </w:p>
        </w:tc>
        <w:tc>
          <w:tcPr/>
          <w:p>
            <w:pPr>
              <w:pStyle w:val="Compact"/>
              <w:jc w:val="left"/>
            </w:pPr>
            <w:r>
              <w:t xml:space="preserve">0–32</w:t>
            </w:r>
          </w:p>
        </w:tc>
      </w:tr>
      <w:tr>
        <w:tc>
          <w:tcPr/>
          <w:p>
            <w:pPr>
              <w:pStyle w:val="Compact"/>
              <w:jc w:val="left"/>
            </w:pPr>
            <w:r>
              <w:t xml:space="preserve">Qwen2.5-7B-Instruct</w:t>
            </w:r>
          </w:p>
        </w:tc>
        <w:tc>
          <w:tcPr/>
          <w:p>
            <w:pPr>
              <w:pStyle w:val="Compact"/>
              <w:jc w:val="left"/>
            </w:pPr>
            <w:r>
              <w:t xml:space="preserve">Dense</w:t>
            </w:r>
          </w:p>
        </w:tc>
        <w:tc>
          <w:tcPr/>
          <w:p>
            <w:pPr>
              <w:pStyle w:val="Compact"/>
              <w:jc w:val="left"/>
            </w:pPr>
            <w:r>
              <w:t xml:space="preserve">7B</w:t>
            </w:r>
          </w:p>
        </w:tc>
        <w:tc>
          <w:tcPr/>
          <w:p>
            <w:pPr>
              <w:pStyle w:val="Compact"/>
              <w:jc w:val="left"/>
            </w:pPr>
            <w:r>
              <w:t xml:space="preserve">65,536</w:t>
            </w:r>
          </w:p>
        </w:tc>
        <w:tc>
          <w:tcPr/>
          <w:p>
            <w:pPr>
              <w:pStyle w:val="Compact"/>
              <w:jc w:val="left"/>
            </w:pPr>
            <w:r>
              <w:t xml:space="preserve">8x</w:t>
            </w:r>
          </w:p>
        </w:tc>
        <w:tc>
          <w:tcPr/>
          <w:p>
            <w:pPr>
              <w:pStyle w:val="Compact"/>
              <w:jc w:val="left"/>
            </w:pPr>
            <w:r>
              <w:t xml:space="preserve">50</w:t>
            </w:r>
          </w:p>
        </w:tc>
        <w:tc>
          <w:tcPr/>
          <w:p>
            <w:pPr>
              <w:pStyle w:val="Compact"/>
              <w:jc w:val="left"/>
            </w:pPr>
            <w:r>
              <w:t xml:space="preserve">0–28</w:t>
            </w:r>
          </w:p>
        </w:tc>
      </w:tr>
    </w:tbl>
    <w:p>
      <w:pPr>
        <w:pStyle w:val="BodyText"/>
      </w:pPr>
      <w:r>
        <w:rPr>
          <w:iCs/>
          <w:i/>
        </w:rPr>
        <w:t xml:space="preserve">Table: Representative Qwen-Scope SAE configurations. The 16x expansion on Qwen3.5-27B yields a dictionary of 81,920 features for a hidden dimension of 5,120, providing the overcompleteness required to disentangle polysemantic representations</w:t>
      </w:r>
      <w:r>
        <w:rPr>
          <w:iCs/>
          <w:i/>
        </w:rPr>
        <w:t xml:space="preserve"> </w:t>
      </w:r>
      <w:fldSimple w:instr="NOTEREF _Ref_Footnote_3 \h \f">
        <w:r>
          <w:rPr>
            <w:vertAlign w:val="superscript"/>
          </w:rPr>
          <w:t>3</w:t>
        </w:r>
      </w:fldSimple>
      <w:r>
        <w:rPr>
          <w:iCs/>
          <w:i/>
        </w:rPr>
        <w:t xml:space="preserve"> </w:t>
      </w:r>
      <w:r>
        <w:rPr>
          <w:vertAlign w:val="superscript"/>
        </w:rPr>
        <w:footnoteReference w:id="53"/>
      </w:r>
      <w:r>
        <w:rPr>
          <w:iCs/>
          <w:i/>
        </w:rPr>
        <w:t xml:space="preserve">.</w:t>
      </w:r>
    </w:p>
    <w:p>
      <w:pPr>
        <w:pStyle w:val="BodyText"/>
      </w:pPr>
      <w:r>
        <w:t xml:space="preserve">The Top-K activation function, selected over earlier ReLU+L1 approaches, enforces sparsity deterministically by retaining only the K highest pre-activation values</w:t>
      </w:r>
      <w:r>
        <w:t xml:space="preserve"> </w:t>
      </w:r>
      <w:r>
        <w:rPr>
          <w:vertAlign w:val="superscript"/>
        </w:rPr>
        <w:footnoteReference w:id="54"/>
      </w:r>
      <w:r>
        <w:t xml:space="preserve">. This eliminates the feature-shrinkage pathology of L1 penalties and gives precise control over the L0 norm (the count of active features per token). Qwen-Scope publishes configurations at Top-K 50 and 100, meaning each token activates at most 100 features from dictionaries containing tens of thousands of candidate directions—a selectivity ratio of roughly 0.1–0.2%</w:t>
      </w:r>
      <w:r>
        <w:t xml:space="preserve"> </w:t>
      </w:r>
      <w:fldSimple w:instr="NOTEREF _Ref_Footnote_3 \h \f">
        <w:r>
          <w:rPr>
            <w:vertAlign w:val="superscript"/>
          </w:rPr>
          <w:t>3</w:t>
        </w:r>
      </w:fldSimple>
      <w:r>
        <w:t xml:space="preserve">.</w:t>
      </w:r>
    </w:p>
    <w:bookmarkEnd w:id="35"/>
    <w:bookmarkStart w:id="36" w:name="X05c6f02391d0ee0e314df00d4cd8676a1bd95f0"/>
    <w:p>
      <w:pPr>
        <w:pStyle w:val="Heading4"/>
      </w:pPr>
      <w:r>
        <w:t xml:space="preserve">2.1.2 Steering Formula: Direct Manipulation Without Prompt Engineering</w:t>
      </w:r>
    </w:p>
    <w:p>
      <w:pPr>
        <w:pStyle w:val="FirstParagraph"/>
      </w:pPr>
      <w:r>
        <w:t xml:space="preserve">The central operational primitive of SAE-based control is feature steering. The Linear Representation Hypothesis posits that high-level semantic concepts are encoded as directions in the model’s activation space</w:t>
      </w:r>
      <w:r>
        <w:t xml:space="preserve"> </w:t>
      </w:r>
      <w:fldSimple w:instr="NOTEREF _Ref_Footnote_3 \h \f">
        <w:r>
          <w:rPr>
            <w:vertAlign w:val="superscript"/>
          </w:rPr>
          <w:t>3</w:t>
        </w:r>
      </w:fldSimple>
      <w:r>
        <w:t xml:space="preserve"> </w:t>
      </w:r>
      <w:r>
        <w:rPr>
          <w:vertAlign w:val="superscript"/>
        </w:rPr>
        <w:footnoteReference w:id="55"/>
      </w:r>
      <w:r>
        <w:t xml:space="preserve">. If this hypothesis holds, vector addition along an identified direction should modulate the corresponding behavior.</w:t>
      </w:r>
    </w:p>
    <w:p>
      <w:pPr>
        <w:pStyle w:val="BodyText"/>
      </w:pPr>
      <w:r>
        <w:t xml:space="preserve">The steering formula is disarmingly simple:</w:t>
      </w:r>
    </w:p>
    <w:p>
      <w:pPr>
        <w:pStyle w:val="BodyText"/>
      </w:pPr>
      <m:oMathPara>
        <m:oMathParaPr>
          <m:jc m:val="center"/>
        </m:oMathParaPr>
        <m:oMath>
          <m:r>
            <m:t>h</m:t>
          </m:r>
          <m:r>
            <m:rPr>
              <m:sty m:val="p"/>
            </m:rPr>
            <m:t>′</m:t>
          </m:r>
          <m:r>
            <m:rPr>
              <m:sty m:val="p"/>
            </m:rPr>
            <m:t>←</m:t>
          </m:r>
          <m:r>
            <m:t>h</m:t>
          </m:r>
          <m:r>
            <m:rPr>
              <m:sty m:val="p"/>
            </m:rPr>
            <m:t>+</m:t>
          </m:r>
          <m:r>
            <m:t>α</m:t>
          </m:r>
          <m:r>
            <m:t>d</m:t>
          </m:r>
        </m:oMath>
      </m:oMathPara>
    </w:p>
    <w:p>
      <w:pPr>
        <w:pStyle w:val="FirstParagraph"/>
      </w:pPr>
      <w:r>
        <w:t xml:space="preserve">Here,</w:t>
      </w:r>
      <w:r>
        <w:t xml:space="preserve"> </w:t>
      </w:r>
      <m:oMath>
        <m:r>
          <m:t>h</m:t>
        </m:r>
        <m:r>
          <m:rPr>
            <m:sty m:val="p"/>
          </m:rPr>
          <m:t>∈</m:t>
        </m:r>
        <m:sSup>
          <m:e>
            <m:r>
              <m:rPr>
                <m:sty m:val="p"/>
                <m:scr m:val="double-struck"/>
              </m:rPr>
              <m:t>R</m:t>
            </m:r>
          </m:e>
          <m:sup>
            <m:sSub>
              <m:e>
                <m:r>
                  <m:t>d</m:t>
                </m:r>
              </m:e>
              <m:sub>
                <m:r>
                  <m:rPr>
                    <m:nor/>
                    <m:sty m:val="p"/>
                  </m:rPr>
                  <m:t>model</m:t>
                </m:r>
              </m:sub>
            </m:sSub>
          </m:sup>
        </m:sSup>
      </m:oMath>
      <w:r>
        <w:t xml:space="preserve"> </w:t>
      </w:r>
      <w:r>
        <w:t xml:space="preserve">is the hidden state at a specific layer and token position during the forward pass. The direction</w:t>
      </w:r>
      <w:r>
        <w:t xml:space="preserve"> </w:t>
      </w:r>
      <m:oMath>
        <m:r>
          <m:t>d</m:t>
        </m:r>
        <m:r>
          <m:rPr>
            <m:sty m:val="p"/>
          </m:rPr>
          <m:t>∈</m:t>
        </m:r>
        <m:sSup>
          <m:e>
            <m:r>
              <m:rPr>
                <m:sty m:val="p"/>
                <m:scr m:val="double-struck"/>
              </m:rPr>
              <m:t>R</m:t>
            </m:r>
          </m:e>
          <m:sup>
            <m:sSub>
              <m:e>
                <m:r>
                  <m:t>d</m:t>
                </m:r>
              </m:e>
              <m:sub>
                <m:r>
                  <m:rPr>
                    <m:nor/>
                    <m:sty m:val="p"/>
                  </m:rPr>
                  <m:t>model</m:t>
                </m:r>
              </m:sub>
            </m:sSub>
          </m:sup>
        </m:sSup>
      </m:oMath>
      <w:r>
        <w:t xml:space="preserve"> </w:t>
      </w:r>
      <w:r>
        <w:t xml:space="preserve">is a unit vector corresponding to a feature in the SAE decoder matrix</w:t>
      </w:r>
      <w:r>
        <w:t xml:space="preserve"> </w:t>
      </w:r>
      <m:oMath>
        <m:sSub>
          <m:e>
            <m:r>
              <m:t>W</m:t>
            </m:r>
          </m:e>
          <m:sub>
            <m:r>
              <m:rPr>
                <m:nor/>
                <m:sty m:val="p"/>
              </m:rPr>
              <m:t>dec</m:t>
            </m:r>
          </m:sub>
        </m:sSub>
      </m:oMath>
      <w:r>
        <w:t xml:space="preserve">. The scalar</w:t>
      </w:r>
      <w:r>
        <w:t xml:space="preserve"> </w:t>
      </w:r>
      <m:oMath>
        <m:r>
          <m:t>α</m:t>
        </m:r>
      </m:oMath>
      <w:r>
        <w:t xml:space="preserve"> </w:t>
      </w:r>
      <w:r>
        <w:t xml:space="preserve">is the steering coefficient, controlling intervention magnitude and polarity</w:t>
      </w:r>
      <w:r>
        <w:t xml:space="preserve"> </w:t>
      </w:r>
      <w:fldSimple w:instr="NOTEREF _Ref_Footnote_3 \h \f">
        <w:r>
          <w:rPr>
            <w:vertAlign w:val="superscript"/>
          </w:rPr>
          <w:t>3</w:t>
        </w:r>
      </w:fldSimple>
      <w:r>
        <w:t xml:space="preserve"> </w:t>
      </w:r>
      <w:r>
        <w:rPr>
          <w:vertAlign w:val="superscript"/>
        </w:rPr>
        <w:footnoteReference w:id="56"/>
      </w:r>
      <w:r>
        <w:t xml:space="preserve">.</w:t>
      </w:r>
    </w:p>
    <w:p>
      <w:pPr>
        <w:pStyle w:val="BodyText"/>
      </w:pPr>
      <w:r>
        <w:t xml:space="preserve">A positive</w:t>
      </w:r>
      <w:r>
        <w:t xml:space="preserve"> </w:t>
      </w:r>
      <m:oMath>
        <m:r>
          <m:t>α</m:t>
        </m:r>
      </m:oMath>
      <w:r>
        <w:t xml:space="preserve"> </w:t>
      </w:r>
      <w:r>
        <w:t xml:space="preserve">amplifies the feature, pushing the model’s internal state toward the concept encoded by</w:t>
      </w:r>
      <w:r>
        <w:t xml:space="preserve"> </w:t>
      </w:r>
      <m:oMath>
        <m:r>
          <m:t>d</m:t>
        </m:r>
      </m:oMath>
      <w:r>
        <w:t xml:space="preserve">. A negative</w:t>
      </w:r>
      <w:r>
        <w:t xml:space="preserve"> </w:t>
      </w:r>
      <m:oMath>
        <m:r>
          <m:t>α</m:t>
        </m:r>
      </m:oMath>
      <w:r>
        <w:t xml:space="preserve"> </w:t>
      </w:r>
      <w:r>
        <w:t xml:space="preserve">suppresses it. After the modification,</w:t>
      </w:r>
      <w:r>
        <w:t xml:space="preserve"> </w:t>
      </w:r>
      <m:oMath>
        <m:r>
          <m:t>h</m:t>
        </m:r>
        <m:r>
          <m:rPr>
            <m:sty m:val="p"/>
          </m:rPr>
          <m:t>′</m:t>
        </m:r>
      </m:oMath>
      <w:r>
        <w:t xml:space="preserve"> </w:t>
      </w:r>
      <w:r>
        <w:t xml:space="preserve">replaces</w:t>
      </w:r>
      <w:r>
        <w:t xml:space="preserve"> </w:t>
      </w:r>
      <m:oMath>
        <m:r>
          <m:t>h</m:t>
        </m:r>
      </m:oMath>
      <w:r>
        <w:t xml:space="preserve"> </w:t>
      </w:r>
      <w:r>
        <w:t xml:space="preserve">in the residual stream, and the forward pass continues with the altered representation. The subsequent layers, trained on billions of tokens, interpret this injected signal and adjust their outputs accordingly.</w:t>
      </w:r>
    </w:p>
    <w:p>
      <w:pPr>
        <w:pStyle w:val="BodyText"/>
      </w:pPr>
      <w:r>
        <w:t xml:space="preserve">The practical implementation is equally direct. In PyTorch with TransformerLens hooks:</w:t>
      </w:r>
    </w:p>
    <w:p>
      <w:pPr>
        <w:pStyle w:val="SourceCode"/>
      </w:pPr>
      <w:r>
        <w:rPr>
          <w:rStyle w:val="ImportTok"/>
        </w:rPr>
        <w:t xml:space="preserve">import</w:t>
      </w:r>
      <w:r>
        <w:rPr>
          <w:rStyle w:val="NormalTok"/>
        </w:rPr>
        <w:t xml:space="preserve"> torch</w:t>
      </w:r>
      <w:r>
        <w:br/>
      </w:r>
      <w:r>
        <w:rPr>
          <w:rStyle w:val="ImportTok"/>
        </w:rPr>
        <w:t xml:space="preserve">from</w:t>
      </w:r>
      <w:r>
        <w:rPr>
          <w:rStyle w:val="NormalTok"/>
        </w:rPr>
        <w:t xml:space="preserve"> transformer_lens </w:t>
      </w:r>
      <w:r>
        <w:rPr>
          <w:rStyle w:val="ImportTok"/>
        </w:rPr>
        <w:t xml:space="preserve">import</w:t>
      </w:r>
      <w:r>
        <w:rPr>
          <w:rStyle w:val="NormalTok"/>
        </w:rPr>
        <w:t xml:space="preserve"> HookedTransformer</w:t>
      </w:r>
      <w:r>
        <w:br/>
      </w:r>
      <w:r>
        <w:br/>
      </w:r>
      <w:r>
        <w:rPr>
          <w:rStyle w:val="KeywordTok"/>
        </w:rPr>
        <w:t xml:space="preserve">def</w:t>
      </w:r>
      <w:r>
        <w:rPr>
          <w:rStyle w:val="NormalTok"/>
        </w:rPr>
        <w:t xml:space="preserve"> steer_residual(</w:t>
      </w:r>
      <w:r>
        <w:br/>
      </w:r>
      <w:r>
        <w:rPr>
          <w:rStyle w:val="NormalTok"/>
        </w:rPr>
        <w:t xml:space="preserve">    model: HookedTransformer,</w:t>
      </w:r>
      <w:r>
        <w:br/>
      </w:r>
      <w:r>
        <w:rPr>
          <w:rStyle w:val="NormalTok"/>
        </w:rPr>
        <w:t xml:space="preserve">    feature_direction: torch.Tensor,  </w:t>
      </w:r>
      <w:r>
        <w:rPr>
          <w:rStyle w:val="CommentTok"/>
        </w:rPr>
        <w:t xml:space="preserve"># W_dec[j, :] from SAE</w:t>
      </w:r>
      <w:r>
        <w:br/>
      </w:r>
      <w:r>
        <w:rPr>
          <w:rStyle w:val="NormalTok"/>
        </w:rPr>
        <w:t xml:space="preserve">    layer: </w:t>
      </w:r>
      <w:r>
        <w:rPr>
          <w:rStyle w:val="BuiltInTok"/>
        </w:rPr>
        <w:t xml:space="preserve">int</w:t>
      </w:r>
      <w:r>
        <w:rPr>
          <w:rStyle w:val="NormalTok"/>
        </w:rPr>
        <w:t xml:space="preserve">,</w:t>
      </w:r>
      <w:r>
        <w:br/>
      </w:r>
      <w:r>
        <w:rPr>
          <w:rStyle w:val="NormalTok"/>
        </w:rPr>
        <w:t xml:space="preserve">    alpha: </w:t>
      </w:r>
      <w:r>
        <w:rPr>
          <w:rStyle w:val="BuiltInTok"/>
        </w:rPr>
        <w:t xml:space="preserve">float</w:t>
      </w:r>
      <w:r>
        <w:rPr>
          <w:rStyle w:val="NormalTok"/>
        </w:rPr>
        <w:t xml:space="preserve">,</w:t>
      </w:r>
      <w:r>
        <w:br/>
      </w:r>
      <w:r>
        <w:rPr>
          <w:rStyle w:val="NormalTok"/>
        </w:rPr>
        <w:t xml:space="preserve">    prompt: </w:t>
      </w:r>
      <w:r>
        <w:rPr>
          <w:rStyle w:val="BuiltInTok"/>
        </w:rPr>
        <w:t xml:space="preserve">str</w:t>
      </w:r>
      <w:r>
        <w:br/>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Apply SAE feature steering at a specific layer during generation.</w:t>
      </w:r>
      <w:r>
        <w:br/>
      </w:r>
      <w:r>
        <w:rPr>
          <w:rStyle w:val="CommentTok"/>
        </w:rPr>
        <w:t xml:space="preserve">    h' &lt;- h + alpha * d</w:t>
      </w:r>
      <w:r>
        <w:br/>
      </w:r>
      <w:r>
        <w:rPr>
          <w:rStyle w:val="CommentTok"/>
        </w:rPr>
        <w:t xml:space="preserve">    """</w:t>
      </w:r>
      <w:r>
        <w:br/>
      </w:r>
      <w:r>
        <w:rPr>
          <w:rStyle w:val="NormalTok"/>
        </w:rPr>
        <w:t xml:space="preserve">    </w:t>
      </w:r>
      <w:r>
        <w:rPr>
          <w:rStyle w:val="KeywordTok"/>
        </w:rPr>
        <w:t xml:space="preserve">def</w:t>
      </w:r>
      <w:r>
        <w:rPr>
          <w:rStyle w:val="NormalTok"/>
        </w:rPr>
        <w:t xml:space="preserve"> steering_hook(value, hook):</w:t>
      </w:r>
      <w:r>
        <w:br/>
      </w:r>
      <w:r>
        <w:rPr>
          <w:rStyle w:val="NormalTok"/>
        </w:rPr>
        <w:t xml:space="preserve">        </w:t>
      </w:r>
      <w:r>
        <w:rPr>
          <w:rStyle w:val="CommentTok"/>
        </w:rPr>
        <w:t xml:space="preserve"># value shape: (batch, seq_len, d_model)</w:t>
      </w:r>
      <w:r>
        <w:br/>
      </w:r>
      <w:r>
        <w:rPr>
          <w:rStyle w:val="NormalTok"/>
        </w:rPr>
        <w:t xml:space="preserve">        value[:, :, :] </w:t>
      </w:r>
      <w:r>
        <w:rPr>
          <w:rStyle w:val="OperatorTok"/>
        </w:rPr>
        <w:t xml:space="preserve">+=</w:t>
      </w:r>
      <w:r>
        <w:rPr>
          <w:rStyle w:val="NormalTok"/>
        </w:rPr>
        <w:t xml:space="preserve"> alpha </w:t>
      </w:r>
      <w:r>
        <w:rPr>
          <w:rStyle w:val="OperatorTok"/>
        </w:rPr>
        <w:t xml:space="preserve">*</w:t>
      </w:r>
      <w:r>
        <w:rPr>
          <w:rStyle w:val="NormalTok"/>
        </w:rPr>
        <w:t xml:space="preserve"> feature_direction.to(value.device)</w:t>
      </w:r>
      <w:r>
        <w:br/>
      </w:r>
      <w:r>
        <w:rPr>
          <w:rStyle w:val="NormalTok"/>
        </w:rPr>
        <w:t xml:space="preserve">        </w:t>
      </w:r>
      <w:r>
        <w:rPr>
          <w:rStyle w:val="ControlFlowTok"/>
        </w:rPr>
        <w:t xml:space="preserve">return</w:t>
      </w:r>
      <w:r>
        <w:rPr>
          <w:rStyle w:val="NormalTok"/>
        </w:rPr>
        <w:t xml:space="preserve"> value</w:t>
      </w:r>
      <w:r>
        <w:br/>
      </w:r>
      <w:r>
        <w:br/>
      </w:r>
      <w:r>
        <w:rPr>
          <w:rStyle w:val="NormalTok"/>
        </w:rPr>
        <w:t xml:space="preserve">    hook_name </w:t>
      </w:r>
      <w:r>
        <w:rPr>
          <w:rStyle w:val="OperatorTok"/>
        </w:rPr>
        <w:t xml:space="preserve">=</w:t>
      </w:r>
      <w:r>
        <w:rPr>
          <w:rStyle w:val="NormalTok"/>
        </w:rPr>
        <w:t xml:space="preserve"> </w:t>
      </w:r>
      <w:r>
        <w:rPr>
          <w:rStyle w:val="SpecialStringTok"/>
        </w:rPr>
        <w:t xml:space="preserve">f"blocks.</w:t>
      </w:r>
      <w:r>
        <w:rPr>
          <w:rStyle w:val="SpecialCharTok"/>
        </w:rPr>
        <w:t xml:space="preserve">{</w:t>
      </w:r>
      <w:r>
        <w:rPr>
          <w:rStyle w:val="NormalTok"/>
        </w:rPr>
        <w:t xml:space="preserve">layer</w:t>
      </w:r>
      <w:r>
        <w:rPr>
          <w:rStyle w:val="SpecialCharTok"/>
        </w:rPr>
        <w:t xml:space="preserve">}</w:t>
      </w:r>
      <w:r>
        <w:rPr>
          <w:rStyle w:val="SpecialStringTok"/>
        </w:rPr>
        <w:t xml:space="preserve">.hook_resid_post"</w:t>
      </w:r>
      <w:r>
        <w:br/>
      </w:r>
      <w:r>
        <w:rPr>
          <w:rStyle w:val="NormalTok"/>
        </w:rPr>
        <w:t xml:space="preserve">    </w:t>
      </w:r>
      <w:r>
        <w:rPr>
          <w:rStyle w:val="ControlFlowTok"/>
        </w:rPr>
        <w:t xml:space="preserve">with</w:t>
      </w:r>
      <w:r>
        <w:rPr>
          <w:rStyle w:val="NormalTok"/>
        </w:rPr>
        <w:t xml:space="preserve"> model.hooks(fwd_hooks</w:t>
      </w:r>
      <w:r>
        <w:rPr>
          <w:rStyle w:val="OperatorTok"/>
        </w:rPr>
        <w:t xml:space="preserve">=</w:t>
      </w:r>
      <w:r>
        <w:rPr>
          <w:rStyle w:val="NormalTok"/>
        </w:rPr>
        <w:t xml:space="preserve">[(hook_name, steering_hook)]):</w:t>
      </w:r>
      <w:r>
        <w:br/>
      </w:r>
      <w:r>
        <w:rPr>
          <w:rStyle w:val="NormalTok"/>
        </w:rPr>
        <w:t xml:space="preserve">        output </w:t>
      </w:r>
      <w:r>
        <w:rPr>
          <w:rStyle w:val="OperatorTok"/>
        </w:rPr>
        <w:t xml:space="preserve">=</w:t>
      </w:r>
      <w:r>
        <w:rPr>
          <w:rStyle w:val="NormalTok"/>
        </w:rPr>
        <w:t xml:space="preserve"> model.generate(prompt, max_new_tokens</w:t>
      </w:r>
      <w:r>
        <w:rPr>
          <w:rStyle w:val="OperatorTok"/>
        </w:rPr>
        <w:t xml:space="preserve">=</w:t>
      </w:r>
      <w:r>
        <w:rPr>
          <w:rStyle w:val="DecValTok"/>
        </w:rPr>
        <w:t xml:space="preserve">128</w:t>
      </w:r>
      <w:r>
        <w:rPr>
          <w:rStyle w:val="NormalTok"/>
        </w:rPr>
        <w:t xml:space="preserve">)</w:t>
      </w:r>
      <w:r>
        <w:br/>
      </w:r>
      <w:r>
        <w:rPr>
          <w:rStyle w:val="NormalTok"/>
        </w:rPr>
        <w:t xml:space="preserve">    </w:t>
      </w:r>
      <w:r>
        <w:rPr>
          <w:rStyle w:val="ControlFlowTok"/>
        </w:rPr>
        <w:t xml:space="preserve">return</w:t>
      </w:r>
      <w:r>
        <w:rPr>
          <w:rStyle w:val="NormalTok"/>
        </w:rPr>
        <w:t xml:space="preserve"> output</w:t>
      </w:r>
    </w:p>
    <w:p>
      <w:pPr>
        <w:pStyle w:val="FirstParagraph"/>
      </w:pPr>
      <w:r>
        <w:t xml:space="preserve">This code block illustrates the complete intervention: a single vector addition inside a hook that runs at every token position during generation. No fine-tuning, no prompt engineering, no external tool invocation. The intervention cost is one fused multiply-add per token per steered layer.</w:t>
      </w:r>
    </w:p>
    <w:p>
      <w:pPr>
        <w:pStyle w:val="BodyText"/>
      </w:pPr>
      <w:r>
        <w:t xml:space="preserve">Contrastive feature identification provides the steering target</w:t>
      </w:r>
      <w:r>
        <w:t xml:space="preserve"> </w:t>
      </w:r>
      <m:oMath>
        <m:r>
          <m:t>d</m:t>
        </m:r>
      </m:oMath>
      <w:r>
        <w:t xml:space="preserve">. Given a positive set of prompts eliciting the target behavior (e.g., repetitive responses) and a negative set that does not, one records SAE activations at the target layer and ranks features by the difference in mean activation between the two sets</w:t>
      </w:r>
      <w:r>
        <w:t xml:space="preserve"> </w:t>
      </w:r>
      <w:fldSimple w:instr="NOTEREF _Ref_Footnote_3 \h \f">
        <w:r>
          <w:rPr>
            <w:vertAlign w:val="superscript"/>
          </w:rPr>
          <w:t>3</w:t>
        </w:r>
      </w:fldSimple>
      <w:r>
        <w:t xml:space="preserve">. The top-ranked feature becomes the steering direction. This data-driven approach scales to behaviors too subtle for manual inspection.</w:t>
      </w:r>
    </w:p>
    <w:bookmarkEnd w:id="36"/>
    <w:bookmarkStart w:id="37" w:name="Xcfa3afbf1ca5966d98a9e0511addfbfcd987613"/>
    <w:p>
      <w:pPr>
        <w:pStyle w:val="Heading4"/>
      </w:pPr>
      <w:r>
        <w:t xml:space="preserve">2.1.3 SAE Overhead: Manageable at Scale, Reducible via Switch SAEs</w:t>
      </w:r>
    </w:p>
    <w:p>
      <w:pPr>
        <w:pStyle w:val="FirstParagraph"/>
      </w:pPr>
      <w:r>
        <w:t xml:space="preserve">The inference-time cost of SAE monitoring and steering must be quantified for real-time deployment. For an SAE with hidden size</w:t>
      </w:r>
      <w:r>
        <w:t xml:space="preserve"> </w:t>
      </w:r>
      <m:oMath>
        <m:sSub>
          <m:e>
            <m:r>
              <m:t>d</m:t>
            </m:r>
          </m:e>
          <m:sub>
            <m:r>
              <m:rPr>
                <m:nor/>
                <m:sty m:val="p"/>
              </m:rPr>
              <m:t>model</m:t>
            </m:r>
          </m:sub>
        </m:sSub>
      </m:oMath>
      <w:r>
        <w:t xml:space="preserve"> </w:t>
      </w:r>
      <w:r>
        <w:t xml:space="preserve">and dictionary size</w:t>
      </w:r>
      <w:r>
        <w:t xml:space="preserve"> </w:t>
      </w:r>
      <m:oMath>
        <m:sSub>
          <m:e>
            <m:r>
              <m:t>d</m:t>
            </m:r>
          </m:e>
          <m:sub>
            <m:r>
              <m:rPr>
                <m:nor/>
                <m:sty m:val="p"/>
              </m:rPr>
              <m:t>sae</m:t>
            </m:r>
          </m:sub>
        </m:sSub>
        <m:r>
          <m:rPr>
            <m:sty m:val="p"/>
          </m:rPr>
          <m:t>=</m:t>
        </m:r>
        <m:r>
          <m:rPr>
            <m:nor/>
            <m:sty m:val="p"/>
          </m:rPr>
          <m:t>expansion_factor</m:t>
        </m:r>
        <m:r>
          <m:rPr>
            <m:sty m:val="p"/>
          </m:rPr>
          <m:t>×</m:t>
        </m:r>
        <m:sSub>
          <m:e>
            <m:r>
              <m:t>d</m:t>
            </m:r>
          </m:e>
          <m:sub>
            <m:r>
              <m:rPr>
                <m:nor/>
                <m:sty m:val="p"/>
              </m:rPr>
              <m:t>model</m:t>
            </m:r>
          </m:sub>
        </m:sSub>
      </m:oMath>
      <w:r>
        <w:t xml:space="preserve">, the encoder performs a dense matrix multiplication costing approximately</w:t>
      </w:r>
      <w:r>
        <w:t xml:space="preserve"> </w:t>
      </w:r>
      <m:oMath>
        <m:r>
          <m:t>2</m:t>
        </m:r>
        <m:r>
          <m:rPr>
            <m:sty m:val="p"/>
          </m:rPr>
          <m:t>⋅</m:t>
        </m:r>
        <m:sSub>
          <m:e>
            <m:r>
              <m:t>d</m:t>
            </m:r>
          </m:e>
          <m:sub>
            <m:r>
              <m:rPr>
                <m:nor/>
                <m:sty m:val="p"/>
              </m:rPr>
              <m:t>model</m:t>
            </m:r>
          </m:sub>
        </m:sSub>
        <m:r>
          <m:rPr>
            <m:sty m:val="p"/>
          </m:rPr>
          <m:t>⋅</m:t>
        </m:r>
        <m:sSub>
          <m:e>
            <m:r>
              <m:t>d</m:t>
            </m:r>
          </m:e>
          <m:sub>
            <m:r>
              <m:rPr>
                <m:nor/>
                <m:sty m:val="p"/>
              </m:rPr>
              <m:t>sae</m:t>
            </m:r>
          </m:sub>
        </m:sSub>
      </m:oMath>
      <w:r>
        <w:t xml:space="preserve"> </w:t>
      </w:r>
      <w:r>
        <w:t xml:space="preserve">FLOPs. The decoder, benefiting from Top-K sparsity, costs</w:t>
      </w:r>
      <w:r>
        <w:t xml:space="preserve"> </w:t>
      </w:r>
      <m:oMath>
        <m:r>
          <m:t>2</m:t>
        </m:r>
        <m:r>
          <m:rPr>
            <m:sty m:val="p"/>
          </m:rPr>
          <m:t>⋅</m:t>
        </m:r>
        <m:r>
          <m:t>K</m:t>
        </m:r>
        <m:r>
          <m:rPr>
            <m:sty m:val="p"/>
          </m:rPr>
          <m:t>⋅</m:t>
        </m:r>
        <m:sSub>
          <m:e>
            <m:r>
              <m:t>d</m:t>
            </m:r>
          </m:e>
          <m:sub>
            <m:r>
              <m:rPr>
                <m:nor/>
                <m:sty m:val="p"/>
              </m:rPr>
              <m:t>model</m:t>
            </m:r>
          </m:sub>
        </m:sSub>
      </m:oMath>
      <w:r>
        <w:t xml:space="preserve"> </w:t>
      </w:r>
      <w:r>
        <w:t xml:space="preserve">FLOPs where</w:t>
      </w:r>
      <w:r>
        <w:t xml:space="preserve"> </w:t>
      </w:r>
      <m:oMath>
        <m:r>
          <m:t>K</m:t>
        </m:r>
      </m:oMath>
      <w:r>
        <w:t xml:space="preserve"> </w:t>
      </w:r>
      <w:r>
        <w:t xml:space="preserve">is the number of active features</w:t>
      </w:r>
      <w:r>
        <w:t xml:space="preserve"> </w:t>
      </w:r>
      <w:fldSimple w:instr="NOTEREF _Ref_Footnote_3 \h \f">
        <w:r>
          <w:rPr>
            <w:vertAlign w:val="superscript"/>
          </w:rPr>
          <w:t>3</w:t>
        </w:r>
      </w:fldSimple>
      <w:r>
        <w:t xml:space="preserve">.</w:t>
      </w:r>
    </w:p>
    <w:p>
      <w:pPr>
        <w:pStyle w:val="BodyText"/>
      </w:pPr>
      <w:r>
        <w:t xml:space="preserve">For the Qwen3.5-27B SAE (</w:t>
      </w:r>
      <m:oMath>
        <m:sSub>
          <m:e>
            <m:r>
              <m:t>d</m:t>
            </m:r>
          </m:e>
          <m:sub>
            <m:r>
              <m:rPr>
                <m:nor/>
                <m:sty m:val="p"/>
              </m:rPr>
              <m:t>model</m:t>
            </m:r>
          </m:sub>
        </m:sSub>
        <m:r>
          <m:rPr>
            <m:sty m:val="p"/>
          </m:rPr>
          <m:t>=</m:t>
        </m:r>
        <m:r>
          <m:t>5</m:t>
        </m:r>
        <m:r>
          <m:rPr>
            <m:sty m:val="p"/>
          </m:rPr>
          <m:t>,</m:t>
        </m:r>
        <m:r>
          <m:t>120</m:t>
        </m:r>
      </m:oMath>
      <w:r>
        <w:t xml:space="preserve">,</w:t>
      </w:r>
      <w:r>
        <w:t xml:space="preserve"> </w:t>
      </w:r>
      <m:oMath>
        <m:sSub>
          <m:e>
            <m:r>
              <m:t>d</m:t>
            </m:r>
          </m:e>
          <m:sub>
            <m:r>
              <m:rPr>
                <m:nor/>
                <m:sty m:val="p"/>
              </m:rPr>
              <m:t>sae</m:t>
            </m:r>
          </m:sub>
        </m:sSub>
        <m:r>
          <m:rPr>
            <m:sty m:val="p"/>
          </m:rPr>
          <m:t>=</m:t>
        </m:r>
        <m:r>
          <m:t>81</m:t>
        </m:r>
        <m:r>
          <m:rPr>
            <m:sty m:val="p"/>
          </m:rPr>
          <m:t>,</m:t>
        </m:r>
        <m:r>
          <m:t>920</m:t>
        </m:r>
      </m:oMath>
      <w:r>
        <w:t xml:space="preserve">,</w:t>
      </w:r>
      <w:r>
        <w:t xml:space="preserve"> </w:t>
      </w:r>
      <m:oMath>
        <m:r>
          <m:t>K</m:t>
        </m:r>
        <m:r>
          <m:rPr>
            <m:sty m:val="p"/>
          </m:rPr>
          <m:t>=</m:t>
        </m:r>
        <m:r>
          <m:t>100</m:t>
        </m:r>
      </m:oMath>
      <w:r>
        <w:t xml:space="preserve">), a single forward pass requires roughly</w:t>
      </w:r>
      <w:r>
        <w:t xml:space="preserve"> </w:t>
      </w:r>
      <w:r>
        <w:rPr>
          <w:bCs/>
          <w:b/>
        </w:rPr>
        <w:t xml:space="preserve">1.02 billion FLOPs per token per layer</w:t>
      </w:r>
      <w:r>
        <w:t xml:space="preserve"> </w:t>
      </w:r>
      <w:fldSimple w:instr="NOTEREF _Ref_Footnote_3 \h \f">
        <w:r>
          <w:rPr>
            <w:vertAlign w:val="superscript"/>
          </w:rPr>
          <w:t>3</w:t>
        </w:r>
      </w:fldSimple>
      <w:r>
        <w:t xml:space="preserve">. Applied at one layer, this is modest on modern hardware. Applied at four layers for multi-scale monitoring, it becomes noticeable.</w:t>
      </w:r>
    </w:p>
    <w:p>
      <w:pPr>
        <w:pStyle w:val="BodyText"/>
      </w:pPr>
      <w:r>
        <w:rPr>
          <w:bCs/>
          <w:b/>
        </w:rPr>
        <w:t xml:space="preserve">Switch SAEs</w:t>
      </w:r>
      <w:r>
        <w:t xml:space="preserve"> </w:t>
      </w:r>
      <w:r>
        <w:t xml:space="preserve">address this overhead architecturally. Introduced by Mudide et al. (2024), the Switch SAE replaces the single dense encoder with a router and multiple smaller</w:t>
      </w:r>
      <w:r>
        <w:t xml:space="preserve"> </w:t>
      </w:r>
      <w:r>
        <w:t xml:space="preserve">“</w:t>
      </w:r>
      <w:r>
        <w:t xml:space="preserve">expert</w:t>
      </w:r>
      <w:r>
        <w:t xml:space="preserve">”</w:t>
      </w:r>
      <w:r>
        <w:t xml:space="preserve"> </w:t>
      </w:r>
      <w:r>
        <w:t xml:space="preserve">encoders, analogous to MoE routing in the base model</w:t>
      </w:r>
      <w:r>
        <w:t xml:space="preserve"> </w:t>
      </w:r>
      <w:fldSimple w:instr="NOTEREF _Ref_Footnote_28 \h \f">
        <w:r>
          <w:rPr>
            <w:vertAlign w:val="superscript"/>
          </w:rPr>
          <w:t>28</w:t>
        </w:r>
      </w:fldSimple>
      <w:r>
        <w:t xml:space="preserve">. For each input activation, the router selects one expert; only that expert’s encoder matrix is evaluated. With 128 experts, the encoder FLOPs drop by a factor of 128—from ~1 billion to roughly</w:t>
      </w:r>
      <w:r>
        <w:t xml:space="preserve"> </w:t>
      </w:r>
      <w:r>
        <w:rPr>
          <w:bCs/>
          <w:b/>
        </w:rPr>
        <w:t xml:space="preserve">100 million FLOPs per token</w:t>
      </w:r>
      <w:r>
        <w:t xml:space="preserve">—while retaining reconstruction quality competitive with dense ReLU SAEs</w:t>
      </w:r>
      <w:r>
        <w:t xml:space="preserve"> </w:t>
      </w:r>
      <w:fldSimple w:instr="NOTEREF _Ref_Footnote_28 \h \f">
        <w:r>
          <w:rPr>
            <w:vertAlign w:val="superscript"/>
          </w:rPr>
          <w:t>28</w:t>
        </w:r>
      </w:fldSimple>
      <w:r>
        <w:t xml:space="preserve">. The trade-off is slight feature duplication across experts, but the compute reduction makes real-time SAE monitoring feasible for latency-sensitive systems like Rex.</w:t>
      </w:r>
    </w:p>
    <w:bookmarkEnd w:id="37"/>
    <w:bookmarkEnd w:id="38"/>
    <w:bookmarkStart w:id="45" w:name="feature-steering-for-reliability"/>
    <w:p>
      <w:pPr>
        <w:pStyle w:val="Heading3"/>
      </w:pPr>
      <w:r>
        <w:t xml:space="preserve">2.2 Feature Steering for Reliability</w:t>
      </w:r>
    </w:p>
    <w:p>
      <w:pPr>
        <w:pStyle w:val="FirstParagraph"/>
      </w:pPr>
      <w:r>
        <w:t xml:space="preserve">The steering formula is a scalpel, not a sledgehammer. Its precision allows targeted intervention on specific failure modes without degrading general capability. Two landmark applications demonstrate this: hallucination suppression in multimodal models and behavioral reorientation in agentic MoE systems.</w:t>
      </w:r>
    </w:p>
    <w:bookmarkStart w:id="42" w:name="Xd92222dc9bf51845d9ca4b9c54380cbfad99d2f"/>
    <w:p>
      <w:pPr>
        <w:pStyle w:val="Heading4"/>
      </w:pPr>
      <w:r>
        <w:t xml:space="preserve">2.2.1 SAVE: Suppressing Hallucination by Amplifying Visual Understanding Features</w:t>
      </w:r>
    </w:p>
    <w:p>
      <w:pPr>
        <w:pStyle w:val="FirstParagraph"/>
      </w:pPr>
      <w:r>
        <w:t xml:space="preserve">Object hallucination in Multimodal Large Language Models (MLLMs)—the generation of descriptions containing objects not present in the input image—remains a critical failure mode. The SAVE (Sparse Autoencoder-Driven Visual Information Enhancement) framework uses SAE steering to address it at the feature level</w:t>
      </w:r>
      <w:r>
        <w:t xml:space="preserve"> </w:t>
      </w:r>
      <w:fldSimple w:instr="NOTEREF _Ref_Footnote_56 \h \f">
        <w:r>
          <w:rPr>
            <w:vertAlign w:val="superscript"/>
          </w:rPr>
          <w:t>56</w:t>
        </w:r>
      </w:fldSimple>
      <w:r>
        <w:t xml:space="preserve">.</w:t>
      </w:r>
    </w:p>
    <w:p>
      <w:pPr>
        <w:pStyle w:val="BodyText"/>
      </w:pPr>
      <w:r>
        <w:t xml:space="preserve">SAVE’s methodology is instructive. First, a binary object-presence question-answering task serves as a probe: 10,000 balanced queries (5,000 with objects present, 5,000 absent) are run through the model, and SAE activations are recorded</w:t>
      </w:r>
      <w:r>
        <w:t xml:space="preserve"> </w:t>
      </w:r>
      <w:fldSimple w:instr="NOTEREF _Ref_Footnote_25 \h \f">
        <w:r>
          <w:rPr>
            <w:vertAlign w:val="superscript"/>
          </w:rPr>
          <w:t>25</w:t>
        </w:r>
      </w:fldSimple>
      <w:r>
        <w:t xml:space="preserve">. Features that activate strongly on correct (grounded) responses but weakly on hallucinated ones are labeled</w:t>
      </w:r>
      <w:r>
        <w:t xml:space="preserve"> </w:t>
      </w:r>
      <w:r>
        <w:t xml:space="preserve">“</w:t>
      </w:r>
      <w:r>
        <w:t xml:space="preserve">visual understanding features.</w:t>
      </w:r>
      <w:r>
        <w:t xml:space="preserve">”</w:t>
      </w:r>
      <w:r>
        <w:t xml:space="preserve"> </w:t>
      </w:r>
      <w:r>
        <w:t xml:space="preserve">Features with the opposite pattern are labeled</w:t>
      </w:r>
      <w:r>
        <w:t xml:space="preserve"> </w:t>
      </w:r>
      <w:r>
        <w:t xml:space="preserve">“</w:t>
      </w:r>
      <w:r>
        <w:t xml:space="preserve">hallucination features.</w:t>
      </w:r>
      <w:r>
        <w:t xml:space="preserve">”</w:t>
      </w:r>
      <w:r>
        <w:t xml:space="preserve"> </w:t>
      </w:r>
      <w:r>
        <w:t xml:space="preserve">Critically, these two feature classes are</w:t>
      </w:r>
      <w:r>
        <w:t xml:space="preserve"> </w:t>
      </w:r>
      <w:r>
        <w:rPr>
          <w:bCs/>
          <w:b/>
        </w:rPr>
        <w:t xml:space="preserve">semantically disentangled</w:t>
      </w:r>
      <w:r>
        <w:t xml:space="preserve"> </w:t>
      </w:r>
      <w:r>
        <w:t xml:space="preserve">in latent space—they occupy distinct directions, making selective steering possible</w:t>
      </w:r>
      <w:r>
        <w:t xml:space="preserve"> </w:t>
      </w:r>
      <w:fldSimple w:instr="NOTEREF _Ref_Footnote_25 \h \f">
        <w:r>
          <w:rPr>
            <w:vertAlign w:val="superscript"/>
          </w:rPr>
          <w:t>25</w:t>
        </w:r>
      </w:fldSimple>
      <w:r>
        <w:t xml:space="preserve">.</w:t>
      </w:r>
    </w:p>
    <w:p>
      <w:pPr>
        <w:pStyle w:val="BodyText"/>
      </w:pPr>
      <w:r>
        <w:t xml:space="preserve">The steering intervention amplifies visual understanding features during inference. On LLaVA-1.6, this reduces the sentence-level hallucination score</w:t>
      </w:r>
      <w:r>
        <w:t xml:space="preserve"> </w:t>
      </w:r>
      <w:r>
        <w:rPr>
          <w:bCs/>
          <w:b/>
        </w:rPr>
        <w:t xml:space="preserve">CHAIR_S from 31.2 to 21.4</w:t>
      </w:r>
      <w:r>
        <w:t xml:space="preserve">, a 31.4% relative improvement. Steering toward hallucination features (the opposite direction)</w:t>
      </w:r>
      <w:r>
        <w:t xml:space="preserve"> </w:t>
      </w:r>
      <w:r>
        <w:rPr>
          <w:bCs/>
          <w:b/>
        </w:rPr>
        <w:t xml:space="preserve">increases CHAIR_S to 38.0</w:t>
      </w:r>
      <w:r>
        <w:t xml:space="preserve">, confirming causal control rather than incidental correlation</w:t>
      </w:r>
      <w:r>
        <w:t xml:space="preserve"> </w:t>
      </w:r>
      <w:fldSimple w:instr="NOTEREF _Ref_Footnote_25 \h \f">
        <w:r>
          <w:rPr>
            <w:vertAlign w:val="superscript"/>
          </w:rPr>
          <w:t>25</w:t>
        </w:r>
      </w:fldSimple>
      <w:r>
        <w:t xml:space="preserve">. Results generalize across architectures: Qwen2-VL achieves a</w:t>
      </w:r>
      <w:r>
        <w:t xml:space="preserve"> </w:t>
      </w:r>
      <w:r>
        <w:rPr>
          <w:bCs/>
          <w:b/>
        </w:rPr>
        <w:t xml:space="preserve">49.5% reduction</w:t>
      </w:r>
      <w:r>
        <w:t xml:space="preserve"> </w:t>
      </w:r>
      <w:r>
        <w:t xml:space="preserve">in CHAIR_S (from 40.0 to 20.2)</w:t>
      </w:r>
      <w:r>
        <w:t xml:space="preserve"> </w:t>
      </w:r>
      <w:fldSimple w:instr="NOTEREF _Ref_Footnote_25 \h \f">
        <w:r>
          <w:rPr>
            <w:vertAlign w:val="superscript"/>
          </w:rPr>
          <w:t>25</w:t>
        </w:r>
      </w:fldSimple>
      <w:r>
        <w:t xml:space="preserve">.</w:t>
      </w:r>
    </w:p>
    <w:p>
      <w:pPr>
        <w:pStyle w:val="CaptionedFigure"/>
      </w:pPr>
      <w:r>
        <w:drawing>
          <wp:inline>
            <wp:extent cx="5334000" cy="3173711"/>
            <wp:effectExtent b="0" l="0" r="0" t="0"/>
            <wp:docPr descr="SAVE Steering Results" title="" id="40" name="Picture"/>
            <a:graphic>
              <a:graphicData uri="http://schemas.openxmlformats.org/drawingml/2006/picture">
                <pic:pic>
                  <pic:nvPicPr>
                    <pic:cNvPr descr="/mnt/agents/output/fig_save_steering.png" id="41" name="Picture"/>
                    <pic:cNvPicPr>
                      <a:picLocks noChangeArrowheads="1" noChangeAspect="1"/>
                    </pic:cNvPicPr>
                  </pic:nvPicPr>
                  <pic:blipFill>
                    <a:blip r:embed="rId39"/>
                    <a:stretch>
                      <a:fillRect/>
                    </a:stretch>
                  </pic:blipFill>
                  <pic:spPr bwMode="auto">
                    <a:xfrm>
                      <a:off x="0" y="0"/>
                      <a:ext cx="5334000" cy="3173711"/>
                    </a:xfrm>
                    <a:prstGeom prst="rect">
                      <a:avLst/>
                    </a:prstGeom>
                    <a:noFill/>
                    <a:ln w="9525">
                      <a:noFill/>
                      <a:headEnd/>
                      <a:tailEnd/>
                    </a:ln>
                  </pic:spPr>
                </pic:pic>
              </a:graphicData>
            </a:graphic>
          </wp:inline>
        </w:drawing>
      </w:r>
    </w:p>
    <w:p>
      <w:pPr>
        <w:pStyle w:val="ImageCaption"/>
      </w:pPr>
      <w:r>
        <w:t xml:space="preserve">SAVE Steering Results</w:t>
      </w:r>
    </w:p>
    <w:p>
      <w:pPr>
        <w:pStyle w:val="BodyText"/>
      </w:pPr>
      <w:r>
        <w:rPr>
          <w:iCs/>
          <w:i/>
        </w:rPr>
        <w:t xml:space="preserve">Figure: SAVE steering reduces object hallucination across three MLLM architectures. Baseline CHAIR_S scores (gray) and SAVE-steered scores (blue) are shown, with percentage reduction annotated. Lower CHAIR_S indicates less hallucination. Data from Park et al. (2025)</w:t>
      </w:r>
      <w:r>
        <w:rPr>
          <w:iCs/>
          <w:i/>
        </w:rPr>
        <w:t xml:space="preserve"> </w:t>
      </w:r>
      <w:fldSimple w:instr="NOTEREF _Ref_Footnote_25 \h \f">
        <w:r>
          <w:rPr>
            <w:vertAlign w:val="superscript"/>
          </w:rPr>
          <w:t>25</w:t>
        </w:r>
      </w:fldSimple>
      <w:r>
        <w:rPr>
          <w:iCs/>
          <w:i/>
        </w:rPr>
        <w:t xml:space="preserve">.</w:t>
      </w:r>
    </w:p>
    <w:p>
      <w:pPr>
        <w:pStyle w:val="BodyText"/>
      </w:pPr>
      <w:r>
        <w:t xml:space="preserve">The mechanistic explanation is equally precise: SAVE steering increases attention weights on image tokens and decreases attention on text tokens, counteracting the language-prior overreliance that drives hallucination</w:t>
      </w:r>
      <w:r>
        <w:t xml:space="preserve"> </w:t>
      </w:r>
      <w:fldSimple w:instr="NOTEREF _Ref_Footnote_25 \h \f">
        <w:r>
          <w:rPr>
            <w:vertAlign w:val="superscript"/>
          </w:rPr>
          <w:t>25</w:t>
        </w:r>
      </w:fldSimple>
      <w:r>
        <w:t xml:space="preserve">. Layer-wise token probability analysis shows that vanilla models sharply spike hallucinated-token probabilities at penultimate layers, while SAVE-suppressed models exhibit no such spike</w:t>
      </w:r>
      <w:r>
        <w:t xml:space="preserve"> </w:t>
      </w:r>
      <w:fldSimple w:instr="NOTEREF _Ref_Footnote_25 \h \f">
        <w:r>
          <w:rPr>
            <w:vertAlign w:val="superscript"/>
          </w:rPr>
          <w:t>25</w:t>
        </w:r>
      </w:fldSimple>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Metric</w:t>
            </w:r>
          </w:p>
        </w:tc>
        <w:tc>
          <w:tcPr/>
          <w:p>
            <w:pPr>
              <w:pStyle w:val="Compact"/>
              <w:jc w:val="left"/>
            </w:pPr>
            <w:r>
              <w:t xml:space="preserve">Baseline</w:t>
            </w:r>
          </w:p>
        </w:tc>
        <w:tc>
          <w:tcPr/>
          <w:p>
            <w:pPr>
              <w:pStyle w:val="Compact"/>
              <w:jc w:val="left"/>
            </w:pPr>
            <w:r>
              <w:t xml:space="preserve">SAVE (Steered)</w:t>
            </w:r>
          </w:p>
        </w:tc>
        <w:tc>
          <w:tcPr/>
          <w:p>
            <w:pPr>
              <w:pStyle w:val="Compact"/>
              <w:jc w:val="left"/>
            </w:pPr>
            <w:r>
              <w:t xml:space="preserve">Change</w:t>
            </w:r>
          </w:p>
        </w:tc>
      </w:tr>
      <w:tr>
        <w:tc>
          <w:tcPr/>
          <w:p>
            <w:pPr>
              <w:pStyle w:val="Compact"/>
              <w:jc w:val="left"/>
            </w:pPr>
            <w:r>
              <w:t xml:space="preserve">LLaVA-1.6</w:t>
            </w:r>
          </w:p>
        </w:tc>
        <w:tc>
          <w:tcPr/>
          <w:p>
            <w:pPr>
              <w:pStyle w:val="Compact"/>
              <w:jc w:val="left"/>
            </w:pPr>
            <w:r>
              <w:t xml:space="preserve">CHAIR_S</w:t>
            </w:r>
          </w:p>
        </w:tc>
        <w:tc>
          <w:tcPr/>
          <w:p>
            <w:pPr>
              <w:pStyle w:val="Compact"/>
              <w:jc w:val="left"/>
            </w:pPr>
            <w:r>
              <w:t xml:space="preserve">31.2</w:t>
            </w:r>
          </w:p>
        </w:tc>
        <w:tc>
          <w:tcPr/>
          <w:p>
            <w:pPr>
              <w:pStyle w:val="Compact"/>
              <w:jc w:val="left"/>
            </w:pPr>
            <w:r>
              <w:t xml:space="preserve">21.4</w:t>
            </w:r>
            <w:r>
              <w:t xml:space="preserve"> </w:t>
            </w:r>
            <w:fldSimple w:instr="NOTEREF _Ref_Footnote_25 \h \f">
              <w:r>
                <w:rPr>
                  <w:vertAlign w:val="superscript"/>
                </w:rPr>
                <w:t>25</w:t>
              </w:r>
            </w:fldSimple>
          </w:p>
        </w:tc>
        <w:tc>
          <w:tcPr/>
          <w:p>
            <w:pPr>
              <w:pStyle w:val="Compact"/>
              <w:jc w:val="left"/>
            </w:pPr>
            <w:r>
              <w:t xml:space="preserve">−31.4%</w:t>
            </w:r>
          </w:p>
        </w:tc>
      </w:tr>
      <w:tr>
        <w:tc>
          <w:tcPr/>
          <w:p>
            <w:pPr>
              <w:pStyle w:val="Compact"/>
              <w:jc w:val="left"/>
            </w:pPr>
            <w:r>
              <w:t xml:space="preserve">LLaVA-1.6</w:t>
            </w:r>
          </w:p>
        </w:tc>
        <w:tc>
          <w:tcPr/>
          <w:p>
            <w:pPr>
              <w:pStyle w:val="Compact"/>
              <w:jc w:val="left"/>
            </w:pPr>
            <w:r>
              <w:t xml:space="preserve">CHAIR_I</w:t>
            </w:r>
          </w:p>
        </w:tc>
        <w:tc>
          <w:tcPr/>
          <w:p>
            <w:pPr>
              <w:pStyle w:val="Compact"/>
              <w:jc w:val="left"/>
            </w:pPr>
            <w:r>
              <w:t xml:space="preserve">7.9</w:t>
            </w:r>
          </w:p>
        </w:tc>
        <w:tc>
          <w:tcPr/>
          <w:p>
            <w:pPr>
              <w:pStyle w:val="Compact"/>
              <w:jc w:val="left"/>
            </w:pPr>
            <w:r>
              <w:t xml:space="preserve">5.4</w:t>
            </w:r>
            <w:r>
              <w:t xml:space="preserve"> </w:t>
            </w:r>
            <w:fldSimple w:instr="NOTEREF _Ref_Footnote_25 \h \f">
              <w:r>
                <w:rPr>
                  <w:vertAlign w:val="superscript"/>
                </w:rPr>
                <w:t>25</w:t>
              </w:r>
            </w:fldSimple>
          </w:p>
        </w:tc>
        <w:tc>
          <w:tcPr/>
          <w:p>
            <w:pPr>
              <w:pStyle w:val="Compact"/>
              <w:jc w:val="left"/>
            </w:pPr>
            <w:r>
              <w:t xml:space="preserve">−31.6%</w:t>
            </w:r>
          </w:p>
        </w:tc>
      </w:tr>
      <w:tr>
        <w:tc>
          <w:tcPr/>
          <w:p>
            <w:pPr>
              <w:pStyle w:val="Compact"/>
              <w:jc w:val="left"/>
            </w:pPr>
            <w:r>
              <w:t xml:space="preserve">LLaVA-NeXT</w:t>
            </w:r>
          </w:p>
        </w:tc>
        <w:tc>
          <w:tcPr/>
          <w:p>
            <w:pPr>
              <w:pStyle w:val="Compact"/>
              <w:jc w:val="left"/>
            </w:pPr>
            <w:r>
              <w:t xml:space="preserve">CHAIR_S</w:t>
            </w:r>
          </w:p>
        </w:tc>
        <w:tc>
          <w:tcPr/>
          <w:p>
            <w:pPr>
              <w:pStyle w:val="Compact"/>
              <w:jc w:val="left"/>
            </w:pPr>
            <w:r>
              <w:t xml:space="preserve">34.2</w:t>
            </w:r>
          </w:p>
        </w:tc>
        <w:tc>
          <w:tcPr/>
          <w:p>
            <w:pPr>
              <w:pStyle w:val="Compact"/>
              <w:jc w:val="left"/>
            </w:pPr>
            <w:r>
              <w:t xml:space="preserve">28.0</w:t>
            </w:r>
            <w:r>
              <w:t xml:space="preserve"> </w:t>
            </w:r>
            <w:fldSimple w:instr="NOTEREF _Ref_Footnote_25 \h \f">
              <w:r>
                <w:rPr>
                  <w:vertAlign w:val="superscript"/>
                </w:rPr>
                <w:t>25</w:t>
              </w:r>
            </w:fldSimple>
          </w:p>
        </w:tc>
        <w:tc>
          <w:tcPr/>
          <w:p>
            <w:pPr>
              <w:pStyle w:val="Compact"/>
              <w:jc w:val="left"/>
            </w:pPr>
            <w:r>
              <w:t xml:space="preserve">−18.1%</w:t>
            </w:r>
          </w:p>
        </w:tc>
      </w:tr>
      <w:tr>
        <w:tc>
          <w:tcPr/>
          <w:p>
            <w:pPr>
              <w:pStyle w:val="Compact"/>
              <w:jc w:val="left"/>
            </w:pPr>
            <w:r>
              <w:t xml:space="preserve">Qwen2-VL</w:t>
            </w:r>
          </w:p>
        </w:tc>
        <w:tc>
          <w:tcPr/>
          <w:p>
            <w:pPr>
              <w:pStyle w:val="Compact"/>
              <w:jc w:val="left"/>
            </w:pPr>
            <w:r>
              <w:t xml:space="preserve">CHAIR_S</w:t>
            </w:r>
          </w:p>
        </w:tc>
        <w:tc>
          <w:tcPr/>
          <w:p>
            <w:pPr>
              <w:pStyle w:val="Compact"/>
              <w:jc w:val="left"/>
            </w:pPr>
            <w:r>
              <w:t xml:space="preserve">40.0</w:t>
            </w:r>
          </w:p>
        </w:tc>
        <w:tc>
          <w:tcPr/>
          <w:p>
            <w:pPr>
              <w:pStyle w:val="Compact"/>
              <w:jc w:val="left"/>
            </w:pPr>
            <w:r>
              <w:t xml:space="preserve">20.2</w:t>
            </w:r>
            <w:r>
              <w:t xml:space="preserve"> </w:t>
            </w:r>
            <w:fldSimple w:instr="NOTEREF _Ref_Footnote_25 \h \f">
              <w:r>
                <w:rPr>
                  <w:vertAlign w:val="superscript"/>
                </w:rPr>
                <w:t>25</w:t>
              </w:r>
            </w:fldSimple>
          </w:p>
        </w:tc>
        <w:tc>
          <w:tcPr/>
          <w:p>
            <w:pPr>
              <w:pStyle w:val="Compact"/>
              <w:jc w:val="left"/>
            </w:pPr>
            <w:r>
              <w:t xml:space="preserve">−49.5%</w:t>
            </w:r>
          </w:p>
        </w:tc>
      </w:tr>
      <w:tr>
        <w:tc>
          <w:tcPr/>
          <w:p>
            <w:pPr>
              <w:pStyle w:val="Compact"/>
              <w:jc w:val="left"/>
            </w:pPr>
            <w:r>
              <w:t xml:space="preserve">Qwen 3.5-35B-A3B</w:t>
            </w:r>
          </w:p>
        </w:tc>
        <w:tc>
          <w:tcPr/>
          <w:p>
            <w:pPr>
              <w:pStyle w:val="Compact"/>
              <w:jc w:val="left"/>
            </w:pPr>
            <w:r>
              <w:rPr>
                <w:rStyle w:val="VerbatimChar"/>
              </w:rPr>
              <w:t xml:space="preserve">ask_user</w:t>
            </w:r>
            <w:r>
              <w:t xml:space="preserve"> </w:t>
            </w:r>
            <w:r>
              <w:t xml:space="preserve">calls</w:t>
            </w:r>
          </w:p>
        </w:tc>
        <w:tc>
          <w:tcPr/>
          <w:p>
            <w:pPr>
              <w:pStyle w:val="Compact"/>
              <w:jc w:val="left"/>
            </w:pPr>
            <w:r>
              <w:t xml:space="preserve">78%</w:t>
            </w:r>
          </w:p>
        </w:tc>
        <w:tc>
          <w:tcPr/>
          <w:p>
            <w:pPr>
              <w:pStyle w:val="Compact"/>
              <w:jc w:val="left"/>
            </w:pPr>
            <w:r>
              <w:t xml:space="preserve">5%</w:t>
            </w:r>
            <w:r>
              <w:t xml:space="preserve"> </w:t>
            </w:r>
            <w:fldSimple w:instr="NOTEREF _Ref_Footnote_5 \h \f">
              <w:r>
                <w:rPr>
                  <w:vertAlign w:val="superscript"/>
                </w:rPr>
                <w:t>5</w:t>
              </w:r>
            </w:fldSimple>
          </w:p>
        </w:tc>
        <w:tc>
          <w:tcPr/>
          <w:p>
            <w:pPr>
              <w:pStyle w:val="Compact"/>
              <w:jc w:val="left"/>
            </w:pPr>
            <w:r>
              <w:t xml:space="preserve">−73 pp</w:t>
            </w:r>
          </w:p>
        </w:tc>
      </w:tr>
      <w:tr>
        <w:tc>
          <w:tcPr/>
          <w:p>
            <w:pPr>
              <w:pStyle w:val="Compact"/>
              <w:jc w:val="left"/>
            </w:pPr>
            <w:r>
              <w:t xml:space="preserve">Qwen 3.5-35B-A3B</w:t>
            </w:r>
          </w:p>
        </w:tc>
        <w:tc>
          <w:tcPr/>
          <w:p>
            <w:pPr>
              <w:pStyle w:val="Compact"/>
              <w:jc w:val="left"/>
            </w:pPr>
            <w:r>
              <w:t xml:space="preserve">Proactive tool calls</w:t>
            </w:r>
          </w:p>
        </w:tc>
        <w:tc>
          <w:tcPr/>
          <w:p>
            <w:pPr>
              <w:pStyle w:val="Compact"/>
              <w:jc w:val="left"/>
            </w:pPr>
            <w:r>
              <w:t xml:space="preserve">22%</w:t>
            </w:r>
          </w:p>
        </w:tc>
        <w:tc>
          <w:tcPr/>
          <w:p>
            <w:pPr>
              <w:pStyle w:val="Compact"/>
              <w:jc w:val="left"/>
            </w:pPr>
            <w:r>
              <w:t xml:space="preserve">95%</w:t>
            </w:r>
            <w:r>
              <w:t xml:space="preserve"> </w:t>
            </w:r>
            <w:fldSimple w:instr="NOTEREF _Ref_Footnote_5 \h \f">
              <w:r>
                <w:rPr>
                  <w:vertAlign w:val="superscript"/>
                </w:rPr>
                <w:t>5</w:t>
              </w:r>
            </w:fldSimple>
          </w:p>
        </w:tc>
        <w:tc>
          <w:tcPr/>
          <w:p>
            <w:pPr>
              <w:pStyle w:val="Compact"/>
              <w:jc w:val="left"/>
            </w:pPr>
            <w:r>
              <w:t xml:space="preserve">+73 pp</w:t>
            </w:r>
          </w:p>
        </w:tc>
      </w:tr>
    </w:tbl>
    <w:p>
      <w:pPr>
        <w:pStyle w:val="BodyText"/>
      </w:pPr>
      <w:r>
        <w:rPr>
          <w:iCs/>
          <w:i/>
        </w:rPr>
        <w:t xml:space="preserve">Table: Feature steering efficacy across two distinct intervention targets. Top panel: SAVE visual-understanding steering reduces hallucination on three MLLM families. Bottom panel: Autonomy steering on the Qwen 3.5-35B-A3B MoE model inverts behavioral mode from passive deference to proactive execution</w:t>
      </w:r>
      <w:r>
        <w:rPr>
          <w:iCs/>
          <w:i/>
        </w:rPr>
        <w:t xml:space="preserve"> </w:t>
      </w:r>
      <w:fldSimple w:instr="NOTEREF _Ref_Footnote_25 \h \f">
        <w:r>
          <w:rPr>
            <w:vertAlign w:val="superscript"/>
          </w:rPr>
          <w:t>25</w:t>
        </w:r>
      </w:fldSimple>
      <w:r>
        <w:rPr>
          <w:iCs/>
          <w:i/>
        </w:rPr>
        <w:t xml:space="preserve"> </w:t>
      </w:r>
      <w:fldSimple w:instr="NOTEREF _Ref_Footnote_5 \h \f">
        <w:r>
          <w:rPr>
            <w:vertAlign w:val="superscript"/>
          </w:rPr>
          <w:t>5</w:t>
        </w:r>
      </w:fldSimple>
      <w:r>
        <w:rPr>
          <w:iCs/>
          <w:i/>
        </w:rPr>
        <w:t xml:space="preserve">.</w:t>
      </w:r>
    </w:p>
    <w:bookmarkEnd w:id="42"/>
    <w:bookmarkStart w:id="43" w:name="Xac302e9fb5a5a5d52772a4c7da1deabd78a6dc3"/>
    <w:p>
      <w:pPr>
        <w:pStyle w:val="Heading4"/>
      </w:pPr>
      <w:r>
        <w:t xml:space="preserve">2.2.2 Autonomy Steering in 35B MoE: Cohen’s d = 1.01 at α = 2</w:t>
      </w:r>
    </w:p>
    <w:p>
      <w:pPr>
        <w:pStyle w:val="FirstParagraph"/>
      </w:pPr>
      <w:r>
        <w:t xml:space="preserve">The most compelling evidence for SAE steering as a causal control mechanism comes from an independent study on the Qwen 3.5-35B-A3B MoE model using Qwen-Scope SAEs</w:t>
      </w:r>
      <w:r>
        <w:t xml:space="preserve"> </w:t>
      </w:r>
      <w:fldSimple w:instr="NOTEREF _Ref_Footnote_5 \h \f">
        <w:r>
          <w:rPr>
            <w:vertAlign w:val="superscript"/>
          </w:rPr>
          <w:t>5</w:t>
        </w:r>
      </w:fldSimple>
      <w:r>
        <w:t xml:space="preserve">. Researchers identified and steered five agentic traits: Autonomy, Tool-use eagerness, Persistence, Risk calibration, and Deference.</w:t>
      </w:r>
    </w:p>
    <w:p>
      <w:pPr>
        <w:pStyle w:val="BodyText"/>
      </w:pPr>
      <w:r>
        <w:t xml:space="preserve">For the autonomy trait, steering at</w:t>
      </w:r>
      <w:r>
        <w:t xml:space="preserve"> </w:t>
      </w:r>
      <w:r>
        <w:rPr>
          <w:bCs/>
          <w:b/>
        </w:rPr>
        <w:t xml:space="preserve">α = 2</w:t>
      </w:r>
      <w:r>
        <w:t xml:space="preserve"> </w:t>
      </w:r>
      <w:r>
        <w:t xml:space="preserve">produced a behavioral inversion. The frequency of</w:t>
      </w:r>
      <w:r>
        <w:t xml:space="preserve"> </w:t>
      </w:r>
      <w:r>
        <w:rPr>
          <w:rStyle w:val="VerbatimChar"/>
        </w:rPr>
        <w:t xml:space="preserve">ask_user</w:t>
      </w:r>
      <w:r>
        <w:t xml:space="preserve"> </w:t>
      </w:r>
      <w:r>
        <w:t xml:space="preserve">tool calls—indicating deference to the human—</w:t>
      </w:r>
      <w:r>
        <w:rPr>
          <w:bCs/>
          <w:b/>
        </w:rPr>
        <w:t xml:space="preserve">dropped from 78% to 5%</w:t>
      </w:r>
      <w:r>
        <w:t xml:space="preserve">. Simultaneously, proactive tool calls (</w:t>
      </w:r>
      <w:r>
        <w:rPr>
          <w:rStyle w:val="VerbatimChar"/>
        </w:rPr>
        <w:t xml:space="preserve">code_execute</w:t>
      </w:r>
      <w:r>
        <w:t xml:space="preserve">,</w:t>
      </w:r>
      <w:r>
        <w:t xml:space="preserve"> </w:t>
      </w:r>
      <w:r>
        <w:rPr>
          <w:rStyle w:val="VerbatimChar"/>
        </w:rPr>
        <w:t xml:space="preserve">web_search</w:t>
      </w:r>
      <w:r>
        <w:t xml:space="preserve">)</w:t>
      </w:r>
      <w:r>
        <w:t xml:space="preserve"> </w:t>
      </w:r>
      <w:r>
        <w:rPr>
          <w:bCs/>
          <w:b/>
        </w:rPr>
        <w:t xml:space="preserve">rose from 22% to 95%</w:t>
      </w:r>
      <w:r>
        <w:t xml:space="preserve"> </w:t>
      </w:r>
      <w:fldSimple w:instr="NOTEREF _Ref_Footnote_5 \h \f">
        <w:r>
          <w:rPr>
            <w:vertAlign w:val="superscript"/>
          </w:rPr>
          <w:t>5</w:t>
        </w:r>
      </w:fldSimple>
      <w:r>
        <w:t xml:space="preserve">. The model shifted from a passive assistant waiting for instruction to an autonomous agent executing independently.</w:t>
      </w:r>
    </w:p>
    <w:p>
      <w:pPr>
        <w:pStyle w:val="BodyText"/>
      </w:pPr>
      <w:r>
        <w:t xml:space="preserve">The effect size was</w:t>
      </w:r>
      <w:r>
        <w:t xml:space="preserve"> </w:t>
      </w:r>
      <w:r>
        <w:rPr>
          <w:bCs/>
          <w:b/>
        </w:rPr>
        <w:t xml:space="preserve">Cohen’s d = 1.01 (p &lt; 0.0001)</w:t>
      </w:r>
      <w:r>
        <w:t xml:space="preserve">. In standard statistical interpretation, d = 0.2 is small, d = 0.5 is medium, and d = 0.8 is large; exceeding 1.0 indicates that the steered and unsteered behavioral distributions are separated by more than one pooled standard deviation, with minimal overlap</w:t>
      </w:r>
      <w:r>
        <w:t xml:space="preserve"> </w:t>
      </w:r>
      <w:fldSimple w:instr="NOTEREF _Ref_Footnote_5 \h \f">
        <w:r>
          <w:rPr>
            <w:vertAlign w:val="superscript"/>
          </w:rPr>
          <w:t>5</w:t>
        </w:r>
      </w:fldSimple>
      <w:r>
        <w:t xml:space="preserve">. This is not a subtle nudge—it is a deterministic lever capable of reprogramming a model’s fundamental disposition.</w:t>
      </w:r>
    </w:p>
    <w:p>
      <w:pPr>
        <w:pStyle w:val="BodyText"/>
      </w:pPr>
      <w:r>
        <w:t xml:space="preserve">A critical nuance emerged in the cross-trait analysis. Every steering vector, regardless of its intended target, primarily modulated autonomy and deference along a dominant</w:t>
      </w:r>
      <w:r>
        <w:t xml:space="preserve"> </w:t>
      </w:r>
      <w:r>
        <w:rPr>
          <w:bCs/>
          <w:b/>
        </w:rPr>
        <w:t xml:space="preserve">“</w:t>
      </w:r>
      <w:r>
        <w:rPr>
          <w:bCs/>
          <w:b/>
        </w:rPr>
        <w:t xml:space="preserve">agency axis</w:t>
      </w:r>
      <w:r>
        <w:rPr>
          <w:bCs/>
          <w:b/>
        </w:rPr>
        <w:t xml:space="preserve">”</w:t>
      </w:r>
      <w:r>
        <w:t xml:space="preserve"> </w:t>
      </w:r>
      <w:fldSimple w:instr="NOTEREF _Ref_Footnote_5 \h \f">
        <w:r>
          <w:rPr>
            <w:vertAlign w:val="superscript"/>
          </w:rPr>
          <w:t>5</w:t>
        </w:r>
      </w:fldSimple>
      <w:r>
        <w:t xml:space="preserve">. The tool-use vector’s largest effect was on autonomy (Cohen’s d = +1.00), not on tool-use frequency (d = +0.62). This finding reveals that seemingly distinct agentic traits are neurologically entangled in the model’s representation space—a complexity that any production steering system must account for to avoid unintended side effects.</w:t>
      </w:r>
    </w:p>
    <w:bookmarkEnd w:id="43"/>
    <w:bookmarkStart w:id="44" w:name="layer-dependent-steering-the-α-gradient"/>
    <w:p>
      <w:pPr>
        <w:pStyle w:val="Heading4"/>
      </w:pPr>
      <w:r>
        <w:t xml:space="preserve">2.2.3 Layer-Dependent Steering: The α Gradient</w:t>
      </w:r>
    </w:p>
    <w:p>
      <w:pPr>
        <w:pStyle w:val="FirstParagraph"/>
      </w:pPr>
      <w:r>
        <w:t xml:space="preserve">Steering strength is not uniform across depth. SAVE’s ablation studies reveal a systematic gradient:</w:t>
      </w:r>
      <w:r>
        <w:t xml:space="preserve"> </w:t>
      </w:r>
      <w:r>
        <w:rPr>
          <w:bCs/>
          <w:b/>
        </w:rPr>
        <w:t xml:space="preserve">early layers respond to small magnitudes (α = 3), mid-layers benefit from moderate strengths (α ∈ {3, 5}), and deep layers require stronger intervention (α ∈ {5, 10, 15})</w:t>
      </w:r>
      <w:r>
        <w:t xml:space="preserve"> </w:t>
      </w:r>
      <w:fldSimple w:instr="NOTEREF _Ref_Footnote_25 \h \f">
        <w:r>
          <w:rPr>
            <w:vertAlign w:val="superscript"/>
          </w:rPr>
          <w:t>25</w:t>
        </w:r>
      </w:fldSimple>
      <w:r>
        <w:t xml:space="preserve">.</w:t>
      </w:r>
    </w:p>
    <w:p>
      <w:pPr>
        <w:pStyle w:val="BodyText"/>
      </w:pPr>
      <w:r>
        <w:t xml:space="preserve">This pattern reflects the hierarchical organization of feature semantics. Early layers process low-level patterns; a small perturbation propagates through the remaining depth and accumulates. Deep layers encode near-output decisions; the model has already committed to most of its computation, so a stronger push is required to alter the trajectory. Layer 24 of LLaVA-1.6 achieves optimal hallucination suppression at α = 15, while layer 8 degrades into corrupted outputs (repeated blanks or meaningless text) at the same strength</w:t>
      </w:r>
      <w:r>
        <w:t xml:space="preserve"> </w:t>
      </w:r>
      <w:fldSimple w:instr="NOTEREF _Ref_Footnote_25 \h \f">
        <w:r>
          <w:rPr>
            <w:vertAlign w:val="superscript"/>
          </w:rPr>
          <w:t>25</w:t>
        </w:r>
      </w:fldSimple>
      <w:r>
        <w:t xml:space="preserve">.</w:t>
      </w:r>
    </w:p>
    <w:p>
      <w:pPr>
        <w:pStyle w:val="BodyText"/>
      </w:pPr>
      <w:r>
        <w:t xml:space="preserve">For Rex, this implies that steering policies must be layer-aware. A flat α applied uniformly across all monitored layers risks either under-intervention at depth or corruption at early layers. The constraint engine (Chapter 4) can encode per-layer α bounds as part of the ontological profile, ensuring that steering magnitudes stay within empirically validated safe corridors.</w:t>
      </w:r>
    </w:p>
    <w:bookmarkEnd w:id="44"/>
    <w:bookmarkEnd w:id="45"/>
    <w:bookmarkStart w:id="49" w:name="sae-as-real-time-model-sensors"/>
    <w:p>
      <w:pPr>
        <w:pStyle w:val="Heading3"/>
      </w:pPr>
      <w:r>
        <w:t xml:space="preserve">2.3 SAE as Real-Time Model Sensors</w:t>
      </w:r>
    </w:p>
    <w:p>
      <w:pPr>
        <w:pStyle w:val="FirstParagraph"/>
      </w:pPr>
      <w:r>
        <w:t xml:space="preserve">The steering applications above treat SAEs as actuators. Equally important is their role as sensors—real-time detectors that read the model’s internal state during generation and flag incipient failure modes before they surface in the output stream.</w:t>
      </w:r>
    </w:p>
    <w:bookmarkStart w:id="46" w:name="Xb95fe963290087601ce98bd4219704d959661d5"/>
    <w:p>
      <w:pPr>
        <w:pStyle w:val="Heading4"/>
      </w:pPr>
      <w:r>
        <w:t xml:space="preserve">2.3.1 Linear Probes on SAE Features: AUC 0.90 for Hallucination Detection</w:t>
      </w:r>
    </w:p>
    <w:p>
      <w:pPr>
        <w:pStyle w:val="FirstParagraph"/>
      </w:pPr>
      <w:r>
        <w:t xml:space="preserve">The computational cost of full SAE encoder evaluation at every token is non-trivial (~1B FLOPs/layer). For pure detection—when steering is not yet required—lighter-weight probes suffice. Linear probes trained on hidden activations achieve</w:t>
      </w:r>
      <w:r>
        <w:t xml:space="preserve"> </w:t>
      </w:r>
      <w:r>
        <w:rPr>
          <w:bCs/>
          <w:b/>
        </w:rPr>
        <w:t xml:space="preserve">AUC 0.87</w:t>
      </w:r>
      <w:r>
        <w:t xml:space="preserve"> </w:t>
      </w:r>
      <w:r>
        <w:t xml:space="preserve">for hallucination detection on Llama-3.3-70B, substantially outperforming semantic-entropy baselines (AUC 0.71) with</w:t>
      </w:r>
      <w:r>
        <w:t xml:space="preserve"> </w:t>
      </w:r>
      <w:r>
        <w:t xml:space="preserve">“</w:t>
      </w:r>
      <w:r>
        <w:t xml:space="preserve">negligible computational overhead</w:t>
      </w:r>
      <w:r>
        <w:t xml:space="preserve">”</w:t>
      </w:r>
      <w:r>
        <w:t xml:space="preserve"> </w:t>
      </w:r>
      <w:fldSimple w:instr="NOTEREF _Ref_Footnote_4 \h \f">
        <w:r>
          <w:rPr>
            <w:vertAlign w:val="superscript"/>
          </w:rPr>
          <w:t>4</w:t>
        </w:r>
      </w:fldSimple>
      <w:r>
        <w:t xml:space="preserve">. Adding Low-Rank Adaptation (LoRA) during probe training pushes performance to</w:t>
      </w:r>
      <w:r>
        <w:t xml:space="preserve"> </w:t>
      </w:r>
      <w:r>
        <w:rPr>
          <w:bCs/>
          <w:b/>
        </w:rPr>
        <w:t xml:space="preserve">AUC 0.90</w:t>
      </w:r>
      <w:r>
        <w:t xml:space="preserve"> </w:t>
      </w:r>
      <w:fldSimple w:instr="NOTEREF _Ref_Footnote_4 \h \f">
        <w:r>
          <w:rPr>
            <w:vertAlign w:val="superscript"/>
          </w:rPr>
          <w:t>4</w:t>
        </w:r>
      </w:fldSimple>
      <w:r>
        <w:t xml:space="preserve">.</w:t>
      </w:r>
    </w:p>
    <w:p>
      <w:pPr>
        <w:pStyle w:val="BodyText"/>
      </w:pPr>
      <w:r>
        <w:t xml:space="preserve">These probes generalize across model families: a probe trained on Llama-3.3-70B detects hallucinations in Qwen and GPT-family outputs, suggesting they capture fundamental patterns of hallucinatory computation rather than model-specific artifacts</w:t>
      </w:r>
      <w:r>
        <w:t xml:space="preserve"> </w:t>
      </w:r>
      <w:fldSimple w:instr="NOTEREF _Ref_Footnote_4 \h \f">
        <w:r>
          <w:rPr>
            <w:vertAlign w:val="superscript"/>
          </w:rPr>
          <w:t>4</w:t>
        </w:r>
      </w:fldSimple>
      <w:r>
        <w:t xml:space="preserve">. However, a critical transfer asymmetry exists: probes trained on long-form text transfer well to short-form Question Answering, but short-form training fails to recover long-form performance. Long-form supervision is therefore mandatory for production monitoring systems</w:t>
      </w:r>
      <w:r>
        <w:t xml:space="preserve"> </w:t>
      </w:r>
      <w:fldSimple w:instr="NOTEREF _Ref_Footnote_4 \h \f">
        <w:r>
          <w:rPr>
            <w:vertAlign w:val="superscript"/>
          </w:rPr>
          <w:t>4</w:t>
        </w:r>
      </w:fldSimple>
      <w:r>
        <w:t xml:space="preserve">.</w:t>
      </w:r>
    </w:p>
    <w:bookmarkEnd w:id="46"/>
    <w:bookmarkStart w:id="47" w:name="X29ca3673a321bbc0dce3e4a714e139832b91236"/>
    <w:p>
      <w:pPr>
        <w:pStyle w:val="Heading4"/>
      </w:pPr>
      <w:r>
        <w:t xml:space="preserve">2.3.2 Repetition Features Spike Before Textual Repetition</w:t>
      </w:r>
    </w:p>
    <w:p>
      <w:pPr>
        <w:pStyle w:val="FirstParagraph"/>
      </w:pPr>
      <w:r>
        <w:t xml:space="preserve">Qwen-Scope identified repetition features that exhibit a</w:t>
      </w:r>
      <w:r>
        <w:t xml:space="preserve"> </w:t>
      </w:r>
      <w:r>
        <w:t xml:space="preserve">“</w:t>
      </w:r>
      <w:r>
        <w:t xml:space="preserve">sharp and sustained increase around the onset of repetition</w:t>
      </w:r>
      <w:r>
        <w:t xml:space="preserve">”</w:t>
      </w:r>
      <w:r>
        <w:t xml:space="preserve"> </w:t>
      </w:r>
      <w:fldSimple w:instr="NOTEREF _Ref_Footnote_3 \h \f">
        <w:r>
          <w:rPr>
            <w:vertAlign w:val="superscript"/>
          </w:rPr>
          <w:t>3</w:t>
        </w:r>
      </w:fldSimple>
      <w:r>
        <w:t xml:space="preserve">. Steering experiments confirm causality: amplifying the repetition feature on non-repetitive samples increases repetition; suppressing it on repetition-prone samples reduces repetition below baseline</w:t>
      </w:r>
      <w:r>
        <w:t xml:space="preserve"> </w:t>
      </w:r>
      <w:fldSimple w:instr="NOTEREF _Ref_Footnote_3 \h \f">
        <w:r>
          <w:rPr>
            <w:vertAlign w:val="superscript"/>
          </w:rPr>
          <w:t>3</w:t>
        </w:r>
      </w:fldSimple>
      <w:r>
        <w:t xml:space="preserve">.</w:t>
      </w:r>
    </w:p>
    <w:p>
      <w:pPr>
        <w:pStyle w:val="BodyText"/>
      </w:pPr>
      <w:r>
        <w:t xml:space="preserve">The temporal ordering is the key insight for predictive intervention. The Circular Reasoning paper establishes that</w:t>
      </w:r>
      <w:r>
        <w:t xml:space="preserve"> </w:t>
      </w:r>
      <w:r>
        <w:rPr>
          <w:bCs/>
          <w:b/>
        </w:rPr>
        <w:t xml:space="preserve">semantic circularity</w:t>
      </w:r>
      <w:r>
        <w:t xml:space="preserve">—recurrent clustering of hidden-state vectors—</w:t>
      </w:r>
      <w:r>
        <w:rPr>
          <w:bCs/>
          <w:b/>
        </w:rPr>
        <w:t xml:space="preserve">precedes verbatim textual repetition by multiple tokens</w:t>
      </w:r>
      <w:r>
        <w:t xml:space="preserve"> </w:t>
      </w:r>
      <w:r>
        <w:rPr>
          <w:vertAlign w:val="superscript"/>
        </w:rPr>
        <w:footnoteReference w:id="57"/>
      </w:r>
      <w:r>
        <w:t xml:space="preserve">. The model’s internal trajectory contracts into periodic oscillation before the surface text loops. This creates an early-warning window during which SAE-based monitoring can detect rising repetition-feature activation slopes, entropy collapse, and hidden-state cosine-similarity saturation (approaching 1.0 between identical-token vectors)</w:t>
      </w:r>
      <w:r>
        <w:t xml:space="preserve"> </w:t>
      </w:r>
      <w:fldSimple w:instr="NOTEREF _Ref_Footnote_57 \h \f">
        <w:r>
          <w:rPr>
            <w:vertAlign w:val="superscript"/>
          </w:rPr>
          <w:t>57</w:t>
        </w:r>
      </w:fldSimple>
      <w:r>
        <w:t xml:space="preserve">.</w:t>
      </w:r>
    </w:p>
    <w:p>
      <w:pPr>
        <w:pStyle w:val="BodyText"/>
      </w:pPr>
      <w:r>
        <w:t xml:space="preserve">Combined with CUSUM (Cumulative Sum) statistical process control, these signals enable pre-emptive loop prediction validated across diverse reasoning models</w:t>
      </w:r>
      <w:r>
        <w:t xml:space="preserve"> </w:t>
      </w:r>
      <w:fldSimple w:instr="NOTEREF _Ref_Footnote_57 \h \f">
        <w:r>
          <w:rPr>
            <w:vertAlign w:val="superscript"/>
          </w:rPr>
          <w:t>57</w:t>
        </w:r>
      </w:fldSimple>
      <w:r>
        <w:t xml:space="preserve">. The system does not wait for the user to see repeated text; it intervenes when the model’s latent space begins its contraction into a degenerate attractor. The repetition feature itself exhibits an important limitation: it activates in benign repetition scenarios as well as pathological ones, such as repeating a user’s question or enumerating multiple-choice options</w:t>
      </w:r>
      <w:r>
        <w:t xml:space="preserve"> </w:t>
      </w:r>
      <w:fldSimple w:instr="NOTEREF _Ref_Footnote_3 \h \f">
        <w:r>
          <w:rPr>
            <w:vertAlign w:val="superscript"/>
          </w:rPr>
          <w:t>3</w:t>
        </w:r>
      </w:fldSimple>
      <w:r>
        <w:t xml:space="preserve">. Contextual disambiguation—combining SAE feature slopes with entropy trajectories and attention-pattern analysis—is therefore required to distinguish legitimate repetitive structure from the degenerate loops that demand intervention.</w:t>
      </w:r>
    </w:p>
    <w:bookmarkEnd w:id="47"/>
    <w:bookmarkStart w:id="48" w:name="Xcb004542bb7ca1189a54b9be3864dc7b474e37e"/>
    <w:p>
      <w:pPr>
        <w:pStyle w:val="Heading4"/>
      </w:pPr>
      <w:r>
        <w:t xml:space="preserve">2.3.3 From Post-Hoc Validator to Predictive Guard</w:t>
      </w:r>
    </w:p>
    <w:p>
      <w:pPr>
        <w:pStyle w:val="FirstParagraph"/>
      </w:pPr>
      <w:r>
        <w:t xml:space="preserve">The SAE-Constraint Feedback Loop (Insight 1) fuses three capabilities into a closed control architecture</w:t>
      </w:r>
      <w:r>
        <w:t xml:space="preserve"> </w:t>
      </w:r>
      <w:fldSimple w:instr="NOTEREF _Ref_Footnote_3 \h \f">
        <w:r>
          <w:rPr>
            <w:vertAlign w:val="superscript"/>
          </w:rPr>
          <w:t>3</w:t>
        </w:r>
      </w:fldSimple>
      <w:r>
        <w:t xml:space="preserve"> </w:t>
      </w:r>
      <w:fldSimple w:instr="NOTEREF _Ref_Footnote_57 \h \f">
        <w:r>
          <w:rPr>
            <w:vertAlign w:val="superscript"/>
          </w:rPr>
          <w:t>57</w:t>
        </w:r>
      </w:fldSimple>
      <w:r>
        <w:t xml:space="preserve">:</w:t>
      </w:r>
    </w:p>
    <w:p>
      <w:pPr>
        <w:numPr>
          <w:ilvl w:val="0"/>
          <w:numId w:val="1001"/>
        </w:numPr>
        <w:pStyle w:val="Compact"/>
      </w:pPr>
      <w:r>
        <w:rPr>
          <w:bCs/>
          <w:b/>
        </w:rPr>
        <w:t xml:space="preserve">Read</w:t>
      </w:r>
      <w:r>
        <w:t xml:space="preserve">: SAE probes monitor feature activation trajectories in real time during generation.</w:t>
      </w:r>
    </w:p>
    <w:p>
      <w:pPr>
        <w:numPr>
          <w:ilvl w:val="0"/>
          <w:numId w:val="1001"/>
        </w:numPr>
        <w:pStyle w:val="Compact"/>
      </w:pPr>
      <w:r>
        <w:rPr>
          <w:bCs/>
          <w:b/>
        </w:rPr>
        <w:t xml:space="preserve">Predict</w:t>
      </w:r>
      <w:r>
        <w:t xml:space="preserve">: Rising hallucination or repetition feature slopes signal entry into a</w:t>
      </w:r>
      <w:r>
        <w:t xml:space="preserve"> </w:t>
      </w:r>
      <w:r>
        <w:t xml:space="preserve">“</w:t>
      </w:r>
      <w:r>
        <w:t xml:space="preserve">dangerous region</w:t>
      </w:r>
      <w:r>
        <w:t xml:space="preserve">”</w:t>
      </w:r>
      <w:r>
        <w:t xml:space="preserve"> </w:t>
      </w:r>
      <w:r>
        <w:t xml:space="preserve">of latent space.</w:t>
      </w:r>
    </w:p>
    <w:p>
      <w:pPr>
        <w:numPr>
          <w:ilvl w:val="0"/>
          <w:numId w:val="1001"/>
        </w:numPr>
        <w:pStyle w:val="Compact"/>
      </w:pPr>
      <w:r>
        <w:rPr>
          <w:bCs/>
          <w:b/>
        </w:rPr>
        <w:t xml:space="preserve">Act</w:t>
      </w:r>
      <w:r>
        <w:t xml:space="preserve">: The system either (a) steers away from the dangerous region via</w:t>
      </w:r>
      <w:r>
        <w:t xml:space="preserve"> </w:t>
      </w:r>
      <m:oMath>
        <m:r>
          <m:t>h</m:t>
        </m:r>
        <m:r>
          <m:rPr>
            <m:sty m:val="p"/>
          </m:rPr>
          <m:t>′</m:t>
        </m:r>
        <m:r>
          <m:rPr>
            <m:sty m:val="p"/>
          </m:rPr>
          <m:t>←</m:t>
        </m:r>
        <m:r>
          <m:t>h</m:t>
        </m:r>
        <m:r>
          <m:rPr>
            <m:sty m:val="p"/>
          </m:rPr>
          <m:t>+</m:t>
        </m:r>
        <m:r>
          <m:t>α</m:t>
        </m:r>
        <m:r>
          <m:t>d</m:t>
        </m:r>
      </m:oMath>
      <w:r>
        <w:t xml:space="preserve">, or (b) pauses generation to invoke the constraint engine (Chapter 4) on partial claims before they are emitted.</w:t>
      </w:r>
    </w:p>
    <w:p>
      <w:pPr>
        <w:pStyle w:val="FirstParagraph"/>
      </w:pPr>
      <w:r>
        <w:t xml:space="preserve">This transforms the constraint engine from a</w:t>
      </w:r>
      <w:r>
        <w:t xml:space="preserve"> </w:t>
      </w:r>
      <w:r>
        <w:rPr>
          <w:bCs/>
          <w:b/>
        </w:rPr>
        <w:t xml:space="preserve">post-hoc</w:t>
      </w:r>
      <w:r>
        <w:t xml:space="preserve"> </w:t>
      </w:r>
      <w:r>
        <w:t xml:space="preserve">validator—checking outputs after they are produced—into a</w:t>
      </w:r>
      <w:r>
        <w:t xml:space="preserve"> </w:t>
      </w:r>
      <w:r>
        <w:rPr>
          <w:bCs/>
          <w:b/>
        </w:rPr>
        <w:t xml:space="preserve">predictive</w:t>
      </w:r>
      <w:r>
        <w:t xml:space="preserve"> </w:t>
      </w:r>
      <w:r>
        <w:t xml:space="preserve">guard that intervenes during the generative process. The temporal ordering of SAE activation (preceding output) + claim extraction (parsing partial output) + steering (modifying latent state) creates a control loop with no analog in traditional prompt-based safety systems.</w:t>
      </w:r>
    </w:p>
    <w:p>
      <w:pPr>
        <w:pStyle w:val="BodyText"/>
      </w:pPr>
      <w:r>
        <w:t xml:space="preserve">The latency budget is tractable. Linear probes run in the same forward pass as generation, adding sub-millisecond overhead. SAE encoder evaluation, if required for high-confidence steering decisions, can be offloaded to the Apple Neural Engine (ANE) while the GPU continues generation (Chapter 7). The constraint engine’s claim-level validation (Chapter 4) operates in the 30–80 µs/token range via XGrammar structured generation</w:t>
      </w:r>
      <w:r>
        <w:t xml:space="preserve"> </w:t>
      </w:r>
      <w:fldSimple w:instr="NOTEREF _Ref_Footnote_3 \h \f">
        <w:r>
          <w:rPr>
            <w:vertAlign w:val="superscript"/>
          </w:rPr>
          <w:t>3</w:t>
        </w:r>
      </w:fldSimple>
      <w:r>
        <w:t xml:space="preserve">. The full feedback loop—detect, pause, validate, steer/resume—can complete in under 5 ms on Apple Silicon.</w:t>
      </w:r>
    </w:p>
    <w:p>
      <w:pPr>
        <w:pStyle w:val="BodyText"/>
      </w:pPr>
      <w:r>
        <w:t xml:space="preserve">The architectural implication is profound. Traditional AI safety systems operate on outputs: they filter, rerank, or block completed responses. The SAE-based predictive guard operates on the model’s internal state during generation, enabling intervention before any token is emitted. This is not a filtering layer wrapped around a black box; it is instrumentation embedded within the reasoning process itself, yielding a fundamentally different reliability profile.</w:t>
      </w:r>
    </w:p>
    <w:bookmarkEnd w:id="48"/>
    <w:bookmarkEnd w:id="49"/>
    <w:bookmarkStart w:id="52" w:name="compiler-constrained-sae-steering"/>
    <w:p>
      <w:pPr>
        <w:pStyle w:val="Heading3"/>
      </w:pPr>
      <w:r>
        <w:t xml:space="preserve">2.4 Compiler-Constrained SAE Steering</w:t>
      </w:r>
    </w:p>
    <w:p>
      <w:pPr>
        <w:pStyle w:val="FirstParagraph"/>
      </w:pPr>
      <w:r>
        <w:t xml:space="preserve">Raw steering is powerful but unsafe. Amplifying a physics-understanding feature with a steering vector that also encodes temporal reasoning could violate dimensional consistency. Steering a safety-critical feature with an ontologically incompatible direction could degrade capability in unanticipated ways. The solution is to extend the type-safe constraint propagation of Chapter 14 into the SAE feature space itself.</w:t>
      </w:r>
    </w:p>
    <w:bookmarkStart w:id="50" w:name="Xeafc93ae63be8bb15c6f4255d5523f18a4aeea8"/>
    <w:p>
      <w:pPr>
        <w:pStyle w:val="Heading4"/>
      </w:pPr>
      <w:r>
        <w:t xml:space="preserve">2.4.1 Typed Steering Vectors: Ontological Profiles for Feature Directions</w:t>
      </w:r>
    </w:p>
    <w:p>
      <w:pPr>
        <w:pStyle w:val="FirstParagraph"/>
      </w:pPr>
      <w:r>
        <w:t xml:space="preserve">Each SAE feature can be annotated with an</w:t>
      </w:r>
      <w:r>
        <w:t xml:space="preserve"> </w:t>
      </w:r>
      <w:r>
        <w:rPr>
          <w:bCs/>
          <w:b/>
        </w:rPr>
        <w:t xml:space="preserve">ontological profile</w:t>
      </w:r>
      <w:r>
        <w:t xml:space="preserve"> </w:t>
      </w:r>
      <w:r>
        <w:t xml:space="preserve">describing the classes of concepts it influences: physical quantities, temporal reasoning, safety-critical behaviors, mathematical abstractions, and so on. A steering vector is then type-checked against the current reasoning context before application:</w:t>
      </w:r>
    </w:p>
    <w:p>
      <w:pPr>
        <w:pStyle w:val="SourceCode"/>
      </w:pPr>
      <w:r>
        <w:rPr>
          <w:rStyle w:val="KeywordTok"/>
        </w:rPr>
        <w:t xml:space="preserve">use</w:t>
      </w:r>
      <w:r>
        <w:rPr>
          <w:rStyle w:val="NormalTok"/>
        </w:rPr>
        <w:t xml:space="preserve"> </w:t>
      </w:r>
      <w:r>
        <w:rPr>
          <w:rStyle w:val="PreprocessorTok"/>
        </w:rPr>
        <w:t xml:space="preserve">rex_sae::</w:t>
      </w:r>
      <w:r>
        <w:rPr>
          <w:rStyle w:val="OperatorTok"/>
        </w:rPr>
        <w:t xml:space="preserve">{</w:t>
      </w:r>
      <w:r>
        <w:rPr>
          <w:rStyle w:val="NormalTok"/>
        </w:rPr>
        <w:t xml:space="preserve">Sae</w:t>
      </w:r>
      <w:r>
        <w:rPr>
          <w:rStyle w:val="OperatorTok"/>
        </w:rPr>
        <w:t xml:space="preserve">,</w:t>
      </w:r>
      <w:r>
        <w:rPr>
          <w:rStyle w:val="NormalTok"/>
        </w:rPr>
        <w:t xml:space="preserve"> TypedSteering</w:t>
      </w:r>
      <w:r>
        <w:rPr>
          <w:rStyle w:val="OperatorTok"/>
        </w:rPr>
        <w:t xml:space="preserve">,</w:t>
      </w:r>
      <w:r>
        <w:rPr>
          <w:rStyle w:val="NormalTok"/>
        </w:rPr>
        <w:t xml:space="preserve"> PhysicsProfile</w:t>
      </w:r>
      <w:r>
        <w:rPr>
          <w:rStyle w:val="OperatorTok"/>
        </w:rPr>
        <w:t xml:space="preserve">};</w:t>
      </w:r>
      <w:r>
        <w:br/>
      </w:r>
      <w:r>
        <w:br/>
      </w:r>
      <w:r>
        <w:rPr>
          <w:rStyle w:val="CommentTok"/>
        </w:rPr>
        <w:t xml:space="preserve">/// Typed steering: only features compatible with PhysicsProfile</w:t>
      </w:r>
      <w:r>
        <w:br/>
      </w:r>
      <w:r>
        <w:rPr>
          <w:rStyle w:val="CommentTok"/>
        </w:rPr>
        <w:t xml:space="preserve">/// can be steered during physics-reasoning contexts.</w:t>
      </w:r>
      <w:r>
        <w:br/>
      </w:r>
      <w:r>
        <w:rPr>
          <w:rStyle w:val="KeywordTok"/>
        </w:rPr>
        <w:t xml:space="preserve">fn</w:t>
      </w:r>
      <w:r>
        <w:rPr>
          <w:rStyle w:val="NormalTok"/>
        </w:rPr>
        <w:t xml:space="preserve"> apply_physics_steering(</w:t>
      </w:r>
      <w:r>
        <w:br/>
      </w:r>
      <w:r>
        <w:rPr>
          <w:rStyle w:val="NormalTok"/>
        </w:rPr>
        <w:t xml:space="preserve">    sae</w:t>
      </w:r>
      <w:r>
        <w:rPr>
          <w:rStyle w:val="OperatorTok"/>
        </w:rPr>
        <w:t xml:space="preserve">:</w:t>
      </w:r>
      <w:r>
        <w:rPr>
          <w:rStyle w:val="NormalTok"/>
        </w:rPr>
        <w:t xml:space="preserve"> </w:t>
      </w:r>
      <w:r>
        <w:rPr>
          <w:rStyle w:val="OperatorTok"/>
        </w:rPr>
        <w:t xml:space="preserve">&amp;</w:t>
      </w:r>
      <w:r>
        <w:rPr>
          <w:rStyle w:val="NormalTok"/>
        </w:rPr>
        <w:t xml:space="preserve">Sae</w:t>
      </w:r>
      <w:r>
        <w:rPr>
          <w:rStyle w:val="OperatorTok"/>
        </w:rPr>
        <w:t xml:space="preserve">,</w:t>
      </w:r>
      <w:r>
        <w:br/>
      </w:r>
      <w:r>
        <w:rPr>
          <w:rStyle w:val="NormalTok"/>
        </w:rPr>
        <w:t xml:space="preserve">    feature_id</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NormalTok"/>
        </w:rPr>
        <w:t xml:space="preserve">    alpha</w:t>
      </w:r>
      <w:r>
        <w:rPr>
          <w:rStyle w:val="OperatorTok"/>
        </w:rPr>
        <w:t xml:space="preserve">:</w:t>
      </w:r>
      <w:r>
        <w:rPr>
          <w:rStyle w:val="NormalTok"/>
        </w:rPr>
        <w:t xml:space="preserve"> </w:t>
      </w:r>
      <w:r>
        <w:rPr>
          <w:rStyle w:val="DataTypeTok"/>
        </w:rPr>
        <w:t xml:space="preserve">f32</w:t>
      </w:r>
      <w:r>
        <w:rPr>
          <w:rStyle w:val="OperatorTok"/>
        </w:rPr>
        <w:t xml:space="preserve">,</w:t>
      </w:r>
      <w:r>
        <w:br/>
      </w:r>
      <w:r>
        <w:rPr>
          <w:rStyle w:val="NormalTok"/>
        </w:rPr>
        <w:t xml:space="preserve">    ctx</w:t>
      </w:r>
      <w:r>
        <w:rPr>
          <w:rStyle w:val="OperatorTok"/>
        </w:rPr>
        <w:t xml:space="preserve">:</w:t>
      </w:r>
      <w:r>
        <w:rPr>
          <w:rStyle w:val="NormalTok"/>
        </w:rPr>
        <w:t xml:space="preserve"> </w:t>
      </w:r>
      <w:r>
        <w:rPr>
          <w:rStyle w:val="OperatorTok"/>
        </w:rPr>
        <w:t xml:space="preserve">&amp;</w:t>
      </w:r>
      <w:r>
        <w:rPr>
          <w:rStyle w:val="NormalTok"/>
        </w:rPr>
        <w:t xml:space="preserve">OntologicalProfile</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Tensor</w:t>
      </w:r>
      <w:r>
        <w:rPr>
          <w:rStyle w:val="OperatorTok"/>
        </w:rPr>
        <w:t xml:space="preserve">,</w:t>
      </w:r>
      <w:r>
        <w:rPr>
          <w:rStyle w:val="NormalTok"/>
        </w:rPr>
        <w:t xml:space="preserve"> SteeringError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Compile-time guarantee: feature_id is tagged with PhysicsProfile</w:t>
      </w:r>
      <w:r>
        <w:br/>
      </w:r>
      <w:r>
        <w:rPr>
          <w:rStyle w:val="NormalTok"/>
        </w:rPr>
        <w:t xml:space="preserve">    </w:t>
      </w:r>
      <w:r>
        <w:rPr>
          <w:rStyle w:val="KeywordTok"/>
        </w:rPr>
        <w:t xml:space="preserve">let</w:t>
      </w:r>
      <w:r>
        <w:rPr>
          <w:rStyle w:val="NormalTok"/>
        </w:rPr>
        <w:t xml:space="preserve"> steering </w:t>
      </w:r>
      <w:r>
        <w:rPr>
          <w:rStyle w:val="OperatorTok"/>
        </w:rPr>
        <w:t xml:space="preserve">=</w:t>
      </w:r>
      <w:r>
        <w:rPr>
          <w:rStyle w:val="NormalTok"/>
        </w:rPr>
        <w:t xml:space="preserve"> sae</w:t>
      </w:r>
      <w:r>
        <w:rPr>
          <w:rStyle w:val="OperatorTok"/>
        </w:rPr>
        <w:t xml:space="preserve">.</w:t>
      </w:r>
      <w:r>
        <w:rPr>
          <w:rStyle w:val="PreprocessorTok"/>
        </w:rPr>
        <w:t xml:space="preserve">get_typed_steering::</w:t>
      </w:r>
      <w:r>
        <w:rPr>
          <w:rStyle w:val="OperatorTok"/>
        </w:rPr>
        <w:t xml:space="preserve">&lt;</w:t>
      </w:r>
      <w:r>
        <w:rPr>
          <w:rStyle w:val="NormalTok"/>
        </w:rPr>
        <w:t xml:space="preserve">PhysicsProfile</w:t>
      </w:r>
      <w:r>
        <w:rPr>
          <w:rStyle w:val="OperatorTok"/>
        </w:rPr>
        <w:t xml:space="preserve">&gt;</w:t>
      </w:r>
      <w:r>
        <w:rPr>
          <w:rStyle w:val="NormalTok"/>
        </w:rPr>
        <w:t xml:space="preserve">(feature_id)</w:t>
      </w:r>
      <w:r>
        <w:rPr>
          <w:rStyle w:val="OperatorTok"/>
        </w:rPr>
        <w:t xml:space="preserve">?;</w:t>
      </w:r>
      <w:r>
        <w:br/>
      </w:r>
      <w:r>
        <w:rPr>
          <w:rStyle w:val="NormalTok"/>
        </w:rPr>
        <w:t xml:space="preserve">    </w:t>
      </w:r>
      <w:r>
        <w:br/>
      </w:r>
      <w:r>
        <w:rPr>
          <w:rStyle w:val="NormalTok"/>
        </w:rPr>
        <w:t xml:space="preserve">    </w:t>
      </w:r>
      <w:r>
        <w:rPr>
          <w:rStyle w:val="CommentTok"/>
        </w:rPr>
        <w:t xml:space="preserve">// Runtime check: steering direction must be compatible with</w:t>
      </w:r>
      <w:r>
        <w:br/>
      </w:r>
      <w:r>
        <w:rPr>
          <w:rStyle w:val="NormalTok"/>
        </w:rPr>
        <w:t xml:space="preserve">    </w:t>
      </w:r>
      <w:r>
        <w:rPr>
          <w:rStyle w:val="CommentTok"/>
        </w:rPr>
        <w:t xml:space="preserve">// the current ontological context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steering</w:t>
      </w:r>
      <w:r>
        <w:rPr>
          <w:rStyle w:val="OperatorTok"/>
        </w:rPr>
        <w:t xml:space="preserve">.</w:t>
      </w:r>
      <w:r>
        <w:rPr>
          <w:rStyle w:val="NormalTok"/>
        </w:rPr>
        <w:t xml:space="preserve">is_compatible_with(ctx)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SteeringError::</w:t>
      </w:r>
      <w:r>
        <w:rPr>
          <w:rStyle w:val="NormalTok"/>
        </w:rPr>
        <w:t xml:space="preserve">IncompatibleDirection </w:t>
      </w:r>
      <w:r>
        <w:rPr>
          <w:rStyle w:val="OperatorTok"/>
        </w:rPr>
        <w:t xml:space="preserve">{</w:t>
      </w:r>
      <w:r>
        <w:br/>
      </w:r>
      <w:r>
        <w:rPr>
          <w:rStyle w:val="NormalTok"/>
        </w:rPr>
        <w:t xml:space="preserve">            feature</w:t>
      </w:r>
      <w:r>
        <w:rPr>
          <w:rStyle w:val="OperatorTok"/>
        </w:rPr>
        <w:t xml:space="preserve">:</w:t>
      </w:r>
      <w:r>
        <w:rPr>
          <w:rStyle w:val="NormalTok"/>
        </w:rPr>
        <w:t xml:space="preserve"> feature_id</w:t>
      </w:r>
      <w:r>
        <w:rPr>
          <w:rStyle w:val="OperatorTok"/>
        </w:rPr>
        <w:t xml:space="preserve">,</w:t>
      </w:r>
      <w:r>
        <w:br/>
      </w:r>
      <w:r>
        <w:rPr>
          <w:rStyle w:val="NormalTok"/>
        </w:rPr>
        <w:t xml:space="preserve">            requested_context</w:t>
      </w:r>
      <w:r>
        <w:rPr>
          <w:rStyle w:val="OperatorTok"/>
        </w:rPr>
        <w:t xml:space="preserve">:</w:t>
      </w:r>
      <w:r>
        <w:rPr>
          <w:rStyle w:val="NormalTok"/>
        </w:rPr>
        <w:t xml:space="preserve"> ctx</w:t>
      </w:r>
      <w:r>
        <w:rPr>
          <w:rStyle w:val="OperatorTok"/>
        </w:rPr>
        <w:t xml:space="preserve">.</w:t>
      </w:r>
      <w:r>
        <w:rPr>
          <w:rStyle w:val="NormalTok"/>
        </w:rPr>
        <w:t xml:space="preserve">clone()</w:t>
      </w:r>
      <w:r>
        <w:rPr>
          <w:rStyle w:val="OperatorTok"/>
        </w:rPr>
        <w:t xml:space="preserve">,</w:t>
      </w:r>
      <w:r>
        <w:br/>
      </w:r>
      <w:r>
        <w:rPr>
          <w:rStyle w:val="NormalTok"/>
        </w:rPr>
        <w:t xml:space="preserve">            actual_profile</w:t>
      </w:r>
      <w:r>
        <w:rPr>
          <w:rStyle w:val="OperatorTok"/>
        </w:rPr>
        <w:t xml:space="preserve">:</w:t>
      </w:r>
      <w:r>
        <w:rPr>
          <w:rStyle w:val="NormalTok"/>
        </w:rPr>
        <w:t xml:space="preserve"> steering</w:t>
      </w:r>
      <w:r>
        <w:rPr>
          <w:rStyle w:val="OperatorTok"/>
        </w:rPr>
        <w:t xml:space="preserve">.</w:t>
      </w:r>
      <w:r>
        <w:rPr>
          <w:rStyle w:val="NormalTok"/>
        </w:rPr>
        <w:t xml:space="preserve">profile()</w:t>
      </w:r>
      <w:r>
        <w:rPr>
          <w:rStyle w:val="OperatorTok"/>
        </w:rPr>
        <w:t xml:space="preserve">,</w:t>
      </w:r>
      <w:r>
        <w:br/>
      </w:r>
      <w:r>
        <w:rPr>
          <w:rStyle w:val="NormalTok"/>
        </w:rPr>
        <w:t xml:space="preserve">        </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 &lt;- h + alpha * d, with type-safe provenance</w:t>
      </w:r>
      <w:r>
        <w:br/>
      </w:r>
      <w:r>
        <w:rPr>
          <w:rStyle w:val="NormalTok"/>
        </w:rPr>
        <w:t xml:space="preserve">    </w:t>
      </w:r>
      <w:r>
        <w:rPr>
          <w:rStyle w:val="KeywordTok"/>
        </w:rPr>
        <w:t xml:space="preserve">let</w:t>
      </w:r>
      <w:r>
        <w:rPr>
          <w:rStyle w:val="NormalTok"/>
        </w:rPr>
        <w:t xml:space="preserve"> h_prime </w:t>
      </w:r>
      <w:r>
        <w:rPr>
          <w:rStyle w:val="OperatorTok"/>
        </w:rPr>
        <w:t xml:space="preserve">=</w:t>
      </w:r>
      <w:r>
        <w:rPr>
          <w:rStyle w:val="NormalTok"/>
        </w:rPr>
        <w:t xml:space="preserve"> ctx</w:t>
      </w:r>
      <w:r>
        <w:rPr>
          <w:rStyle w:val="OperatorTok"/>
        </w:rPr>
        <w:t xml:space="preserve">.</w:t>
      </w:r>
      <w:r>
        <w:rPr>
          <w:rStyle w:val="NormalTok"/>
        </w:rPr>
        <w:t xml:space="preserve">hidden_state() </w:t>
      </w:r>
      <w:r>
        <w:rPr>
          <w:rStyle w:val="OperatorTok"/>
        </w:rPr>
        <w:t xml:space="preserve">+</w:t>
      </w:r>
      <w:r>
        <w:rPr>
          <w:rStyle w:val="NormalTok"/>
        </w:rPr>
        <w:t xml:space="preserve"> alpha </w:t>
      </w:r>
      <w:r>
        <w:rPr>
          <w:rStyle w:val="OperatorTok"/>
        </w:rPr>
        <w:t xml:space="preserve">*</w:t>
      </w:r>
      <w:r>
        <w:rPr>
          <w:rStyle w:val="NormalTok"/>
        </w:rPr>
        <w:t xml:space="preserve"> steering</w:t>
      </w:r>
      <w:r>
        <w:rPr>
          <w:rStyle w:val="OperatorTok"/>
        </w:rPr>
        <w:t xml:space="preserve">.</w:t>
      </w:r>
      <w:r>
        <w:rPr>
          <w:rStyle w:val="NormalTok"/>
        </w:rPr>
        <w:t xml:space="preserve">direction()</w:t>
      </w:r>
      <w:r>
        <w:rPr>
          <w:rStyle w:val="OperatorTok"/>
        </w:rPr>
        <w:t xml:space="preserve">;</w:t>
      </w:r>
      <w:r>
        <w:br/>
      </w:r>
      <w:r>
        <w:rPr>
          <w:rStyle w:val="NormalTok"/>
        </w:rPr>
        <w:t xml:space="preserve">    </w:t>
      </w:r>
      <w:r>
        <w:rPr>
          <w:rStyle w:val="ConstantTok"/>
        </w:rPr>
        <w:t xml:space="preserve">Ok</w:t>
      </w:r>
      <w:r>
        <w:rPr>
          <w:rStyle w:val="NormalTok"/>
        </w:rPr>
        <w:t xml:space="preserve">(h_prime)</w:t>
      </w:r>
      <w:r>
        <w:br/>
      </w:r>
      <w:r>
        <w:rPr>
          <w:rStyle w:val="OperatorTok"/>
        </w:rPr>
        <w:t xml:space="preserve">}</w:t>
      </w:r>
    </w:p>
    <w:p>
      <w:pPr>
        <w:pStyle w:val="FirstParagraph"/>
      </w:pPr>
      <w:r>
        <w:t xml:space="preserve">This Rust code block demonstrates two enforcement mechanisms. The generic parameter</w:t>
      </w:r>
      <w:r>
        <w:t xml:space="preserve"> </w:t>
      </w:r>
      <w:r>
        <w:rPr>
          <w:rStyle w:val="VerbatimChar"/>
        </w:rPr>
        <w:t xml:space="preserve">PhysicsProfile</w:t>
      </w:r>
      <w:r>
        <w:t xml:space="preserve"> </w:t>
      </w:r>
      <w:r>
        <w:t xml:space="preserve">leverages Rust’s type system to ensure that only features explicitly tagged as physics-relevant can be retrieved for physics steering. The runtime</w:t>
      </w:r>
      <w:r>
        <w:t xml:space="preserve"> </w:t>
      </w:r>
      <w:r>
        <w:rPr>
          <w:rStyle w:val="VerbatimChar"/>
        </w:rPr>
        <w:t xml:space="preserve">is_compatible_with</w:t>
      </w:r>
      <w:r>
        <w:t xml:space="preserve"> </w:t>
      </w:r>
      <w:r>
        <w:t xml:space="preserve">check validates that the feature’s full ontological profile aligns with the current reasoning context, preventing cases where a feature tagged as both</w:t>
      </w:r>
      <w:r>
        <w:t xml:space="preserve"> </w:t>
      </w:r>
      <w:r>
        <w:t xml:space="preserve">“</w:t>
      </w:r>
      <w:r>
        <w:t xml:space="preserve">physics</w:t>
      </w:r>
      <w:r>
        <w:t xml:space="preserve">”</w:t>
      </w:r>
      <w:r>
        <w:t xml:space="preserve"> </w:t>
      </w:r>
      <w:r>
        <w:t xml:space="preserve">and</w:t>
      </w:r>
      <w:r>
        <w:t xml:space="preserve"> </w:t>
      </w:r>
      <w:r>
        <w:t xml:space="preserve">“</w:t>
      </w:r>
      <w:r>
        <w:t xml:space="preserve">causal-reasoning</w:t>
      </w:r>
      <w:r>
        <w:t xml:space="preserve">”</w:t>
      </w:r>
      <w:r>
        <w:t xml:space="preserve"> </w:t>
      </w:r>
      <w:r>
        <w:t xml:space="preserve">is steered in a context where causal intervention would be unsafe.</w:t>
      </w:r>
    </w:p>
    <w:bookmarkEnd w:id="50"/>
    <w:bookmarkStart w:id="51" w:name="Xd85144f05631b08d08be86c4a973222d8bf6492"/>
    <w:p>
      <w:pPr>
        <w:pStyle w:val="Heading4"/>
      </w:pPr>
      <w:r>
        <w:t xml:space="preserve">2.4.2 Const Generics for Dimensional Analysis at Compile Time</w:t>
      </w:r>
    </w:p>
    <w:p>
      <w:pPr>
        <w:pStyle w:val="FirstParagraph"/>
      </w:pPr>
      <w:r>
        <w:t xml:space="preserve">Rust const generics enable</w:t>
      </w:r>
      <w:r>
        <w:t xml:space="preserve"> </w:t>
      </w:r>
      <w:r>
        <w:rPr>
          <w:bCs/>
          <w:b/>
        </w:rPr>
        <w:t xml:space="preserve">zero-cost dimensional analysis</w:t>
      </w:r>
      <w:r>
        <w:t xml:space="preserve"> </w:t>
      </w:r>
      <w:r>
        <w:t xml:space="preserve">at compile time. Length and Time are distinct types; adding them is a compile error. Extending this to SAE feature spaces means encoding the dimensionality and semantic class of feature directions as type-level parameters:</w:t>
      </w:r>
    </w:p>
    <w:p>
      <w:pPr>
        <w:pStyle w:val="BodyText"/>
      </w:pPr>
      <m:oMathPara>
        <m:oMathParaPr>
          <m:jc m:val="center"/>
        </m:oMathParaPr>
        <m:oMath>
          <m:r>
            <m:rPr>
              <m:nor/>
              <m:sty m:val="p"/>
            </m:rPr>
            <m:t>SteeringVector</m:t>
          </m:r>
          <m:r>
            <m:rPr>
              <m:sty m:val="p"/>
            </m:rPr>
            <m:t>⟨</m:t>
          </m:r>
          <m:sSub>
            <m:e>
              <m:r>
                <m:t>D</m:t>
              </m:r>
            </m:e>
            <m:sub>
              <m:r>
                <m:rPr>
                  <m:nor/>
                  <m:sty m:val="p"/>
                </m:rPr>
                <m:t>in</m:t>
              </m:r>
            </m:sub>
          </m:sSub>
          <m:r>
            <m:rPr>
              <m:sty m:val="p"/>
            </m:rPr>
            <m:t>,</m:t>
          </m:r>
          <m:sSub>
            <m:e>
              <m:r>
                <m:t>D</m:t>
              </m:r>
            </m:e>
            <m:sub>
              <m:r>
                <m:rPr>
                  <m:nor/>
                  <m:sty m:val="p"/>
                </m:rPr>
                <m:t>out</m:t>
              </m:r>
            </m:sub>
          </m:sSub>
          <m:r>
            <m:rPr>
              <m:sty m:val="p"/>
            </m:rPr>
            <m:t>,</m:t>
          </m:r>
          <m:r>
            <m:t>C</m:t>
          </m:r>
          <m:r>
            <m:rPr>
              <m:sty m:val="p"/>
            </m:rPr>
            <m:t>⟩</m:t>
          </m:r>
        </m:oMath>
      </m:oMathPara>
    </w:p>
    <w:p>
      <w:pPr>
        <w:pStyle w:val="FirstParagraph"/>
      </w:pPr>
      <w:r>
        <w:t xml:space="preserve">where</w:t>
      </w:r>
      <w:r>
        <w:t xml:space="preserve"> </w:t>
      </w:r>
      <m:oMath>
        <m:sSub>
          <m:e>
            <m:r>
              <m:t>D</m:t>
            </m:r>
          </m:e>
          <m:sub>
            <m:r>
              <m:rPr>
                <m:nor/>
                <m:sty m:val="p"/>
              </m:rPr>
              <m:t>in</m:t>
            </m:r>
          </m:sub>
        </m:sSub>
      </m:oMath>
      <w:r>
        <w:t xml:space="preserve"> </w:t>
      </w:r>
      <w:r>
        <w:t xml:space="preserve">is the input activation dimension,</w:t>
      </w:r>
      <w:r>
        <w:t xml:space="preserve"> </w:t>
      </w:r>
      <m:oMath>
        <m:sSub>
          <m:e>
            <m:r>
              <m:t>D</m:t>
            </m:r>
          </m:e>
          <m:sub>
            <m:r>
              <m:rPr>
                <m:nor/>
                <m:sty m:val="p"/>
              </m:rPr>
              <m:t>out</m:t>
            </m:r>
          </m:sub>
        </m:sSub>
      </m:oMath>
      <w:r>
        <w:t xml:space="preserve"> </w:t>
      </w:r>
      <w:r>
        <w:t xml:space="preserve">is the output (residual stream) dimension, and</w:t>
      </w:r>
      <w:r>
        <w:t xml:space="preserve"> </w:t>
      </w:r>
      <m:oMath>
        <m:r>
          <m:t>C</m:t>
        </m:r>
      </m:oMath>
      <w:r>
        <w:t xml:space="preserve"> </w:t>
      </w:r>
      <w:r>
        <w:t xml:space="preserve">is the ontological constraint class. A steering operation becomes a typed function application:</w:t>
      </w:r>
    </w:p>
    <w:p>
      <w:pPr>
        <w:pStyle w:val="BodyText"/>
      </w:pPr>
      <m:oMathPara>
        <m:oMathParaPr>
          <m:jc m:val="center"/>
        </m:oMathParaPr>
        <m:oMath>
          <m:r>
            <m:rPr>
              <m:nor/>
              <m:sty m:val="p"/>
            </m:rPr>
            <m:t>steer</m:t>
          </m:r>
          <m:r>
            <m:rPr>
              <m:sty m:val="p"/>
            </m:rPr>
            <m:t>:</m:t>
          </m:r>
          <m:r>
            <m:rPr>
              <m:nor/>
              <m:sty m:val="p"/>
            </m:rPr>
            <m:t>HiddenState</m:t>
          </m:r>
          <m:r>
            <m:rPr>
              <m:sty m:val="p"/>
            </m:rPr>
            <m:t>⟨</m:t>
          </m:r>
          <m:r>
            <m:t>D</m:t>
          </m:r>
          <m:r>
            <m:rPr>
              <m:sty m:val="p"/>
            </m:rPr>
            <m:t>,</m:t>
          </m:r>
          <m:sSub>
            <m:e>
              <m:r>
                <m:t>C</m:t>
              </m:r>
            </m:e>
            <m:sub>
              <m:r>
                <m:t>1</m:t>
              </m:r>
            </m:sub>
          </m:sSub>
          <m:r>
            <m:rPr>
              <m:sty m:val="p"/>
            </m:rPr>
            <m:t>⟩</m:t>
          </m:r>
          <m:r>
            <m:rPr>
              <m:sty m:val="p"/>
            </m:rPr>
            <m:t>×</m:t>
          </m:r>
          <m:r>
            <m:rPr>
              <m:nor/>
              <m:sty m:val="p"/>
            </m:rPr>
            <m:t>SteeringVector</m:t>
          </m:r>
          <m:r>
            <m:rPr>
              <m:sty m:val="p"/>
            </m:rPr>
            <m:t>⟨</m:t>
          </m:r>
          <m:r>
            <m:t>D</m:t>
          </m:r>
          <m:r>
            <m:rPr>
              <m:sty m:val="p"/>
            </m:rPr>
            <m:t>,</m:t>
          </m:r>
          <m:r>
            <m:t>D</m:t>
          </m:r>
          <m:r>
            <m:rPr>
              <m:sty m:val="p"/>
            </m:rPr>
            <m:t>,</m:t>
          </m:r>
          <m:sSub>
            <m:e>
              <m:r>
                <m:t>C</m:t>
              </m:r>
            </m:e>
            <m:sub>
              <m:r>
                <m:t>2</m:t>
              </m:r>
            </m:sub>
          </m:sSub>
          <m:r>
            <m:rPr>
              <m:sty m:val="p"/>
            </m:rPr>
            <m:t>⟩</m:t>
          </m:r>
          <m:r>
            <m:rPr>
              <m:sty m:val="p"/>
            </m:rPr>
            <m:t>×</m:t>
          </m:r>
          <m:r>
            <m:rPr>
              <m:sty m:val="p"/>
              <m:scr m:val="double-struck"/>
            </m:rPr>
            <m:t>R</m:t>
          </m:r>
          <m:r>
            <m:rPr>
              <m:sty m:val="p"/>
            </m:rPr>
            <m:t>→</m:t>
          </m:r>
          <m:r>
            <m:rPr>
              <m:nor/>
              <m:sty m:val="p"/>
            </m:rPr>
            <m:t>HiddenState</m:t>
          </m:r>
          <m:r>
            <m:rPr>
              <m:sty m:val="p"/>
            </m:rPr>
            <m:t>⟨</m:t>
          </m:r>
          <m:r>
            <m:t>D</m:t>
          </m:r>
          <m:r>
            <m:rPr>
              <m:sty m:val="p"/>
            </m:rPr>
            <m:t>,</m:t>
          </m:r>
          <m:sSub>
            <m:e>
              <m:r>
                <m:t>C</m:t>
              </m:r>
            </m:e>
            <m:sub>
              <m:r>
                <m:t>1</m:t>
              </m:r>
            </m:sub>
          </m:sSub>
          <m:r>
            <m:rPr>
              <m:sty m:val="p"/>
            </m:rPr>
            <m:t>⊔</m:t>
          </m:r>
          <m:sSub>
            <m:e>
              <m:r>
                <m:t>C</m:t>
              </m:r>
            </m:e>
            <m:sub>
              <m:r>
                <m:t>2</m:t>
              </m:r>
            </m:sub>
          </m:sSub>
          <m:r>
            <m:rPr>
              <m:sty m:val="p"/>
            </m:rPr>
            <m:t>⟩</m:t>
          </m:r>
        </m:oMath>
      </m:oMathPara>
    </w:p>
    <w:p>
      <w:pPr>
        <w:pStyle w:val="FirstParagraph"/>
      </w:pPr>
      <w:r>
        <w:t xml:space="preserve">The result type carries the</w:t>
      </w:r>
      <w:r>
        <w:t xml:space="preserve"> </w:t>
      </w:r>
      <w:r>
        <w:rPr>
          <w:bCs/>
          <w:b/>
        </w:rPr>
        <w:t xml:space="preserve">join</w:t>
      </w:r>
      <w:r>
        <w:t xml:space="preserve"> </w:t>
      </w:r>
      <w:r>
        <w:t xml:space="preserve">of the two constraint classes, meaning the type system tracks which ontological commitments have been introduced into the hidden state by each intervention. If the constraint engine’s current proof obligation requires</w:t>
      </w:r>
      <w:r>
        <w:t xml:space="preserve"> </w:t>
      </w:r>
      <m:oMath>
        <m:sSub>
          <m:e>
            <m:r>
              <m:t>C</m:t>
            </m:r>
          </m:e>
          <m:sub>
            <m:r>
              <m:rPr>
                <m:nor/>
                <m:sty m:val="p"/>
              </m:rPr>
              <m:t>required</m:t>
            </m:r>
          </m:sub>
        </m:sSub>
      </m:oMath>
      <w:r>
        <w:t xml:space="preserve"> </w:t>
      </w:r>
      <w:r>
        <w:t xml:space="preserve">and the steered state only carries</w:t>
      </w:r>
      <w:r>
        <w:t xml:space="preserve"> </w:t>
      </w:r>
      <m:oMath>
        <m:sSub>
          <m:e>
            <m:r>
              <m:t>C</m:t>
            </m:r>
          </m:e>
          <m:sub>
            <m:r>
              <m:rPr>
                <m:nor/>
                <m:sty m:val="p"/>
              </m:rPr>
              <m:t>actual</m:t>
            </m:r>
          </m:sub>
        </m:sSub>
        <m:r>
          <m:rPr>
            <m:sty m:val="p"/>
          </m:rPr>
          <m:t>⊉</m:t>
        </m:r>
        <m:sSub>
          <m:e>
            <m:r>
              <m:t>C</m:t>
            </m:r>
          </m:e>
          <m:sub>
            <m:r>
              <m:rPr>
                <m:nor/>
                <m:sty m:val="p"/>
              </m:rPr>
              <m:t>required</m:t>
            </m:r>
          </m:sub>
        </m:sSub>
      </m:oMath>
      <w:r>
        <w:t xml:space="preserve">, the compiler rejects the continuation.</w:t>
      </w:r>
    </w:p>
    <w:p>
      <w:pPr>
        <w:pStyle w:val="BodyText"/>
      </w:pPr>
      <w:r>
        <w:t xml:space="preserve">This is not merely defensive programming—it is a formal interface between interpretability and verification. The SAE provides the feature direction</w:t>
      </w:r>
      <w:r>
        <w:t xml:space="preserve"> </w:t>
      </w:r>
      <m:oMath>
        <m:r>
          <m:t>d</m:t>
        </m:r>
      </m:oMath>
      <w:r>
        <w:t xml:space="preserve">; the type system ensures that</w:t>
      </w:r>
      <w:r>
        <w:t xml:space="preserve"> </w:t>
      </w:r>
      <m:oMath>
        <m:r>
          <m:t>d</m:t>
        </m:r>
      </m:oMath>
      <w:r>
        <w:t xml:space="preserve"> </w:t>
      </w:r>
      <w:r>
        <w:t xml:space="preserve">is semantically compatible with the proof context; the steering formula</w:t>
      </w:r>
      <w:r>
        <w:t xml:space="preserve"> </w:t>
      </w:r>
      <m:oMath>
        <m:r>
          <m:t>h</m:t>
        </m:r>
        <m:r>
          <m:rPr>
            <m:sty m:val="p"/>
          </m:rPr>
          <m:t>′</m:t>
        </m:r>
        <m:r>
          <m:rPr>
            <m:sty m:val="p"/>
          </m:rPr>
          <m:t>←</m:t>
        </m:r>
        <m:r>
          <m:t>h</m:t>
        </m:r>
        <m:r>
          <m:rPr>
            <m:sty m:val="p"/>
          </m:rPr>
          <m:t>+</m:t>
        </m:r>
        <m:r>
          <m:t>α</m:t>
        </m:r>
        <m:r>
          <m:t>d</m:t>
        </m:r>
      </m:oMath>
      <w:r>
        <w:t xml:space="preserve"> </w:t>
      </w:r>
      <w:r>
        <w:t xml:space="preserve">is then a guaranteed-safe transformation. Incompatible interventions are caught before inference begins, not after a hallucinated or unsafe output has been generated.</w:t>
      </w:r>
    </w:p>
    <w:p>
      <w:pPr>
        <w:pStyle w:val="BodyText"/>
      </w:pPr>
      <w:r>
        <w:t xml:space="preserve">The extension to SAE feature spaces preserves the zero-cost abstraction property: the type parameters are erased at compile time, leaving no runtime overhead. A</w:t>
      </w:r>
      <w:r>
        <w:t xml:space="preserve"> </w:t>
      </w:r>
      <w:r>
        <w:rPr>
          <w:rStyle w:val="VerbatimChar"/>
        </w:rPr>
        <w:t xml:space="preserve">SteeringVector&lt;5120, 5120, PhysicsProfile&gt;</w:t>
      </w:r>
      <w:r>
        <w:t xml:space="preserve"> </w:t>
      </w:r>
      <w:r>
        <w:t xml:space="preserve">is represented at runtime as exactly the same bytes as an untyped</w:t>
      </w:r>
      <w:r>
        <w:t xml:space="preserve"> </w:t>
      </w:r>
      <w:r>
        <w:rPr>
          <w:rStyle w:val="VerbatimChar"/>
        </w:rPr>
        <w:t xml:space="preserve">Tensor</w:t>
      </w:r>
      <w:r>
        <w:t xml:space="preserve">, but the compiler has already proven that it will never be applied in a</w:t>
      </w:r>
      <w:r>
        <w:t xml:space="preserve"> </w:t>
      </w:r>
      <w:r>
        <w:rPr>
          <w:rStyle w:val="VerbatimChar"/>
        </w:rPr>
        <w:t xml:space="preserve">ChemistryProfile</w:t>
      </w:r>
      <w:r>
        <w:t xml:space="preserve"> </w:t>
      </w:r>
      <w:r>
        <w:t xml:space="preserve">context. This is the same principle that makes Rust’s</w:t>
      </w:r>
      <w:r>
        <w:t xml:space="preserve"> </w:t>
      </w:r>
      <w:r>
        <w:rPr>
          <w:rStyle w:val="VerbatimChar"/>
        </w:rPr>
        <w:t xml:space="preserve">uom</w:t>
      </w:r>
      <w:r>
        <w:t xml:space="preserve"> </w:t>
      </w:r>
      <w:r>
        <w:t xml:space="preserve">crate and Stanford’s shape-safe tensor libraries viable for high-performance numerical computing—the type system does the proof; the hardware executes the data.</w:t>
      </w:r>
    </w:p>
    <w:p>
      <w:pPr>
        <w:pStyle w:val="BodyText"/>
      </w:pPr>
      <w:r>
        <w:t xml:space="preserve">The compiler-constrained SAE steering concept (Insight 5) bridges the gap between the empirical power of feature intervention and the formal guarantees required by a deterministic substrate</w:t>
      </w:r>
      <w:r>
        <w:t xml:space="preserve"> </w:t>
      </w:r>
      <w:fldSimple w:instr="NOTEREF _Ref_Footnote_3 \h \f">
        <w:r>
          <w:rPr>
            <w:vertAlign w:val="superscript"/>
          </w:rPr>
          <w:t>3</w:t>
        </w:r>
      </w:fldSimple>
      <w:r>
        <w:t xml:space="preserve">. It acknowledges that steering without constraints is dangerous—Cross-Trait Specificity (Section 2.2.2) already demonstrated that even well-targeted vectors have off-axis effects. Typed steering does not eliminate these effects, but it surfaces them as type-level information that the constraint engine can reason about. The result is an interpretability layer that is not only causally powerful but also architecturally accountable: every feature direction carries a provenance chain, every steering decision is typed against the ontological profile, and every intervention is traceable from compile-time check through runtime application to post-hoc verification.</w:t>
      </w:r>
    </w:p>
    <w:p>
      <w:pPr>
        <w:pStyle w:val="BodyText"/>
      </w:pPr>
      <w:r>
        <w:t xml:space="preserve">For Rex, this means the SAE system is not an external add-on but a first-class component of the deterministic execution stack. Feature directions are compiled artifacts. Steering decisions are logged in the Merkle attestation chain (Chapter 1). Type mismatches are compile errors, not runtime surprises. And the full pipeline—from SAE feature monitoring through typed steering to constraint-engine validation—operates within the same deterministic boundary that governs every other computation in the substrate.</w:t>
      </w:r>
    </w:p>
    <w:p>
      <w:r>
        <w:pict>
          <v:rect style="width:0;height:1.5pt" o:hralign="center" o:hrstd="t" o:hr="t"/>
        </w:pict>
      </w:r>
    </w:p>
    <w:bookmarkEnd w:id="51"/>
    <w:bookmarkEnd w:id="52"/>
    <w:bookmarkEnd w:id="53"/>
    <w:bookmarkEnd w:id="54"/>
    <w:bookmarkStart w:id="84" w:name="Xfac2482f1a3912ac40ad3f0efba5ff433c24ee1"/>
    <w:p>
      <w:pPr>
        <w:pStyle w:val="Heading1"/>
      </w:pPr>
      <w:r>
        <w:t xml:space="preserve">3. Geometry of Thought: Manifold Constraints and Attention</w:t>
      </w:r>
    </w:p>
    <w:p>
      <w:pPr>
        <w:pStyle w:val="FirstParagraph"/>
      </w:pPr>
      <w:r>
        <w:t xml:space="preserve">The transformer architecture, for all its empirical success, rests on a fragile numerical foundation. Deep stacks of self-attention layers interleaved with feed-forward networks are prone to rank collapse, exponential signal amplification, and gradient instability—pathologies that worsen predictably with depth and scale. The research community has responded with two conceptually distinct but mathematically related approaches: constraining the</w:t>
      </w:r>
      <w:r>
        <w:t xml:space="preserve"> </w:t>
      </w:r>
      <w:r>
        <w:rPr>
          <w:iCs/>
          <w:i/>
        </w:rPr>
        <w:t xml:space="preserve">geometry</w:t>
      </w:r>
      <w:r>
        <w:t xml:space="preserve"> </w:t>
      </w:r>
      <w:r>
        <w:t xml:space="preserve">of computation (projecting weight matrices onto well-behaved manifolds) and compressing the</w:t>
      </w:r>
      <w:r>
        <w:t xml:space="preserve"> </w:t>
      </w:r>
      <w:r>
        <w:rPr>
          <w:iCs/>
          <w:i/>
        </w:rPr>
        <w:t xml:space="preserve">state</w:t>
      </w:r>
      <w:r>
        <w:t xml:space="preserve"> </w:t>
      </w:r>
      <w:r>
        <w:t xml:space="preserve">of computation (reducing the dimensionality of key-value representations without loss of expressive power). This chapter examines both, with emphasis on which techniques are production-ready for deterministic substrates and which remain theoretical.</w:t>
      </w:r>
    </w:p>
    <w:bookmarkStart w:id="58" w:name="X4f0e09a53eff8430aba9f9155c052b5b0c43161"/>
    <w:p>
      <w:pPr>
        <w:pStyle w:val="Heading2"/>
      </w:pPr>
      <w:r>
        <w:t xml:space="preserve">3.1 The Birkhoff Polytope as Attention Stabilizer</w:t>
      </w:r>
    </w:p>
    <w:bookmarkStart w:id="55" w:name="Xddd8e4626e4f4b31545965946c5f60e00f0c335"/>
    <w:p>
      <w:pPr>
        <w:pStyle w:val="Heading3"/>
      </w:pPr>
      <w:r>
        <w:t xml:space="preserve">3.1.1 The Birkhoff-von Neumann Theorem and Its Relevance to Residual Networks</w:t>
      </w:r>
    </w:p>
    <w:p>
      <w:pPr>
        <w:pStyle w:val="FirstParagraph"/>
      </w:pPr>
      <w:r>
        <w:t xml:space="preserve">A doubly-stochastic matrix is a square matrix with non-negative entries whose rows and columns each sum to one. The Birkhoff-von Neumann theorem states that the set of all</w:t>
      </w:r>
      <w:r>
        <w:t xml:space="preserve"> </w:t>
      </w:r>
      <m:oMath>
        <m:r>
          <m:t>n</m:t>
        </m:r>
        <m:r>
          <m:rPr>
            <m:sty m:val="p"/>
          </m:rPr>
          <m:t>×</m:t>
        </m:r>
        <m:r>
          <m:t>n</m:t>
        </m:r>
      </m:oMath>
      <w:r>
        <w:t xml:space="preserve"> </w:t>
      </w:r>
      <w:r>
        <w:t xml:space="preserve">doubly-stochastic matrices—the</w:t>
      </w:r>
      <w:r>
        <w:t xml:space="preserve"> </w:t>
      </w:r>
      <w:r>
        <w:rPr>
          <w:iCs/>
          <w:i/>
        </w:rPr>
        <w:t xml:space="preserve">Birkhoff polytope</w:t>
      </w:r>
      <w:r>
        <w:t xml:space="preserve"> </w:t>
      </w:r>
      <m:oMath>
        <m:sSub>
          <m:e>
            <m:r>
              <m:rPr>
                <m:sty m:val="p"/>
                <m:scr m:val="script"/>
              </m:rPr>
              <m:t>B</m:t>
            </m:r>
          </m:e>
          <m:sub>
            <m:r>
              <m:t>n</m:t>
            </m:r>
          </m:sub>
        </m:sSub>
      </m:oMath>
      <w:r>
        <w:t xml:space="preserve">—is the convex hull of the</w:t>
      </w:r>
      <w:r>
        <w:t xml:space="preserve"> </w:t>
      </w:r>
      <m:oMath>
        <m:r>
          <m:t>n</m:t>
        </m:r>
        <m:r>
          <m:rPr>
            <m:sty m:val="p"/>
          </m:rPr>
          <m:t>!</m:t>
        </m:r>
      </m:oMath>
      <w:r>
        <w:t xml:space="preserve"> </w:t>
      </w:r>
      <w:r>
        <w:t xml:space="preserve">permutation matrices. Every doubly-stochastic matrix can therefore be written as a weighted average of permutation matrices, each of which merely rearranges vector components without mixing them. This convex structure is not merely elegant; it is operationally useful because</w:t>
      </w:r>
      <w:r>
        <w:t xml:space="preserve"> </w:t>
      </w:r>
      <m:oMath>
        <m:sSub>
          <m:e>
            <m:r>
              <m:rPr>
                <m:sty m:val="p"/>
                <m:scr m:val="script"/>
              </m:rPr>
              <m:t>B</m:t>
            </m:r>
          </m:e>
          <m:sub>
            <m:r>
              <m:t>n</m:t>
            </m:r>
          </m:sub>
        </m:sSub>
      </m:oMath>
      <w:r>
        <w:t xml:space="preserve"> </w:t>
      </w:r>
      <w:r>
        <w:t xml:space="preserve">is closed under matrix multiplication: the product of doubly-stochastic matrices remains doubly-stochastic, and therefore the spectral norm of any such product is bounded above by unity</w:t>
      </w:r>
      <w:r>
        <w:t xml:space="preserve"> </w:t>
      </w:r>
      <w:fldSimple w:instr="NOTEREF _Ref_Footnote_49 \h \f">
        <w:r>
          <w:rPr>
            <w:vertAlign w:val="superscript"/>
          </w:rPr>
          <w:t>49</w:t>
        </w:r>
      </w:fldSimple>
      <w:r>
        <w:t xml:space="preserve">.</w:t>
      </w:r>
    </w:p>
    <w:p>
      <w:pPr>
        <w:pStyle w:val="BodyText"/>
      </w:pPr>
      <w:r>
        <w:t xml:space="preserve">The closure property is the critical guarantee. In a deep residual network, the composite mapping across</w:t>
      </w:r>
      <w:r>
        <w:t xml:space="preserve"> </w:t>
      </w:r>
      <m:oMath>
        <m:r>
          <m:t>L</m:t>
        </m:r>
      </m:oMath>
      <w:r>
        <w:t xml:space="preserve"> </w:t>
      </w:r>
      <w:r>
        <w:t xml:space="preserve">layers is the product of individual layer mappings. If each layer’s residual mixing matrix</w:t>
      </w:r>
      <w:r>
        <w:t xml:space="preserve"> </w:t>
      </w:r>
      <m:oMath>
        <m:sSubSup>
          <m:e>
            <m:r>
              <m:t>H</m:t>
            </m:r>
          </m:e>
          <m:sub>
            <m:r>
              <m:t>l</m:t>
            </m:r>
          </m:sub>
          <m:sup>
            <m:r>
              <m:rPr>
                <m:nor/>
                <m:sty m:val="p"/>
              </m:rPr>
              <m:t>res</m:t>
            </m:r>
          </m:sup>
        </m:sSubSup>
      </m:oMath>
      <w:r>
        <w:t xml:space="preserve"> </w:t>
      </w:r>
      <w:r>
        <w:t xml:space="preserve">lies on</w:t>
      </w:r>
      <w:r>
        <w:t xml:space="preserve"> </w:t>
      </w:r>
      <m:oMath>
        <m:sSub>
          <m:e>
            <m:r>
              <m:rPr>
                <m:sty m:val="p"/>
                <m:scr m:val="script"/>
              </m:rPr>
              <m:t>B</m:t>
            </m:r>
          </m:e>
          <m:sub>
            <m:r>
              <m:t>n</m:t>
            </m:r>
          </m:sub>
        </m:sSub>
      </m:oMath>
      <w:r>
        <w:t xml:space="preserve">, the product</w:t>
      </w:r>
      <w:r>
        <w:t xml:space="preserve"> </w:t>
      </w:r>
      <m:oMath>
        <m:nary>
          <m:naryPr>
            <m:chr m:val="∏"/>
            <m:limLoc m:val="undOvr"/>
            <m:subHide m:val="0"/>
            <m:supHide m:val="0"/>
          </m:naryPr>
          <m:sub>
            <m:r>
              <m:t>l</m:t>
            </m:r>
            <m:r>
              <m:rPr>
                <m:sty m:val="p"/>
              </m:rPr>
              <m:t>=</m:t>
            </m:r>
            <m:r>
              <m:t>1</m:t>
            </m:r>
          </m:sub>
          <m:sup>
            <m:r>
              <m:t>L</m:t>
            </m:r>
          </m:sup>
          <m:e>
            <m:sSubSup>
              <m:e>
                <m:r>
                  <m:t>H</m:t>
                </m:r>
              </m:e>
              <m:sub>
                <m:r>
                  <m:t>l</m:t>
                </m:r>
              </m:sub>
              <m:sup>
                <m:r>
                  <m:rPr>
                    <m:nor/>
                    <m:sty m:val="p"/>
                  </m:rPr>
                  <m:t>res</m:t>
                </m:r>
              </m:sup>
            </m:sSubSup>
          </m:e>
        </m:nary>
      </m:oMath>
      <w:r>
        <w:t xml:space="preserve"> </w:t>
      </w:r>
      <w:r>
        <w:t xml:space="preserve">also lies on</w:t>
      </w:r>
      <w:r>
        <w:t xml:space="preserve"> </w:t>
      </w:r>
      <m:oMath>
        <m:sSub>
          <m:e>
            <m:r>
              <m:rPr>
                <m:sty m:val="p"/>
                <m:scr m:val="script"/>
              </m:rPr>
              <m:t>B</m:t>
            </m:r>
          </m:e>
          <m:sub>
            <m:r>
              <m:t>n</m:t>
            </m:r>
          </m:sub>
        </m:sSub>
      </m:oMath>
      <w:r>
        <w:t xml:space="preserve">, regardless of depth. The signal amplification through the residual stream is therefore bounded</w:t>
      </w:r>
      <w:r>
        <w:t xml:space="preserve"> </w:t>
      </w:r>
      <w:r>
        <w:rPr>
          <w:iCs/>
          <w:i/>
        </w:rPr>
        <w:t xml:space="preserve">by construction</w:t>
      </w:r>
      <w:r>
        <w:t xml:space="preserve">, independent of layer count. This stands in sharp contrast to unconstrained residual networks, where successive matrix multiplication can amplify (or attenuate) signals exponentially.</w:t>
      </w:r>
    </w:p>
    <w:p>
      <w:pPr>
        <w:pStyle w:val="BodyText"/>
      </w:pPr>
      <w:r>
        <w:t xml:space="preserve">The standard approach to obtaining doubly-stochastic matrices is the Sinkhorn-Knopp algorithm. Given any positive matrix</w:t>
      </w:r>
      <w:r>
        <w:t xml:space="preserve"> </w:t>
      </w:r>
      <m:oMath>
        <m:sSup>
          <m:e>
            <m:r>
              <m:t>K</m:t>
            </m:r>
          </m:e>
          <m:sup>
            <m:r>
              <m:t>0</m:t>
            </m:r>
          </m:sup>
        </m:sSup>
        <m:r>
          <m:rPr>
            <m:sty m:val="p"/>
          </m:rPr>
          <m:t>∈</m:t>
        </m:r>
        <m:sSup>
          <m:e>
            <m:r>
              <m:rPr>
                <m:sty m:val="p"/>
                <m:scr m:val="double-struck"/>
              </m:rPr>
              <m:t>R</m:t>
            </m:r>
          </m:e>
          <m:sup>
            <m:r>
              <m:t>n</m:t>
            </m:r>
            <m:r>
              <m:rPr>
                <m:sty m:val="p"/>
              </m:rPr>
              <m:t>×</m:t>
            </m:r>
            <m:r>
              <m:t>n</m:t>
            </m:r>
          </m:sup>
        </m:sSup>
      </m:oMath>
      <w:r>
        <w:t xml:space="preserve">, the algorithm alternates row-wise and column-wise normalization:</w:t>
      </w:r>
    </w:p>
    <w:p>
      <w:pPr>
        <w:pStyle w:val="BodyText"/>
      </w:pPr>
      <m:oMathPara>
        <m:oMathParaPr>
          <m:jc m:val="center"/>
        </m:oMathParaPr>
        <m:oMath>
          <m:sSup>
            <m:e>
              <m:r>
                <m:t>K</m:t>
              </m:r>
            </m:e>
            <m:sup>
              <m:r>
                <m:t>l</m:t>
              </m:r>
              <m:r>
                <m:rPr>
                  <m:sty m:val="p"/>
                </m:rPr>
                <m:t>+</m:t>
              </m:r>
              <m:r>
                <m:t>1</m:t>
              </m:r>
            </m:sup>
          </m:sSup>
          <m:r>
            <m:rPr>
              <m:sty m:val="p"/>
            </m:rPr>
            <m:t>=</m:t>
          </m:r>
          <m:sSub>
            <m:e>
              <m:r>
                <m:rPr>
                  <m:sty m:val="p"/>
                  <m:scr m:val="script"/>
                </m:rPr>
                <m:t>N</m:t>
              </m:r>
            </m:e>
            <m:sub>
              <m:r>
                <m:t>R</m:t>
              </m:r>
            </m:sub>
          </m:sSub>
          <m:d>
            <m:dPr>
              <m:begChr m:val="("/>
              <m:endChr m:val=")"/>
              <m:sepChr m:val=""/>
              <m:grow/>
            </m:dPr>
            <m:e>
              <m:sSup>
                <m:e>
                  <m:r>
                    <m:t>K</m:t>
                  </m:r>
                </m:e>
                <m:sup>
                  <m:r>
                    <m:t>l</m:t>
                  </m:r>
                </m:sup>
              </m:sSup>
            </m:e>
          </m:d>
          <m:r>
            <m:rPr>
              <m:nor/>
              <m:sty m:val="p"/>
            </m:rPr>
            <m:t> if </m:t>
          </m:r>
          <m:r>
            <m:t>l</m:t>
          </m:r>
          <m:r>
            <m:rPr>
              <m:nor/>
              <m:sty m:val="p"/>
            </m:rPr>
            <m:t> is even</m:t>
          </m:r>
          <m:r>
            <m:rPr>
              <m:sty m:val="p"/>
            </m:rPr>
            <m:t>,</m:t>
          </m:r>
          <m:r>
            <m:t> </m:t>
          </m:r>
          <m:sSup>
            <m:e>
              <m:r>
                <m:t>K</m:t>
              </m:r>
            </m:e>
            <m:sup>
              <m:r>
                <m:t>l</m:t>
              </m:r>
              <m:r>
                <m:rPr>
                  <m:sty m:val="p"/>
                </m:rPr>
                <m:t>+</m:t>
              </m:r>
              <m:r>
                <m:t>1</m:t>
              </m:r>
            </m:sup>
          </m:sSup>
          <m:r>
            <m:rPr>
              <m:sty m:val="p"/>
            </m:rPr>
            <m:t>=</m:t>
          </m:r>
          <m:sSub>
            <m:e>
              <m:r>
                <m:rPr>
                  <m:sty m:val="p"/>
                  <m:scr m:val="script"/>
                </m:rPr>
                <m:t>N</m:t>
              </m:r>
            </m:e>
            <m:sub>
              <m:r>
                <m:t>C</m:t>
              </m:r>
            </m:sub>
          </m:sSub>
          <m:d>
            <m:dPr>
              <m:begChr m:val="("/>
              <m:endChr m:val=")"/>
              <m:sepChr m:val=""/>
              <m:grow/>
            </m:dPr>
            <m:e>
              <m:sSup>
                <m:e>
                  <m:r>
                    <m:t>K</m:t>
                  </m:r>
                </m:e>
                <m:sup>
                  <m:r>
                    <m:t>l</m:t>
                  </m:r>
                </m:sup>
              </m:sSup>
            </m:e>
          </m:d>
          <m:r>
            <m:rPr>
              <m:nor/>
              <m:sty m:val="p"/>
            </m:rPr>
            <m:t> if </m:t>
          </m:r>
          <m:r>
            <m:t>l</m:t>
          </m:r>
          <m:r>
            <m:rPr>
              <m:nor/>
              <m:sty m:val="p"/>
            </m:rPr>
            <m:t> is odd</m:t>
          </m:r>
        </m:oMath>
      </m:oMathPara>
    </w:p>
    <w:p>
      <w:pPr>
        <w:pStyle w:val="FirstParagraph"/>
      </w:pPr>
      <w:r>
        <w:t xml:space="preserve">where</w:t>
      </w:r>
      <w:r>
        <w:t xml:space="preserve"> </w:t>
      </w:r>
      <m:oMath>
        <m:sSub>
          <m:e>
            <m:r>
              <m:rPr>
                <m:sty m:val="p"/>
                <m:scr m:val="script"/>
              </m:rPr>
              <m:t>N</m:t>
            </m:r>
          </m:e>
          <m:sub>
            <m:r>
              <m:t>R</m:t>
            </m:r>
          </m:sub>
        </m:sSub>
      </m:oMath>
      <w:r>
        <w:t xml:space="preserve"> </w:t>
      </w:r>
      <w:r>
        <w:t xml:space="preserve">and</w:t>
      </w:r>
      <w:r>
        <w:t xml:space="preserve"> </w:t>
      </w:r>
      <m:oMath>
        <m:sSub>
          <m:e>
            <m:r>
              <m:rPr>
                <m:sty m:val="p"/>
                <m:scr m:val="script"/>
              </m:rPr>
              <m:t>N</m:t>
            </m:r>
          </m:e>
          <m:sub>
            <m:r>
              <m:t>C</m:t>
            </m:r>
          </m:sub>
        </m:sSub>
      </m:oMath>
      <w:r>
        <w:t xml:space="preserve"> </w:t>
      </w:r>
      <w:r>
        <w:t xml:space="preserve">denote row and column normalization operators. The iteration converges to a doubly-stochastic matrix</w:t>
      </w:r>
      <w:r>
        <w:t xml:space="preserve"> </w:t>
      </w:r>
      <m:oMath>
        <m:sSup>
          <m:e>
            <m:r>
              <m:t>K</m:t>
            </m:r>
          </m:e>
          <m:sup>
            <m:r>
              <m:rPr>
                <m:sty m:val="p"/>
              </m:rPr>
              <m:t>∞</m:t>
            </m:r>
          </m:sup>
        </m:sSup>
        <m:r>
          <m:rPr>
            <m:sty m:val="p"/>
          </m:rPr>
          <m:t>=</m:t>
        </m:r>
        <m:r>
          <m:rPr>
            <m:nor/>
            <m:sty m:val="p"/>
          </m:rPr>
          <m:t>Sinkhorn</m:t>
        </m:r>
        <m:d>
          <m:dPr>
            <m:begChr m:val="("/>
            <m:endChr m:val=")"/>
            <m:sepChr m:val=""/>
            <m:grow/>
          </m:dPr>
          <m:e>
            <m:r>
              <m:t>C</m:t>
            </m:r>
          </m:e>
        </m:d>
      </m:oMath>
      <w:r>
        <w:t xml:space="preserve"> </w:t>
      </w:r>
      <w:fldSimple w:instr="NOTEREF _Ref_Footnote_3 \h \f">
        <w:r>
          <w:rPr>
            <w:vertAlign w:val="superscript"/>
          </w:rPr>
          <w:t>3</w:t>
        </w:r>
      </w:fldSimple>
      <w:r>
        <w:t xml:space="preserve">. In practice, a finite number of iterations (typically 20) yields approximate doubly-stochasticity sufficient for neural network training. The Sinkhorn operator is differentiable, making it compatible with gradient-based optimization via automatic differentiation through the normalization steps.</w:t>
      </w:r>
    </w:p>
    <w:p>
      <w:pPr>
        <w:pStyle w:val="BodyText"/>
      </w:pPr>
      <w:r>
        <w:t xml:space="preserve">At low temperature, Sinkhorn-projected matrices exhibit a quantization behavior that is analytically tractable. As</w:t>
      </w:r>
      <w:r>
        <w:t xml:space="preserve"> </w:t>
      </w:r>
      <m:oMath>
        <m:r>
          <m:t>τ</m:t>
        </m:r>
        <m:r>
          <m:rPr>
            <m:sty m:val="p"/>
          </m:rPr>
          <m:t>→</m:t>
        </m:r>
        <m:r>
          <m:t>0</m:t>
        </m:r>
      </m:oMath>
      <w:r>
        <w:t xml:space="preserve">, the projection</w:t>
      </w:r>
      <w:r>
        <w:t xml:space="preserve"> </w:t>
      </w:r>
      <m:oMath>
        <m:r>
          <m:rPr>
            <m:sty m:val="b"/>
          </m:rPr>
          <m:t>P</m:t>
        </m:r>
        <m:d>
          <m:dPr>
            <m:begChr m:val="("/>
            <m:endChr m:val=")"/>
            <m:sepChr m:val=""/>
            <m:grow/>
          </m:dPr>
          <m:e>
            <m:r>
              <m:t>τ</m:t>
            </m:r>
          </m:e>
        </m:d>
      </m:oMath>
      <w:r>
        <w:t xml:space="preserve"> </w:t>
      </w:r>
      <w:r>
        <w:t xml:space="preserve">converges to a permutation matrix</w:t>
      </w:r>
      <w:r>
        <w:t xml:space="preserve"> </w:t>
      </w:r>
      <m:oMath>
        <m:sSup>
          <m:e>
            <m:r>
              <m:rPr>
                <m:sty m:val="b"/>
              </m:rPr>
              <m:t>P</m:t>
            </m:r>
          </m:e>
          <m:sup>
            <m:r>
              <m:rPr>
                <m:sty m:val="p"/>
              </m:rPr>
              <m:t>*</m:t>
            </m:r>
          </m:sup>
        </m:sSup>
      </m:oMath>
      <w:r>
        <w:t xml:space="preserve"> </w:t>
      </w:r>
      <w:r>
        <w:t xml:space="preserve">with rate controlled by the spectral gap:</w:t>
      </w:r>
    </w:p>
    <w:p>
      <w:pPr>
        <w:pStyle w:val="BodyText"/>
      </w:pPr>
      <m:oMathPara>
        <m:oMathParaPr>
          <m:jc m:val="center"/>
        </m:oMathParaPr>
        <m:oMath>
          <m:r>
            <m:rPr>
              <m:sty m:val="p"/>
            </m:rPr>
            <m:t>∥</m:t>
          </m:r>
          <m:r>
            <m:rPr>
              <m:sty m:val="b"/>
            </m:rPr>
            <m:t>P</m:t>
          </m:r>
          <m:d>
            <m:dPr>
              <m:begChr m:val="("/>
              <m:endChr m:val=")"/>
              <m:sepChr m:val=""/>
              <m:grow/>
            </m:dPr>
            <m:e>
              <m:r>
                <m:t>τ</m:t>
              </m:r>
            </m:e>
          </m:d>
          <m:r>
            <m:rPr>
              <m:sty m:val="p"/>
            </m:rPr>
            <m:t>−</m:t>
          </m:r>
          <m:sSup>
            <m:e>
              <m:r>
                <m:rPr>
                  <m:sty m:val="b"/>
                </m:rPr>
                <m:t>P</m:t>
              </m:r>
            </m:e>
            <m:sup>
              <m:r>
                <m:rPr>
                  <m:sty m:val="p"/>
                </m:rPr>
                <m:t>*</m:t>
              </m:r>
            </m:sup>
          </m:sSup>
          <m:sSub>
            <m:e>
              <m:r>
                <m:rPr>
                  <m:sty m:val="p"/>
                </m:rPr>
                <m:t>∥</m:t>
              </m:r>
            </m:e>
            <m:sub>
              <m:r>
                <m:t>F</m:t>
              </m:r>
            </m:sub>
          </m:sSub>
          <m:r>
            <m:rPr>
              <m:sty m:val="p"/>
            </m:rPr>
            <m:t>=</m:t>
          </m:r>
          <m:r>
            <m:t>O</m:t>
          </m:r>
          <m:d>
            <m:dPr>
              <m:begChr m:val="("/>
              <m:endChr m:val=")"/>
              <m:sepChr m:val=""/>
              <m:grow/>
            </m:dPr>
            <m:e>
              <m:sSup>
                <m:e>
                  <m:r>
                    <m:t>e</m:t>
                  </m:r>
                </m:e>
                <m:sup>
                  <m:r>
                    <m:rPr>
                      <m:sty m:val="p"/>
                    </m:rPr>
                    <m:t>−</m:t>
                  </m:r>
                  <m:sSup>
                    <m:e>
                      <m:r>
                        <m:t>Δ</m:t>
                      </m:r>
                    </m:e>
                    <m:sup>
                      <m:r>
                        <m:rPr>
                          <m:sty m:val="p"/>
                        </m:rPr>
                        <m:t>*</m:t>
                      </m:r>
                    </m:sup>
                  </m:sSup>
                  <m:r>
                    <m:rPr>
                      <m:sty m:val="p"/>
                    </m:rPr>
                    <m:t>/</m:t>
                  </m:r>
                  <m:r>
                    <m:t>τ</m:t>
                  </m:r>
                </m:sup>
              </m:sSup>
            </m:e>
          </m:d>
        </m:oMath>
      </m:oMathPara>
    </w:p>
    <w:p>
      <w:pPr>
        <w:pStyle w:val="FirstParagraph"/>
      </w:pPr>
      <w:r>
        <w:t xml:space="preserve">where</w:t>
      </w:r>
      <w:r>
        <w:t xml:space="preserve"> </w:t>
      </w:r>
      <m:oMath>
        <m:sSup>
          <m:e>
            <m:r>
              <m:t>Δ</m:t>
            </m:r>
          </m:e>
          <m:sup>
            <m:r>
              <m:rPr>
                <m:sty m:val="p"/>
              </m:rPr>
              <m:t>*</m:t>
            </m:r>
          </m:sup>
        </m:sSup>
      </m:oMath>
      <w:r>
        <w:t xml:space="preserve"> </w:t>
      </w:r>
      <w:r>
        <w:t xml:space="preserve">is the gap between optimal and second-best assignment costs</w:t>
      </w:r>
      <w:r>
        <w:t xml:space="preserve"> </w:t>
      </w:r>
      <w:fldSimple w:instr="NOTEREF _Ref_Footnote_12 \h \f">
        <w:r>
          <w:rPr>
            <w:vertAlign w:val="superscript"/>
          </w:rPr>
          <w:t>12</w:t>
        </w:r>
      </w:fldSimple>
      <w:r>
        <w:t xml:space="preserve">. This property becomes relevant when Sinkhorn is applied to routing matrices in Mixture-of-Experts architectures, where the limiting permutation matrix corresponds to a hard assignment of tokens to experts.</w:t>
      </w:r>
    </w:p>
    <w:bookmarkEnd w:id="55"/>
    <w:bookmarkStart w:id="56" w:name="X34494675007da2a5247aa5e89ddb39f71542383"/>
    <w:p>
      <w:pPr>
        <w:pStyle w:val="Heading3"/>
      </w:pPr>
      <w:r>
        <w:t xml:space="preserve">3.1.2 DeepSeek mHC: From 3000× Amplification to Bounded Gain</w:t>
      </w:r>
    </w:p>
    <w:p>
      <w:pPr>
        <w:pStyle w:val="FirstParagraph"/>
      </w:pPr>
      <w:r>
        <w:t xml:space="preserve">DeepSeek’s Manifold-Constrained Hyper-Connections (mHC) provide the first large-scale empirical validation of Birkhoff polytope projection as a training stabilizer</w:t>
      </w:r>
      <w:r>
        <w:t xml:space="preserve"> </w:t>
      </w:r>
      <w:fldSimple w:instr="NOTEREF _Ref_Footnote_17 \h \f">
        <w:r>
          <w:rPr>
            <w:vertAlign w:val="superscript"/>
          </w:rPr>
          <w:t>17</w:t>
        </w:r>
      </w:fldSimple>
      <w:r>
        <w:t xml:space="preserve">. The unconstrained Hyper-Connection (HC) architecture expands the residual stream from</w:t>
      </w:r>
      <w:r>
        <w:t xml:space="preserve"> </w:t>
      </w:r>
      <m:oMath>
        <m:r>
          <m:t>C</m:t>
        </m:r>
      </m:oMath>
      <w:r>
        <w:t xml:space="preserve">-dimensional to</w:t>
      </w:r>
      <w:r>
        <w:t xml:space="preserve"> </w:t>
      </w:r>
      <m:oMath>
        <m:r>
          <m:t>n</m:t>
        </m:r>
        <m:r>
          <m:rPr>
            <m:sty m:val="p"/>
          </m:rPr>
          <m:t>×</m:t>
        </m:r>
        <m:r>
          <m:t>C</m:t>
        </m:r>
      </m:oMath>
      <w:r>
        <w:t xml:space="preserve">-dimensional, where</w:t>
      </w:r>
      <w:r>
        <w:t xml:space="preserve"> </w:t>
      </w:r>
      <m:oMath>
        <m:r>
          <m:t>n</m:t>
        </m:r>
      </m:oMath>
      <w:r>
        <w:t xml:space="preserve"> </w:t>
      </w:r>
      <w:r>
        <w:t xml:space="preserve">is a small integer (typically 4), and learns mixing matrices</w:t>
      </w:r>
      <w:r>
        <w:t xml:space="preserve"> </w:t>
      </w:r>
      <m:oMath>
        <m:sSubSup>
          <m:e>
            <m:r>
              <m:t>H</m:t>
            </m:r>
          </m:e>
          <m:sub>
            <m:r>
              <m:t>l</m:t>
            </m:r>
          </m:sub>
          <m:sup>
            <m:r>
              <m:rPr>
                <m:nor/>
                <m:sty m:val="p"/>
              </m:rPr>
              <m:t>res</m:t>
            </m:r>
          </m:sup>
        </m:sSubSup>
      </m:oMath>
      <w:r>
        <w:t xml:space="preserve">,</w:t>
      </w:r>
      <w:r>
        <w:t xml:space="preserve"> </w:t>
      </w:r>
      <m:oMath>
        <m:sSubSup>
          <m:e>
            <m:r>
              <m:t>H</m:t>
            </m:r>
          </m:e>
          <m:sub>
            <m:r>
              <m:t>l</m:t>
            </m:r>
          </m:sub>
          <m:sup>
            <m:r>
              <m:rPr>
                <m:nor/>
                <m:sty m:val="p"/>
              </m:rPr>
              <m:t>pre</m:t>
            </m:r>
          </m:sup>
        </m:sSubSup>
      </m:oMath>
      <w:r>
        <w:t xml:space="preserve">,</w:t>
      </w:r>
      <w:r>
        <w:t xml:space="preserve"> </w:t>
      </w:r>
      <m:oMath>
        <m:sSubSup>
          <m:e>
            <m:r>
              <m:t>H</m:t>
            </m:r>
          </m:e>
          <m:sub>
            <m:r>
              <m:t>l</m:t>
            </m:r>
          </m:sub>
          <m:sup>
            <m:r>
              <m:rPr>
                <m:nor/>
                <m:sty m:val="p"/>
              </m:rPr>
              <m:t>post</m:t>
            </m:r>
          </m:sup>
        </m:sSubSup>
      </m:oMath>
      <w:r>
        <w:t xml:space="preserve"> </w:t>
      </w:r>
      <w:r>
        <w:t xml:space="preserve">that route information between parallel residual streams. Without constraints, the composite mapping across layers—</w:t>
      </w:r>
      <m:oMath>
        <m:nary>
          <m:naryPr>
            <m:chr m:val="∏"/>
            <m:limLoc m:val="undOvr"/>
            <m:subHide m:val="0"/>
            <m:supHide m:val="0"/>
          </m:naryPr>
          <m:sub>
            <m:r>
              <m:t>i</m:t>
            </m:r>
            <m:r>
              <m:rPr>
                <m:sty m:val="p"/>
              </m:rPr>
              <m:t>=</m:t>
            </m:r>
            <m:r>
              <m:t>1</m:t>
            </m:r>
          </m:sub>
          <m:sup>
            <m:r>
              <m:t>L</m:t>
            </m:r>
            <m:r>
              <m:rPr>
                <m:sty m:val="p"/>
              </m:rPr>
              <m:t>−</m:t>
            </m:r>
            <m:r>
              <m:t>l</m:t>
            </m:r>
          </m:sup>
          <m:e>
            <m:sSubSup>
              <m:e>
                <m:r>
                  <m:t>H</m:t>
                </m:r>
              </m:e>
              <m:sub>
                <m:r>
                  <m:t>L</m:t>
                </m:r>
                <m:r>
                  <m:rPr>
                    <m:sty m:val="p"/>
                  </m:rPr>
                  <m:t>−</m:t>
                </m:r>
                <m:r>
                  <m:t>i</m:t>
                </m:r>
              </m:sub>
              <m:sup>
                <m:r>
                  <m:rPr>
                    <m:nor/>
                    <m:sty m:val="p"/>
                  </m:rPr>
                  <m:t>res</m:t>
                </m:r>
              </m:sup>
            </m:sSubSup>
          </m:e>
        </m:nary>
      </m:oMath>
      <w:r>
        <w:t xml:space="preserve">—exhibits catastrophic amplification.</w:t>
      </w:r>
    </w:p>
    <w:p>
      <w:pPr>
        <w:pStyle w:val="BodyText"/>
      </w:pPr>
      <w:r>
        <w:t xml:space="preserve">In a 27B-parameter model with unconstrained HC, the composite mapping gain magnitude peaks at approximately 3000×, causing numerical divergence during training</w:t>
      </w:r>
      <w:r>
        <w:t xml:space="preserve"> </w:t>
      </w:r>
      <w:fldSimple w:instr="NOTEREF _Ref_Footnote_17 \h \f">
        <w:r>
          <w:rPr>
            <w:vertAlign w:val="superscript"/>
          </w:rPr>
          <w:t>17</w:t>
        </w:r>
      </w:fldSimple>
      <w:r>
        <w:t xml:space="preserve">. The mHC modification projects</w:t>
      </w:r>
      <w:r>
        <w:t xml:space="preserve"> </w:t>
      </w:r>
      <m:oMath>
        <m:sSubSup>
          <m:e>
            <m:r>
              <m:t>H</m:t>
            </m:r>
          </m:e>
          <m:sub>
            <m:r>
              <m:t>l</m:t>
            </m:r>
          </m:sub>
          <m:sup>
            <m:r>
              <m:rPr>
                <m:nor/>
                <m:sty m:val="p"/>
              </m:rPr>
              <m:t>res</m:t>
            </m:r>
          </m:sup>
        </m:sSubSup>
      </m:oMath>
      <w:r>
        <w:t xml:space="preserve"> </w:t>
      </w:r>
      <w:r>
        <w:t xml:space="preserve">onto the Birkhoff polytope via Sinkhorn-Knopp (20 iterations,</w:t>
      </w:r>
      <w:r>
        <w:t xml:space="preserve"> </w:t>
      </w:r>
      <m:oMath>
        <m:sSub>
          <m:e>
            <m:r>
              <m:t>t</m:t>
            </m:r>
          </m:e>
          <m:sub>
            <m:r>
              <m:rPr>
                <m:sty m:val="p"/>
              </m:rPr>
              <m:t>max</m:t>
            </m:r>
          </m:sub>
        </m:sSub>
        <m:r>
          <m:rPr>
            <m:sty m:val="p"/>
          </m:rPr>
          <m:t>=</m:t>
        </m:r>
        <m:r>
          <m:t>20</m:t>
        </m:r>
      </m:oMath>
      <w:r>
        <w:t xml:space="preserve">), while</w:t>
      </w:r>
      <w:r>
        <w:t xml:space="preserve"> </w:t>
      </w:r>
      <m:oMath>
        <m:sSubSup>
          <m:e>
            <m:r>
              <m:t>H</m:t>
            </m:r>
          </m:e>
          <m:sub>
            <m:r>
              <m:t>l</m:t>
            </m:r>
          </m:sub>
          <m:sup>
            <m:r>
              <m:rPr>
                <m:nor/>
                <m:sty m:val="p"/>
              </m:rPr>
              <m:t>pre</m:t>
            </m:r>
          </m:sup>
        </m:sSubSup>
      </m:oMath>
      <w:r>
        <w:t xml:space="preserve"> </w:t>
      </w:r>
      <w:r>
        <w:t xml:space="preserve">and</w:t>
      </w:r>
      <w:r>
        <w:t xml:space="preserve"> </w:t>
      </w:r>
      <m:oMath>
        <m:sSubSup>
          <m:e>
            <m:r>
              <m:t>H</m:t>
            </m:r>
          </m:e>
          <m:sub>
            <m:r>
              <m:t>l</m:t>
            </m:r>
          </m:sub>
          <m:sup>
            <m:r>
              <m:rPr>
                <m:nor/>
                <m:sty m:val="p"/>
              </m:rPr>
              <m:t>post</m:t>
            </m:r>
          </m:sup>
        </m:sSubSup>
      </m:oMath>
      <w:r>
        <w:t xml:space="preserve"> </w:t>
      </w:r>
      <w:r>
        <w:t xml:space="preserve">are constrained to non-negative values via sigmoid activation. The resulting maximum gain magnitude is bounded to approximately 1.6×—a reduction of three orders of magnitude.</w:t>
      </w:r>
    </w:p>
    <w:p>
      <w:pPr>
        <w:pStyle w:val="BodyText"/>
      </w:pPr>
      <w:r>
        <w:t xml:space="preserve">The mHC layer update is:</w:t>
      </w:r>
    </w:p>
    <w:p>
      <w:pPr>
        <w:pStyle w:val="BodyText"/>
      </w:pPr>
      <m:oMathPara>
        <m:oMathParaPr>
          <m:jc m:val="center"/>
        </m:oMathParaPr>
        <m:oMath>
          <m:sSub>
            <m:e>
              <m:r>
                <m:t>x</m:t>
              </m:r>
            </m:e>
            <m:sub>
              <m:r>
                <m:t>l</m:t>
              </m:r>
              <m:r>
                <m:rPr>
                  <m:sty m:val="p"/>
                </m:rPr>
                <m:t>+</m:t>
              </m:r>
              <m:r>
                <m:t>1</m:t>
              </m:r>
            </m:sub>
          </m:sSub>
          <m:r>
            <m:rPr>
              <m:sty m:val="p"/>
            </m:rPr>
            <m:t>=</m:t>
          </m:r>
          <m:sSubSup>
            <m:e>
              <m:r>
                <m:t>H</m:t>
              </m:r>
            </m:e>
            <m:sub>
              <m:r>
                <m:t>l</m:t>
              </m:r>
            </m:sub>
            <m:sup>
              <m:r>
                <m:rPr>
                  <m:nor/>
                  <m:sty m:val="p"/>
                </m:rPr>
                <m:t>res</m:t>
              </m:r>
            </m:sup>
          </m:sSubSup>
          <m:sSub>
            <m:e>
              <m:r>
                <m:t>x</m:t>
              </m:r>
            </m:e>
            <m:sub>
              <m:r>
                <m:t>l</m:t>
              </m:r>
            </m:sub>
          </m:sSub>
          <m:r>
            <m:rPr>
              <m:sty m:val="p"/>
            </m:rPr>
            <m:t>+</m:t>
          </m:r>
          <m:sSubSup>
            <m:e>
              <m:r>
                <m:t>H</m:t>
              </m:r>
            </m:e>
            <m:sub>
              <m:r>
                <m:t>l</m:t>
              </m:r>
            </m:sub>
            <m:sup>
              <m:r>
                <m:rPr>
                  <m:nor/>
                  <m:sty m:val="p"/>
                </m:rPr>
                <m:t>post</m:t>
              </m:r>
              <m:r>
                <m:rPr>
                  <m:sty m:val="p"/>
                </m:rPr>
                <m:t>,</m:t>
              </m:r>
              <m:r>
                <m:t>T</m:t>
              </m:r>
            </m:sup>
          </m:sSubSup>
          <m:r>
            <m:t> </m:t>
          </m:r>
          <m:r>
            <m:rPr>
              <m:sty m:val="p"/>
              <m:scr m:val="script"/>
            </m:rPr>
            <m:t>F</m:t>
          </m:r>
          <m:d>
            <m:dPr>
              <m:begChr m:val="("/>
              <m:endChr m:val=")"/>
              <m:sepChr m:val=""/>
              <m:grow/>
            </m:dPr>
            <m:e>
              <m:sSubSup>
                <m:e>
                  <m:r>
                    <m:t>H</m:t>
                  </m:r>
                </m:e>
                <m:sub>
                  <m:r>
                    <m:t>l</m:t>
                  </m:r>
                </m:sub>
                <m:sup>
                  <m:r>
                    <m:rPr>
                      <m:nor/>
                      <m:sty m:val="p"/>
                    </m:rPr>
                    <m:t>pre</m:t>
                  </m:r>
                </m:sup>
              </m:sSubSup>
              <m:sSub>
                <m:e>
                  <m:r>
                    <m:t>x</m:t>
                  </m:r>
                </m:e>
                <m:sub>
                  <m:r>
                    <m:t>l</m:t>
                  </m:r>
                </m:sub>
              </m:sSub>
              <m:r>
                <m:rPr>
                  <m:sty m:val="p"/>
                </m:rPr>
                <m:t>,</m:t>
              </m:r>
              <m:sSub>
                <m:e>
                  <m:r>
                    <m:t>W</m:t>
                  </m:r>
                </m:e>
                <m:sub>
                  <m:r>
                    <m:t>l</m:t>
                  </m:r>
                </m:sub>
              </m:sSub>
            </m:e>
          </m:d>
        </m:oMath>
      </m:oMathPara>
    </w:p>
    <w:p>
      <w:pPr>
        <w:pStyle w:val="FirstParagraph"/>
      </w:pPr>
      <w:r>
        <w:t xml:space="preserve">with constraints:</w:t>
      </w:r>
    </w:p>
    <w:p>
      <w:pPr>
        <w:pStyle w:val="BodyText"/>
      </w:pPr>
      <m:oMathPara>
        <m:oMathParaPr>
          <m:jc m:val="center"/>
        </m:oMathParaPr>
        <m:oMath>
          <m:sSubSup>
            <m:e>
              <m:r>
                <m:t>H</m:t>
              </m:r>
            </m:e>
            <m:sub>
              <m:r>
                <m:t>l</m:t>
              </m:r>
            </m:sub>
            <m:sup>
              <m:r>
                <m:rPr>
                  <m:nor/>
                  <m:sty m:val="p"/>
                </m:rPr>
                <m:t>pre</m:t>
              </m:r>
            </m:sup>
          </m:sSubSup>
          <m:r>
            <m:rPr>
              <m:sty m:val="p"/>
            </m:rPr>
            <m:t>=</m:t>
          </m:r>
          <m:r>
            <m:t>σ</m:t>
          </m:r>
          <m:d>
            <m:dPr>
              <m:begChr m:val="("/>
              <m:endChr m:val=")"/>
              <m:sepChr m:val=""/>
              <m:grow/>
            </m:dPr>
            <m:e>
              <m:sSubSup>
                <m:e>
                  <m:acc>
                    <m:accPr>
                      <m:chr m:val="̃"/>
                    </m:accPr>
                    <m:e>
                      <m:r>
                        <m:t>H</m:t>
                      </m:r>
                    </m:e>
                  </m:acc>
                </m:e>
                <m:sub>
                  <m:r>
                    <m:t>l</m:t>
                  </m:r>
                </m:sub>
                <m:sup>
                  <m:r>
                    <m:rPr>
                      <m:nor/>
                      <m:sty m:val="p"/>
                    </m:rPr>
                    <m:t>pre</m:t>
                  </m:r>
                </m:sup>
              </m:sSubSup>
            </m:e>
          </m:d>
          <m:r>
            <m:rPr>
              <m:sty m:val="p"/>
            </m:rPr>
            <m:t>,</m:t>
          </m:r>
          <m:r>
            <m:t> </m:t>
          </m:r>
          <m:sSubSup>
            <m:e>
              <m:r>
                <m:t>H</m:t>
              </m:r>
            </m:e>
            <m:sub>
              <m:r>
                <m:t>l</m:t>
              </m:r>
            </m:sub>
            <m:sup>
              <m:r>
                <m:rPr>
                  <m:nor/>
                  <m:sty m:val="p"/>
                </m:rPr>
                <m:t>post</m:t>
              </m:r>
            </m:sup>
          </m:sSubSup>
          <m:r>
            <m:rPr>
              <m:sty m:val="p"/>
            </m:rPr>
            <m:t>=</m:t>
          </m:r>
          <m:r>
            <m:t>2</m:t>
          </m:r>
          <m:r>
            <m:t>σ</m:t>
          </m:r>
          <m:d>
            <m:dPr>
              <m:begChr m:val="("/>
              <m:endChr m:val=")"/>
              <m:sepChr m:val=""/>
              <m:grow/>
            </m:dPr>
            <m:e>
              <m:sSubSup>
                <m:e>
                  <m:acc>
                    <m:accPr>
                      <m:chr m:val="̃"/>
                    </m:accPr>
                    <m:e>
                      <m:r>
                        <m:t>H</m:t>
                      </m:r>
                    </m:e>
                  </m:acc>
                </m:e>
                <m:sub>
                  <m:r>
                    <m:t>l</m:t>
                  </m:r>
                </m:sub>
                <m:sup>
                  <m:r>
                    <m:rPr>
                      <m:nor/>
                      <m:sty m:val="p"/>
                    </m:rPr>
                    <m:t>post</m:t>
                  </m:r>
                </m:sup>
              </m:sSubSup>
            </m:e>
          </m:d>
          <m:r>
            <m:rPr>
              <m:sty m:val="p"/>
            </m:rPr>
            <m:t>,</m:t>
          </m:r>
          <m:r>
            <m:t> </m:t>
          </m:r>
          <m:sSubSup>
            <m:e>
              <m:r>
                <m:t>H</m:t>
              </m:r>
            </m:e>
            <m:sub>
              <m:r>
                <m:t>l</m:t>
              </m:r>
            </m:sub>
            <m:sup>
              <m:r>
                <m:rPr>
                  <m:nor/>
                  <m:sty m:val="p"/>
                </m:rPr>
                <m:t>res</m:t>
              </m:r>
            </m:sup>
          </m:sSubSup>
          <m:r>
            <m:rPr>
              <m:sty m:val="p"/>
            </m:rPr>
            <m:t>=</m:t>
          </m:r>
          <m:r>
            <m:rPr>
              <m:nor/>
              <m:sty m:val="p"/>
            </m:rPr>
            <m:t>Sinkhorn-Knopp</m:t>
          </m:r>
          <m:d>
            <m:dPr>
              <m:begChr m:val="("/>
              <m:endChr m:val=")"/>
              <m:sepChr m:val=""/>
              <m:grow/>
            </m:dPr>
            <m:e>
              <m:sSubSup>
                <m:e>
                  <m:acc>
                    <m:accPr>
                      <m:chr m:val="̃"/>
                    </m:accPr>
                    <m:e>
                      <m:r>
                        <m:t>H</m:t>
                      </m:r>
                    </m:e>
                  </m:acc>
                </m:e>
                <m:sub>
                  <m:r>
                    <m:t>l</m:t>
                  </m:r>
                </m:sub>
                <m:sup>
                  <m:r>
                    <m:rPr>
                      <m:nor/>
                      <m:sty m:val="p"/>
                    </m:rPr>
                    <m:t>res</m:t>
                  </m:r>
                </m:sup>
              </m:sSubSup>
            </m:e>
          </m:d>
        </m:oMath>
      </m:oMathPara>
    </w:p>
    <w:p>
      <w:pPr>
        <w:pStyle w:val="FirstParagraph"/>
      </w:pPr>
      <w:r>
        <w:t xml:space="preserve">Here</w:t>
      </w:r>
      <w:r>
        <w:t xml:space="preserve"> </w:t>
      </w:r>
      <m:oMath>
        <m:r>
          <m:rPr>
            <m:sty m:val="p"/>
            <m:scr m:val="script"/>
          </m:rPr>
          <m:t>F</m:t>
        </m:r>
      </m:oMath>
      <w:r>
        <w:t xml:space="preserve"> </w:t>
      </w:r>
      <w:r>
        <w:t xml:space="preserve">denotes the feed-forward or attention sublayer,</w:t>
      </w:r>
      <w:r>
        <w:t xml:space="preserve"> </w:t>
      </w:r>
      <m:oMath>
        <m:r>
          <m:t>σ</m:t>
        </m:r>
      </m:oMath>
      <w:r>
        <w:t xml:space="preserve"> </w:t>
      </w:r>
      <w:r>
        <w:t xml:space="preserve">is the sigmoid function ensuring non-negativity, and the Sinkhorn-Knopp operator enforces doubly-stochasticity on the residual mixing matrix. The non-negativity constraints on pre- and post-mappings prevent signal cancellation from mixed positive-negative coefficients, a pathology observed in early HC experiments.</w:t>
      </w:r>
    </w:p>
    <w:p>
      <w:pPr>
        <w:pStyle w:val="BodyText"/>
      </w:pPr>
      <w:r>
        <w:t xml:space="preserve">Empirically, mHC achieves +2.1% on Big-Bench Hard (BBH) and +2.3% on DROP versus the unconstrained HC baseline at 27B scale, with the performance gap widening as model size increases</w:t>
      </w:r>
      <w:r>
        <w:t xml:space="preserve"> </w:t>
      </w:r>
      <w:fldSimple w:instr="NOTEREF _Ref_Footnote_17 \h \f">
        <w:r>
          <w:rPr>
            <w:vertAlign w:val="superscript"/>
          </w:rPr>
          <w:t>17</w:t>
        </w:r>
      </w:fldSimple>
      <w:r>
        <w:t xml:space="preserve">. The single-layer mapping gain in mHC deviates slightly from the ideal 1.0 due to finite Sinkhorn iterations, and the composite backward gradient gain reaches a maximum of approximately 1.6—still far below the ~3000 observed in unconstrained HC.</w:t>
      </w:r>
    </w:p>
    <w:bookmarkEnd w:id="56"/>
    <w:bookmarkStart w:id="57" w:name="engineering-the-6.7-overhead"/>
    <w:p>
      <w:pPr>
        <w:pStyle w:val="Heading3"/>
      </w:pPr>
      <w:r>
        <w:t xml:space="preserve">3.1.3 Engineering the 6.7% Overhead</w:t>
      </w:r>
    </w:p>
    <w:p>
      <w:pPr>
        <w:pStyle w:val="FirstParagraph"/>
      </w:pPr>
      <w:r>
        <w:t xml:space="preserve">The raw Sinkhorn-Knopp projection adds substantial memory and compute overhead. Without optimization, the HC design incurs approximately</w:t>
      </w:r>
      <w:r>
        <w:t xml:space="preserve"> </w:t>
      </w:r>
      <m:oMath>
        <m:r>
          <m:t>n</m:t>
        </m:r>
      </m:oMath>
      <w:r>
        <w:t xml:space="preserve">-fold memory access overhead, with I/O costs scaling as</w:t>
      </w:r>
      <w:r>
        <w:t xml:space="preserve"> </w:t>
      </w:r>
      <m:oMath>
        <m:d>
          <m:dPr>
            <m:begChr m:val="("/>
            <m:endChr m:val=")"/>
            <m:sepChr m:val=""/>
            <m:grow/>
          </m:dPr>
          <m:e>
            <m:r>
              <m:t>5</m:t>
            </m:r>
            <m:r>
              <m:t>n</m:t>
            </m:r>
            <m:r>
              <m:rPr>
                <m:sty m:val="p"/>
              </m:rPr>
              <m:t>+</m:t>
            </m:r>
            <m:r>
              <m:t>1</m:t>
            </m:r>
          </m:e>
        </m:d>
        <m:r>
          <m:t>C</m:t>
        </m:r>
        <m:r>
          <m:rPr>
            <m:sty m:val="p"/>
          </m:rPr>
          <m:t>+</m:t>
        </m:r>
        <m:sSup>
          <m:e>
            <m:r>
              <m:t>n</m:t>
            </m:r>
          </m:e>
          <m:sup>
            <m:r>
              <m:t>2</m:t>
            </m:r>
          </m:sup>
        </m:sSup>
        <m:r>
          <m:rPr>
            <m:sty m:val="p"/>
          </m:rPr>
          <m:t>+</m:t>
        </m:r>
        <m:r>
          <m:t>2</m:t>
        </m:r>
        <m:r>
          <m:t>n</m:t>
        </m:r>
      </m:oMath>
      <w:r>
        <w:t xml:space="preserve"> </w:t>
      </w:r>
      <w:r>
        <w:t xml:space="preserve">reads and</w:t>
      </w:r>
      <w:r>
        <w:t xml:space="preserve"> </w:t>
      </w:r>
      <m:oMath>
        <m:d>
          <m:dPr>
            <m:begChr m:val="("/>
            <m:endChr m:val=")"/>
            <m:sepChr m:val=""/>
            <m:grow/>
          </m:dPr>
          <m:e>
            <m:r>
              <m:t>3</m:t>
            </m:r>
            <m:r>
              <m:t>n</m:t>
            </m:r>
            <m:r>
              <m:rPr>
                <m:sty m:val="p"/>
              </m:rPr>
              <m:t>+</m:t>
            </m:r>
            <m:r>
              <m:t>1</m:t>
            </m:r>
          </m:e>
        </m:d>
        <m:r>
          <m:t>C</m:t>
        </m:r>
        <m:r>
          <m:rPr>
            <m:sty m:val="p"/>
          </m:rPr>
          <m:t>+</m:t>
        </m:r>
        <m:sSup>
          <m:e>
            <m:r>
              <m:t>n</m:t>
            </m:r>
          </m:e>
          <m:sup>
            <m:r>
              <m:t>2</m:t>
            </m:r>
          </m:sup>
        </m:sSup>
        <m:r>
          <m:rPr>
            <m:sty m:val="p"/>
          </m:rPr>
          <m:t>+</m:t>
        </m:r>
        <m:r>
          <m:t>2</m:t>
        </m:r>
        <m:r>
          <m:t>n</m:t>
        </m:r>
      </m:oMath>
      <w:r>
        <w:t xml:space="preserve"> </w:t>
      </w:r>
      <w:r>
        <w:t xml:space="preserve">writes per token</w:t>
      </w:r>
      <w:r>
        <w:t xml:space="preserve"> </w:t>
      </w:r>
      <w:fldSimple w:instr="NOTEREF _Ref_Footnote_17 \h \f">
        <w:r>
          <w:rPr>
            <w:vertAlign w:val="superscript"/>
          </w:rPr>
          <w:t>17</w:t>
        </w:r>
      </w:fldSimple>
      <w:r>
        <w:t xml:space="preserve">. DeepSeek mitigates this through three engineering strategies that together reduce the marginal training overhead to 6.7%.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Optimization</w:t>
            </w:r>
          </w:p>
        </w:tc>
        <w:tc>
          <w:tcPr/>
          <w:p>
            <w:pPr>
              <w:pStyle w:val="Compact"/>
              <w:jc w:val="left"/>
            </w:pPr>
            <w:r>
              <w:t xml:space="preserve">Mechanism</w:t>
            </w:r>
          </w:p>
        </w:tc>
        <w:tc>
          <w:tcPr/>
          <w:p>
            <w:pPr>
              <w:pStyle w:val="Compact"/>
              <w:jc w:val="left"/>
            </w:pPr>
            <w:r>
              <w:t xml:space="preserve">Latency Impact</w:t>
            </w:r>
          </w:p>
        </w:tc>
        <w:tc>
          <w:tcPr/>
          <w:p>
            <w:pPr>
              <w:pStyle w:val="Compact"/>
              <w:jc w:val="left"/>
            </w:pPr>
            <w:r>
              <w:t xml:space="preserve">Source</w:t>
            </w:r>
          </w:p>
        </w:tc>
      </w:tr>
      <w:tr>
        <w:tc>
          <w:tcPr/>
          <w:p>
            <w:pPr>
              <w:pStyle w:val="Compact"/>
              <w:jc w:val="left"/>
            </w:pPr>
            <w:r>
              <w:t xml:space="preserve">Kernel fusion (TileLang)</w:t>
            </w:r>
          </w:p>
        </w:tc>
        <w:tc>
          <w:tcPr/>
          <w:p>
            <w:pPr>
              <w:pStyle w:val="Compact"/>
              <w:jc w:val="left"/>
            </w:pPr>
            <w:r>
              <w:t xml:space="preserve">Fuses RMSNorm, matrix multiplications, sigmoid, and Sinkhorn iterations into unified compute kernels; reduces reads from</w:t>
            </w:r>
            <w:r>
              <w:t xml:space="preserve"> </w:t>
            </w:r>
            <m:oMath>
              <m:d>
                <m:dPr>
                  <m:begChr m:val="("/>
                  <m:endChr m:val=")"/>
                  <m:sepChr m:val=""/>
                  <m:grow/>
                </m:dPr>
                <m:e>
                  <m:r>
                    <m:t>3</m:t>
                  </m:r>
                  <m:r>
                    <m:t>n</m:t>
                  </m:r>
                  <m:r>
                    <m:rPr>
                      <m:sty m:val="p"/>
                    </m:rPr>
                    <m:t>+</m:t>
                  </m:r>
                  <m:r>
                    <m:t>1</m:t>
                  </m:r>
                </m:e>
              </m:d>
              <m:r>
                <m:t>C</m:t>
              </m:r>
            </m:oMath>
            <w:r>
              <w:t xml:space="preserve"> </w:t>
            </w:r>
            <w:r>
              <w:t xml:space="preserve">to</w:t>
            </w:r>
            <w:r>
              <w:t xml:space="preserve"> </w:t>
            </w:r>
            <m:oMath>
              <m:d>
                <m:dPr>
                  <m:begChr m:val="("/>
                  <m:endChr m:val=")"/>
                  <m:sepChr m:val=""/>
                  <m:grow/>
                </m:dPr>
                <m:e>
                  <m:r>
                    <m:t>n</m:t>
                  </m:r>
                  <m:r>
                    <m:rPr>
                      <m:sty m:val="p"/>
                    </m:rPr>
                    <m:t>+</m:t>
                  </m:r>
                  <m:r>
                    <m:t>1</m:t>
                  </m:r>
                </m:e>
              </m:d>
              <m:r>
                <m:t>C</m:t>
              </m:r>
            </m:oMath>
            <w:r>
              <w:t xml:space="preserve"> </w:t>
            </w:r>
            <w:r>
              <w:t xml:space="preserve">and writes from</w:t>
            </w:r>
            <w:r>
              <w:t xml:space="preserve"> </w:t>
            </w:r>
            <m:oMath>
              <m:r>
                <m:t>3</m:t>
              </m:r>
              <m:r>
                <m:t>n</m:t>
              </m:r>
              <m:r>
                <m:t>C</m:t>
              </m:r>
            </m:oMath>
            <w:r>
              <w:t xml:space="preserve"> </w:t>
            </w:r>
            <w:r>
              <w:t xml:space="preserve">to</w:t>
            </w:r>
            <w:r>
              <w:t xml:space="preserve"> </w:t>
            </w:r>
            <m:oMath>
              <m:r>
                <m:t>n</m:t>
              </m:r>
              <m:r>
                <m:t>C</m:t>
              </m:r>
            </m:oMath>
          </w:p>
        </w:tc>
        <w:tc>
          <w:tcPr/>
          <w:p>
            <w:pPr>
              <w:pStyle w:val="Compact"/>
              <w:jc w:val="left"/>
            </w:pPr>
            <w:r>
              <w:t xml:space="preserve">40% latency reduction on post/residual merge kernel</w:t>
            </w:r>
          </w:p>
        </w:tc>
        <w:tc>
          <w:tcPr/>
          <w:p>
            <w:pPr>
              <w:pStyle w:val="Compact"/>
              <w:jc w:val="left"/>
            </w:pPr>
            <w:r>
              <w:t xml:space="preserve">Xie et al. </w:t>
            </w:r>
            <w:fldSimple w:instr="NOTEREF _Ref_Footnote_17 \h \f">
              <w:r>
                <w:rPr>
                  <w:vertAlign w:val="superscript"/>
                </w:rPr>
                <w:t>17</w:t>
              </w:r>
            </w:fldSimple>
          </w:p>
        </w:tc>
      </w:tr>
      <w:tr>
        <w:tc>
          <w:tcPr/>
          <w:p>
            <w:pPr>
              <w:pStyle w:val="Compact"/>
              <w:jc w:val="left"/>
            </w:pPr>
            <w:r>
              <w:t xml:space="preserve">FP8 mixed precision</w:t>
            </w:r>
          </w:p>
        </w:tc>
        <w:tc>
          <w:tcPr/>
          <w:p>
            <w:pPr>
              <w:pStyle w:val="Compact"/>
              <w:jc w:val="left"/>
            </w:pPr>
            <w:r>
              <w:t xml:space="preserve">Core GEMMs in E4M3 FP8; coefficients in float32; activations in bfloat16; tile-wise</w:t>
            </w:r>
            <w:r>
              <w:t xml:space="preserve"> </w:t>
            </w:r>
            <m:oMath>
              <m:r>
                <m:t>1</m:t>
              </m:r>
              <m:r>
                <m:rPr>
                  <m:sty m:val="p"/>
                </m:rPr>
                <m:t>×</m:t>
              </m:r>
              <m:r>
                <m:t>128</m:t>
              </m:r>
            </m:oMath>
            <w:r>
              <w:t xml:space="preserve"> </w:t>
            </w:r>
            <w:r>
              <w:t xml:space="preserve">quantization for activations</w:t>
            </w:r>
          </w:p>
        </w:tc>
        <w:tc>
          <w:tcPr/>
          <w:p>
            <w:pPr>
              <w:pStyle w:val="Compact"/>
              <w:jc w:val="left"/>
            </w:pPr>
            <w:r>
              <w:t xml:space="preserve">Full FP32 accumulation via CUDA Core promotion every 128 elements</w:t>
            </w:r>
          </w:p>
        </w:tc>
        <w:tc>
          <w:tcPr/>
          <w:p>
            <w:pPr>
              <w:pStyle w:val="Compact"/>
              <w:jc w:val="left"/>
            </w:pPr>
            <w:r>
              <w:t xml:space="preserve">DeepSeek-V3</w:t>
            </w:r>
            <w:r>
              <w:t xml:space="preserve"> </w:t>
            </w:r>
            <w:fldSimple w:instr="NOTEREF _Ref_Footnote_27 \h \f">
              <w:r>
                <w:rPr>
                  <w:vertAlign w:val="superscript"/>
                </w:rPr>
                <w:t>27</w:t>
              </w:r>
            </w:fldSimple>
          </w:p>
        </w:tc>
      </w:tr>
      <w:tr>
        <w:tc>
          <w:tcPr/>
          <w:p>
            <w:pPr>
              <w:pStyle w:val="Compact"/>
              <w:jc w:val="left"/>
            </w:pPr>
            <w:r>
              <w:t xml:space="preserve">DualPipe communication overlap</w:t>
            </w:r>
          </w:p>
        </w:tc>
        <w:tc>
          <w:tcPr/>
          <w:p>
            <w:pPr>
              <w:pStyle w:val="Compact"/>
              <w:jc w:val="left"/>
            </w:pPr>
            <w:r>
              <w:t xml:space="preserve">Bidirectional pipeline scheduling overlaps forward/backward computation with all-to-all communication; mHC kernels execute on dedicated high-priority stream</w:t>
            </w:r>
          </w:p>
        </w:tc>
        <w:tc>
          <w:tcPr/>
          <w:p>
            <w:pPr>
              <w:pStyle w:val="Compact"/>
              <w:jc w:val="left"/>
            </w:pPr>
            <w:r>
              <w:t xml:space="preserve">50% hidden latency for pipeline bubbles</w:t>
            </w:r>
          </w:p>
        </w:tc>
        <w:tc>
          <w:tcPr/>
          <w:p>
            <w:pPr>
              <w:pStyle w:val="Compact"/>
              <w:jc w:val="left"/>
            </w:pPr>
            <w:r>
              <w:t xml:space="preserve">DeepSeek-V3</w:t>
            </w:r>
            <w:r>
              <w:t xml:space="preserve"> </w:t>
            </w:r>
            <w:fldSimple w:instr="NOTEREF _Ref_Footnote_27 \h \f">
              <w:r>
                <w:rPr>
                  <w:vertAlign w:val="superscript"/>
                </w:rPr>
                <w:t>27</w:t>
              </w:r>
            </w:fldSimple>
          </w:p>
        </w:tc>
      </w:tr>
    </w:tbl>
    <w:p>
      <w:pPr>
        <w:pStyle w:val="BodyText"/>
      </w:pPr>
      <w:r>
        <w:t xml:space="preserve">The kernel fusion strategy is the dominant contributor. By fusing the application of</w:t>
      </w:r>
      <w:r>
        <w:t xml:space="preserve"> </w:t>
      </w:r>
      <m:oMath>
        <m:sSubSup>
          <m:e>
            <m:r>
              <m:t>H</m:t>
            </m:r>
          </m:e>
          <m:sub>
            <m:r>
              <m:t>l</m:t>
            </m:r>
          </m:sub>
          <m:sup>
            <m:r>
              <m:rPr>
                <m:nor/>
                <m:sty m:val="p"/>
              </m:rPr>
              <m:t>post</m:t>
            </m:r>
          </m:sup>
        </m:sSubSup>
      </m:oMath>
      <w:r>
        <w:t xml:space="preserve"> </w:t>
      </w:r>
      <w:r>
        <w:t xml:space="preserve">and</w:t>
      </w:r>
      <w:r>
        <w:t xml:space="preserve"> </w:t>
      </w:r>
      <m:oMath>
        <m:sSubSup>
          <m:e>
            <m:r>
              <m:t>H</m:t>
            </m:r>
          </m:e>
          <m:sub>
            <m:r>
              <m:t>l</m:t>
            </m:r>
          </m:sub>
          <m:sup>
            <m:r>
              <m:rPr>
                <m:nor/>
                <m:sty m:val="p"/>
              </m:rPr>
              <m:t>res</m:t>
            </m:r>
          </m:sup>
        </m:sSubSup>
      </m:oMath>
      <w:r>
        <w:t xml:space="preserve"> </w:t>
      </w:r>
      <w:r>
        <w:t xml:space="preserve">with residual merging into a single kernel, the number of elements read is reduced from</w:t>
      </w:r>
      <w:r>
        <w:t xml:space="preserve"> </w:t>
      </w:r>
      <m:oMath>
        <m:d>
          <m:dPr>
            <m:begChr m:val="("/>
            <m:endChr m:val=")"/>
            <m:sepChr m:val=""/>
            <m:grow/>
          </m:dPr>
          <m:e>
            <m:r>
              <m:t>3</m:t>
            </m:r>
            <m:r>
              <m:t>n</m:t>
            </m:r>
            <m:r>
              <m:rPr>
                <m:sty m:val="p"/>
              </m:rPr>
              <m:t>+</m:t>
            </m:r>
            <m:r>
              <m:t>1</m:t>
            </m:r>
          </m:e>
        </m:d>
        <m:r>
          <m:t>C</m:t>
        </m:r>
      </m:oMath>
      <w:r>
        <w:t xml:space="preserve"> </w:t>
      </w:r>
      <w:r>
        <w:t xml:space="preserve">to</w:t>
      </w:r>
      <w:r>
        <w:t xml:space="preserve"> </w:t>
      </w:r>
      <m:oMath>
        <m:d>
          <m:dPr>
            <m:begChr m:val="("/>
            <m:endChr m:val=")"/>
            <m:sepChr m:val=""/>
            <m:grow/>
          </m:dPr>
          <m:e>
            <m:r>
              <m:t>n</m:t>
            </m:r>
            <m:r>
              <m:rPr>
                <m:sty m:val="p"/>
              </m:rPr>
              <m:t>+</m:t>
            </m:r>
            <m:r>
              <m:t>1</m:t>
            </m:r>
          </m:e>
        </m:d>
        <m:r>
          <m:t>C</m:t>
        </m:r>
      </m:oMath>
      <w:r>
        <w:t xml:space="preserve">, and elements written from</w:t>
      </w:r>
      <w:r>
        <w:t xml:space="preserve"> </w:t>
      </w:r>
      <m:oMath>
        <m:r>
          <m:t>3</m:t>
        </m:r>
        <m:r>
          <m:t>n</m:t>
        </m:r>
        <m:r>
          <m:t>C</m:t>
        </m:r>
      </m:oMath>
      <w:r>
        <w:t xml:space="preserve"> </w:t>
      </w:r>
      <w:r>
        <w:t xml:space="preserve">to</w:t>
      </w:r>
      <w:r>
        <w:t xml:space="preserve"> </w:t>
      </w:r>
      <m:oMath>
        <m:r>
          <m:t>n</m:t>
        </m:r>
        <m:r>
          <m:t>C</m:t>
        </m:r>
      </m:oMath>
      <w:r>
        <w:t xml:space="preserve"> </w:t>
      </w:r>
      <w:fldSimple w:instr="NOTEREF _Ref_Footnote_17 \h \f">
        <w:r>
          <w:rPr>
            <w:vertAlign w:val="superscript"/>
          </w:rPr>
          <w:t>17</w:t>
        </w:r>
      </w:fldSimple>
      <w:r>
        <w:t xml:space="preserve">. This is a memory-wall optimization: the Sinkhorn iterations themselves are compute-light (alternating row/column normalizations on small</w:t>
      </w:r>
      <w:r>
        <w:t xml:space="preserve"> </w:t>
      </w:r>
      <m:oMath>
        <m:r>
          <m:t>n</m:t>
        </m:r>
        <m:r>
          <m:rPr>
            <m:sty m:val="p"/>
          </m:rPr>
          <m:t>×</m:t>
        </m:r>
        <m:r>
          <m:t>n</m:t>
        </m:r>
      </m:oMath>
      <w:r>
        <w:t xml:space="preserve"> </w:t>
      </w:r>
      <w:r>
        <w:t xml:space="preserve">matrices) but would trigger multiple round-trips through memory if implemented as separate operations.</w:t>
      </w:r>
    </w:p>
    <w:p>
      <w:pPr>
        <w:pStyle w:val="BodyText"/>
      </w:pPr>
      <w:r>
        <w:t xml:space="preserve">The FP8 strategy adopts E4M3 format (4-bit exponent, 3-bit mantissa) across all tensors, with fine-grained tile-wise and block-wise quantization to manage activation outliers. Relative loss error versus BF16 baseline remains below 0.25%</w:t>
      </w:r>
      <w:r>
        <w:t xml:space="preserve"> </w:t>
      </w:r>
      <w:fldSimple w:instr="NOTEREF _Ref_Footnote_27 \h \f">
        <w:r>
          <w:rPr>
            <w:vertAlign w:val="superscript"/>
          </w:rPr>
          <w:t>27</w:t>
        </w:r>
      </w:fldSimple>
      <w:r>
        <w:t xml:space="preserve">. For deterministic substrates, fixed iteration counts (</w:t>
      </w:r>
      <m:oMath>
        <m:sSub>
          <m:e>
            <m:r>
              <m:t>t</m:t>
            </m:r>
          </m:e>
          <m:sub>
            <m:r>
              <m:rPr>
                <m:sty m:val="p"/>
              </m:rPr>
              <m:t>max</m:t>
            </m:r>
          </m:sub>
        </m:sSub>
        <m:r>
          <m:rPr>
            <m:sty m:val="p"/>
          </m:rPr>
          <m:t>=</m:t>
        </m:r>
        <m:r>
          <m:t>20</m:t>
        </m:r>
      </m:oMath>
      <w:r>
        <w:t xml:space="preserve">) and quantized arithmetic with defined rounding modes are essential: convergence-based stopping criteria would introduce run-to-run variance, and floating-point non-associativity across different execution orders must be controlled.</w:t>
      </w:r>
    </w:p>
    <w:p>
      <w:pPr>
        <w:pStyle w:val="BodyText"/>
      </w:pPr>
      <w:r>
        <w:t xml:space="preserve">DualPipe extends the overlap principle to pipeline parallelism by feeding micro-batches from both ends of the pipeline simultaneously. For mHC specifically, the post/residual kernels for MLP layers execute on a dedicated high-priority compute stream to prevent blocking the main training pipeline</w:t>
      </w:r>
      <w:r>
        <w:t xml:space="preserve"> </w:t>
      </w:r>
      <w:fldSimple w:instr="NOTEREF _Ref_Footnote_17 \h \f">
        <w:r>
          <w:rPr>
            <w:vertAlign w:val="superscript"/>
          </w:rPr>
          <w:t>17</w:t>
        </w:r>
      </w:fldSimple>
      <w:r>
        <w:t xml:space="preserve">. Activation recomputation decouples memory management from pipeline communication: the initial activation of each stage is cached locally, and intermediate activations are recomputed during backward passes rather than stored.</w:t>
      </w:r>
    </w:p>
    <w:bookmarkEnd w:id="57"/>
    <w:bookmarkEnd w:id="58"/>
    <w:bookmarkStart w:id="62" w:name="X5618c54062476e8c0e9a27a8f71bdb57348f63d"/>
    <w:p>
      <w:pPr>
        <w:pStyle w:val="Heading2"/>
      </w:pPr>
      <w:r>
        <w:t xml:space="preserve">3.2 Manifold-Constrained Attention in Practice</w:t>
      </w:r>
    </w:p>
    <w:bookmarkStart w:id="59" w:name="X4fb5389dadbd619f095864acc65e8c02ebb7fb3"/>
    <w:p>
      <w:pPr>
        <w:pStyle w:val="Heading3"/>
      </w:pPr>
      <w:r>
        <w:t xml:space="preserve">3.2.1 Sinkhorn on Pre-Trained Models: What Works and What Does Not</w:t>
      </w:r>
    </w:p>
    <w:p>
      <w:pPr>
        <w:pStyle w:val="FirstParagraph"/>
      </w:pPr>
      <w:r>
        <w:t xml:space="preserve">A natural question is whether Sinkhorn projection can be applied to pre-trained models without retraining. The answer is bifurcated: it works for attention normalization, but not for mHC-style residual stream constraints.</w:t>
      </w:r>
    </w:p>
    <w:p>
      <w:pPr>
        <w:pStyle w:val="BodyText"/>
      </w:pPr>
      <w:r>
        <w:t xml:space="preserve">For attention matrices, empirical evidence supports retrofitting. Sander et al. demonstrated that in trained standard Transformers, attention matrices naturally approach doubly-stochasticity: column sums converge to approximately 1 as training progresses across ViT, fairseq Transformer, and Point Cloud Transformer architectures</w:t>
      </w:r>
      <w:r>
        <w:t xml:space="preserve"> </w:t>
      </w:r>
      <w:fldSimple w:instr="NOTEREF _Ref_Footnote_3 \h \f">
        <w:r>
          <w:rPr>
            <w:vertAlign w:val="superscript"/>
          </w:rPr>
          <w:t>3</w:t>
        </w:r>
      </w:fldSimple>
      <w:r>
        <w:t xml:space="preserve">. This implies that trained models have already discovered attention patterns close to the Birkhoff polytope; applying Sinkhorn post-hoc therefore does not drastically alter the attention distribution. Direct replacement of Softmax with Sinkhorn at inference has been validated in the Sinkformer architecture, which preserves or slightly improves rank properties</w:t>
      </w:r>
      <w:r>
        <w:t xml:space="preserve"> </w:t>
      </w:r>
      <w:fldSimple w:instr="NOTEREF _Ref_Footnote_3 \h \f">
        <w:r>
          <w:rPr>
            <w:vertAlign w:val="superscript"/>
          </w:rPr>
          <w:t>3</w:t>
        </w:r>
      </w:fldSimple>
      <w:r>
        <w:t xml:space="preserve">.</w:t>
      </w:r>
    </w:p>
    <w:p>
      <w:pPr>
        <w:pStyle w:val="BodyText"/>
      </w:pPr>
      <w:r>
        <w:t xml:space="preserve">However, for mHC-style residual mappings, post-hoc projection is not viable. The manifold constraint shapes the optimization landscape during training; weights learn to exploit the constrained geometry. Projecting an unconstrained</w:t>
      </w:r>
      <w:r>
        <w:t xml:space="preserve"> </w:t>
      </w:r>
      <m:oMath>
        <m:sSup>
          <m:e>
            <m:r>
              <m:t>H</m:t>
            </m:r>
          </m:e>
          <m:sup>
            <m:r>
              <m:rPr>
                <m:nor/>
                <m:sty m:val="p"/>
              </m:rPr>
              <m:t>res</m:t>
            </m:r>
          </m:sup>
        </m:sSup>
      </m:oMath>
      <w:r>
        <w:t xml:space="preserve"> </w:t>
      </w:r>
      <w:r>
        <w:t xml:space="preserve">onto</w:t>
      </w:r>
      <w:r>
        <w:t xml:space="preserve"> </w:t>
      </w:r>
      <m:oMath>
        <m:sSub>
          <m:e>
            <m:r>
              <m:rPr>
                <m:sty m:val="p"/>
                <m:scr m:val="script"/>
              </m:rPr>
              <m:t>B</m:t>
            </m:r>
          </m:e>
          <m:sub>
            <m:r>
              <m:t>n</m:t>
            </m:r>
          </m:sub>
        </m:sSub>
      </m:oMath>
      <w:r>
        <w:t xml:space="preserve"> </w:t>
      </w:r>
      <w:r>
        <w:t xml:space="preserve">after training would move the matrix to a nearby but functionally different point in weight space, degrading performance without retraining. The mHC paper validates this implicitly: the performance gains (+2.1% BBH, +2.3% DROP) are achieved only when Sinkhorn is applied during training</w:t>
      </w:r>
      <w:r>
        <w:t xml:space="preserve"> </w:t>
      </w:r>
      <w:fldSimple w:instr="NOTEREF _Ref_Footnote_17 \h \f">
        <w:r>
          <w:rPr>
            <w:vertAlign w:val="superscript"/>
          </w:rPr>
          <w:t>17</w:t>
        </w:r>
      </w:fldSimple>
      <w:r>
        <w:t xml:space="preserve">. This distinction is significant for deterministic substrates that may incorporate pre-trained foundation models: manifold constraints on residual streams require architectural integration during training, whereas attention normalization can be applied as a deterministic post-processing step at inference time.</w:t>
      </w:r>
    </w:p>
    <w:p>
      <w:pPr>
        <w:pStyle w:val="BodyText"/>
      </w:pPr>
      <w:r>
        <w:t xml:space="preserve">The rank-preservation benefit of Sinkhorn over Softmax also has a subtle precondition. Lapenna et al. proved that the advantage disappears for products of</w:t>
      </w:r>
      <w:r>
        <w:t xml:space="preserve"> </w:t>
      </w:r>
      <w:r>
        <w:rPr>
          <w:iCs/>
          <w:i/>
        </w:rPr>
        <w:t xml:space="preserve">randomly generated</w:t>
      </w:r>
      <w:r>
        <w:t xml:space="preserve"> </w:t>
      </w:r>
      <w:r>
        <w:t xml:space="preserve">stochastic matrices; it emerges only when attention matrices across layers are correlated with one another, as they are in trained Transformers</w:t>
      </w:r>
      <w:r>
        <w:t xml:space="preserve"> </w:t>
      </w:r>
      <w:fldSimple w:instr="NOTEREF _Ref_Footnote_25 \h \f">
        <w:r>
          <w:rPr>
            <w:vertAlign w:val="superscript"/>
          </w:rPr>
          <w:t>25</w:t>
        </w:r>
      </w:fldSimple>
      <w:r>
        <w:t xml:space="preserve">. This means the benefit is not a generic property of doubly-stochastic matrices but a learned structural property of trained attention patterns. Retrofitting Sinkhorn to a pre-trained model should preserve this correlation structure and therefore maintain the rank-preservation benefit.</w:t>
      </w:r>
    </w:p>
    <w:bookmarkEnd w:id="59"/>
    <w:bookmarkStart w:id="60" w:name="Xeedee66b23891207602c6bb171711aa975b4461"/>
    <w:p>
      <w:pPr>
        <w:pStyle w:val="Heading3"/>
      </w:pPr>
      <w:r>
        <w:t xml:space="preserve">3.2.2 ManifoldFormer: Geodesic-Aware Attention on Riemannian Manifolds</w:t>
      </w:r>
    </w:p>
    <w:p>
      <w:pPr>
        <w:pStyle w:val="FirstParagraph"/>
      </w:pPr>
      <w:r>
        <w:t xml:space="preserve">While mHC constrains the</w:t>
      </w:r>
      <w:r>
        <w:t xml:space="preserve"> </w:t>
      </w:r>
      <w:r>
        <w:rPr>
          <w:iCs/>
          <w:i/>
        </w:rPr>
        <w:t xml:space="preserve">weights</w:t>
      </w:r>
      <w:r>
        <w:t xml:space="preserve"> </w:t>
      </w:r>
      <w:r>
        <w:t xml:space="preserve">to a manifold, ManifoldFormer constrains the</w:t>
      </w:r>
      <w:r>
        <w:t xml:space="preserve"> </w:t>
      </w:r>
      <w:r>
        <w:rPr>
          <w:iCs/>
          <w:i/>
        </w:rPr>
        <w:t xml:space="preserve">representations</w:t>
      </w:r>
      <w:r>
        <w:t xml:space="preserve"> </w:t>
      </w:r>
      <w:r>
        <w:t xml:space="preserve">to a manifold. It introduces a geometric Transformer that operates directly on Riemannian manifolds, computing attention weights using geodesic distances rather than Euclidean inner products</w:t>
      </w:r>
      <w:r>
        <w:t xml:space="preserve"> </w:t>
      </w:r>
      <w:fldSimple w:instr="NOTEREF _Ref_Footnote_4 \h \f">
        <w:r>
          <w:rPr>
            <w:vertAlign w:val="superscript"/>
          </w:rPr>
          <w:t>4</w:t>
        </w:r>
      </w:fldSimple>
      <w:r>
        <w:t xml:space="preserve">. The attention score incorporates a geometric penalty term:</w:t>
      </w:r>
    </w:p>
    <w:p>
      <w:pPr>
        <w:pStyle w:val="BodyText"/>
      </w:pPr>
      <m:oMathPara>
        <m:oMathParaPr>
          <m:jc m:val="center"/>
        </m:oMathParaPr>
        <m:oMath>
          <m:r>
            <m:rPr>
              <m:nor/>
              <m:sty m:val="p"/>
            </m:rPr>
            <m:t>Attention</m:t>
          </m:r>
          <m:d>
            <m:dPr>
              <m:begChr m:val="("/>
              <m:endChr m:val=")"/>
              <m:sepChr m:val=""/>
              <m:grow/>
            </m:dPr>
            <m:e>
              <m:r>
                <m:t>Q</m:t>
              </m:r>
              <m:r>
                <m:rPr>
                  <m:sty m:val="p"/>
                </m:rPr>
                <m:t>,</m:t>
              </m:r>
              <m:r>
                <m:t>K</m:t>
              </m:r>
              <m:r>
                <m:rPr>
                  <m:sty m:val="p"/>
                </m:rPr>
                <m:t>,</m:t>
              </m:r>
              <m:r>
                <m:t>V</m:t>
              </m:r>
            </m:e>
          </m:d>
          <m:r>
            <m:rPr>
              <m:sty m:val="p"/>
            </m:rPr>
            <m:t>=</m:t>
          </m:r>
          <m:r>
            <m:rPr>
              <m:nor/>
              <m:sty m:val="p"/>
            </m:rPr>
            <m:t>softmax</m:t>
          </m:r>
          <m:d>
            <m:dPr>
              <m:begChr m:val="("/>
              <m:endChr m:val=")"/>
              <m:sepChr m:val=""/>
              <m:grow/>
            </m:dPr>
            <m:e>
              <m:f>
                <m:fPr>
                  <m:type m:val="bar"/>
                </m:fPr>
                <m:num>
                  <m:r>
                    <m:t>Q</m:t>
                  </m:r>
                  <m:sSup>
                    <m:e>
                      <m:r>
                        <m:t>K</m:t>
                      </m:r>
                    </m:e>
                    <m:sup>
                      <m:r>
                        <m:t>T</m:t>
                      </m:r>
                    </m:sup>
                  </m:sSup>
                </m:num>
                <m:den>
                  <m:rad>
                    <m:radPr>
                      <m:degHide m:val="1"/>
                    </m:radPr>
                    <m:deg/>
                    <m:e>
                      <m:sSub>
                        <m:e>
                          <m:r>
                            <m:t>d</m:t>
                          </m:r>
                        </m:e>
                        <m:sub>
                          <m:r>
                            <m:t>k</m:t>
                          </m:r>
                        </m:sub>
                      </m:sSub>
                    </m:e>
                  </m:rad>
                </m:den>
              </m:f>
              <m:r>
                <m:rPr>
                  <m:sty m:val="p"/>
                </m:rPr>
                <m:t>−</m:t>
              </m:r>
              <m:r>
                <m:t>λ</m:t>
              </m:r>
              <m:r>
                <m:t> </m:t>
              </m:r>
              <m:sSub>
                <m:e>
                  <m:r>
                    <m:t>D</m:t>
                  </m:r>
                </m:e>
                <m:sub>
                  <m:r>
                    <m:rPr>
                      <m:nor/>
                      <m:sty m:val="p"/>
                    </m:rPr>
                    <m:t>geo</m:t>
                  </m:r>
                </m:sub>
              </m:sSub>
            </m:e>
          </m:d>
          <m:r>
            <m:t>V</m:t>
          </m:r>
        </m:oMath>
      </m:oMathPara>
    </w:p>
    <w:p>
      <w:pPr>
        <w:pStyle w:val="FirstParagraph"/>
      </w:pPr>
      <w:r>
        <w:t xml:space="preserve">where</w:t>
      </w:r>
      <w:r>
        <w:t xml:space="preserve"> </w:t>
      </w:r>
      <m:oMath>
        <m:sSub>
          <m:e>
            <m:r>
              <m:t>D</m:t>
            </m:r>
          </m:e>
          <m:sub>
            <m:r>
              <m:rPr>
                <m:nor/>
                <m:sty m:val="p"/>
              </m:rPr>
              <m:t>geo</m:t>
            </m:r>
          </m:sub>
        </m:sSub>
      </m:oMath>
      <w:r>
        <w:t xml:space="preserve"> </w:t>
      </w:r>
      <w:r>
        <w:t xml:space="preserve">represents geodesic distances on the manifold</w:t>
      </w:r>
      <w:r>
        <w:t xml:space="preserve"> </w:t>
      </w:r>
      <m:oMath>
        <m:r>
          <m:rPr>
            <m:sty m:val="p"/>
            <m:scr m:val="script"/>
          </m:rPr>
          <m:t>M</m:t>
        </m:r>
      </m:oMath>
      <w:r>
        <w:t xml:space="preserve">, and</w:t>
      </w:r>
      <w:r>
        <w:t xml:space="preserve"> </w:t>
      </w:r>
      <m:oMath>
        <m:r>
          <m:t>λ</m:t>
        </m:r>
      </m:oMath>
      <w:r>
        <w:t xml:space="preserve"> </w:t>
      </w:r>
      <w:r>
        <w:t xml:space="preserve">is a learnable coefficient controlling the geometric penalty strength. The architecture combines geodesic-aware attention with neural ODE dynamics for temporal evolution, evaluated on EEG classification tasks where the data naturally lives on the manifold of symmetric positive-definite (SPD) matrices.</w:t>
      </w:r>
    </w:p>
    <w:p>
      <w:pPr>
        <w:pStyle w:val="BodyText"/>
      </w:pPr>
      <w:r>
        <w:t xml:space="preserve">The empirical gains are additive: Riemannian VAE provides the largest individual improvement (+4.6% accuracy), the geometric Transformer adds +4.2%, and neural ODE dynamics contribute +3.5%, with combined effects exceeding the sum of individual contributions</w:t>
      </w:r>
      <w:r>
        <w:t xml:space="preserve"> </w:t>
      </w:r>
      <w:fldSimple w:instr="NOTEREF _Ref_Footnote_4 \h \f">
        <w:r>
          <w:rPr>
            <w:vertAlign w:val="superscript"/>
          </w:rPr>
          <w:t>4</w:t>
        </w:r>
      </w:fldSimple>
      <w:r>
        <w:t xml:space="preserve">. Cohen’s Kappa improvements of 6.2–10.2% indicate that the geometric constraints improve not just raw accuracy but inter-rater agreement, suggesting more consistent and interpretable predictions.</w:t>
      </w:r>
    </w:p>
    <w:p>
      <w:pPr>
        <w:pStyle w:val="BodyText"/>
      </w:pPr>
      <w:r>
        <w:t xml:space="preserve">For deterministic substrates, the ManifoldFormer approach is viable when the input data has known manifold structure (EEG signals, graph embeddings, physical states). For generic text, however, the latent representation manifold is unknown and must be estimated, adding both computational cost and estimation variance. The Equivariant Geodesic Network (EGN) extends this framework with fully end-to-end SPD-preserving architectures combining equivariant bilinear transforms, manifold-aware activations, and geodesic attention with affine-invariant Riemannian metrics</w:t>
      </w:r>
      <w:r>
        <w:t xml:space="preserve"> </w:t>
      </w:r>
      <w:fldSimple w:instr="NOTEREF _Ref_Footnote_6 \h \f">
        <w:r>
          <w:rPr>
            <w:vertAlign w:val="superscript"/>
          </w:rPr>
          <w:t>6</w:t>
        </w:r>
      </w:fldSimple>
      <w:r>
        <w:t xml:space="preserve">. RiemannInfer provides a complementary perspective, reformulating Transformer inference as navigation on Riemannian manifolds constructed from attention distribution features, with reasoning path planning minimizing inference work by measuring geodesics and curvature</w:t>
      </w:r>
      <w:r>
        <w:t xml:space="preserve"> </w:t>
      </w:r>
      <w:fldSimple w:instr="NOTEREF _Ref_Footnote_16 \h \f">
        <w:r>
          <w:rPr>
            <w:vertAlign w:val="superscript"/>
          </w:rPr>
          <w:t>16</w:t>
        </w:r>
      </w:fldSimple>
      <w:r>
        <w:t xml:space="preserve">.</w:t>
      </w:r>
    </w:p>
    <w:p>
      <w:pPr>
        <w:pStyle w:val="BodyText"/>
      </w:pPr>
      <w:r>
        <w:t xml:space="preserve">A separate but related direction is hyperbolic attention, which reformulates attention scores using hyperbolic distance</w:t>
      </w:r>
      <w:r>
        <w:t xml:space="preserve"> </w:t>
      </w:r>
      <m:oMath>
        <m:sSub>
          <m:e>
            <m:r>
              <m:t>d</m:t>
            </m:r>
          </m:e>
          <m:sub>
            <m:r>
              <m:t>H</m:t>
            </m:r>
          </m:sub>
        </m:sSub>
      </m:oMath>
      <w:r>
        <w:t xml:space="preserve"> </w:t>
      </w:r>
      <w:r>
        <w:t xml:space="preserve">rather than Euclidean distance:</w:t>
      </w:r>
      <w:r>
        <w:t xml:space="preserve"> </w:t>
      </w:r>
      <m:oMath>
        <m:sSub>
          <m:e>
            <m:r>
              <m:t>α</m:t>
            </m:r>
          </m:e>
          <m:sub>
            <m:r>
              <m:t>i</m:t>
            </m:r>
            <m:r>
              <m:t>j</m:t>
            </m:r>
          </m:sub>
        </m:sSub>
        <m:r>
          <m:rPr>
            <m:sty m:val="p"/>
          </m:rPr>
          <m:t>=</m:t>
        </m:r>
        <m:r>
          <m:rPr>
            <m:nor/>
            <m:sty m:val="p"/>
          </m:rPr>
          <m:t>softmax</m:t>
        </m:r>
        <m:d>
          <m:dPr>
            <m:begChr m:val="("/>
            <m:endChr m:val=")"/>
            <m:sepChr m:val=""/>
            <m:grow/>
          </m:dPr>
          <m:e>
            <m:r>
              <m:rPr>
                <m:sty m:val="p"/>
              </m:rPr>
              <m:t>−</m:t>
            </m:r>
            <m:r>
              <m:t>β</m:t>
            </m:r>
            <m:r>
              <m:rPr>
                <m:sty m:val="p"/>
              </m:rPr>
              <m:t>⋅</m:t>
            </m:r>
            <m:sSub>
              <m:e>
                <m:r>
                  <m:t>d</m:t>
                </m:r>
              </m:e>
              <m:sub>
                <m:r>
                  <m:t>H</m:t>
                </m:r>
              </m:sub>
            </m:sSub>
            <m:sSup>
              <m:e>
                <m:d>
                  <m:dPr>
                    <m:begChr m:val="("/>
                    <m:endChr m:val=")"/>
                    <m:sepChr m:val=""/>
                    <m:grow/>
                  </m:dPr>
                  <m:e>
                    <m:sSub>
                      <m:e>
                        <m:r>
                          <m:t>q</m:t>
                        </m:r>
                      </m:e>
                      <m:sub>
                        <m:r>
                          <m:t>i</m:t>
                        </m:r>
                      </m:sub>
                    </m:sSub>
                    <m:r>
                      <m:rPr>
                        <m:sty m:val="p"/>
                      </m:rPr>
                      <m:t>,</m:t>
                    </m:r>
                    <m:sSub>
                      <m:e>
                        <m:r>
                          <m:t>k</m:t>
                        </m:r>
                      </m:e>
                      <m:sub>
                        <m:r>
                          <m:t>j</m:t>
                        </m:r>
                      </m:sub>
                    </m:sSub>
                  </m:e>
                </m:d>
              </m:e>
              <m:sup>
                <m:r>
                  <m:t>2</m:t>
                </m:r>
              </m:sup>
            </m:sSup>
          </m:e>
        </m:d>
      </m:oMath>
      <w:r>
        <w:t xml:space="preserve">. Points near the center of the Poincaré ball capture high-level hierarchical information, while points near the boundary encode fine-grained details, enabling natural multi-resolution processing</w:t>
      </w:r>
      <w:r>
        <w:t xml:space="preserve"> </w:t>
      </w:r>
      <w:fldSimple w:instr="NOTEREF _Ref_Footnote_24 \h \f">
        <w:r>
          <w:rPr>
            <w:vertAlign w:val="superscript"/>
          </w:rPr>
          <w:t>24</w:t>
        </w:r>
      </w:fldSimple>
      <w:r>
        <w:t xml:space="preserve">. Hyperbolic transformers operate approximately 1.3× slower than Euclidean counterparts and exhibit numerical instabilities during repeated transformations, limiting their practical deployment despite theoretical appeal for hierarchical text</w:t>
      </w:r>
      <w:r>
        <w:t xml:space="preserve"> </w:t>
      </w:r>
      <w:fldSimple w:instr="NOTEREF _Ref_Footnote_18 \h \f">
        <w:r>
          <w:rPr>
            <w:vertAlign w:val="superscript"/>
          </w:rPr>
          <w:t>18</w:t>
        </w:r>
      </w:fldSimple>
      <w:r>
        <w:t xml:space="preserve">.</w:t>
      </w:r>
    </w:p>
    <w:bookmarkEnd w:id="60"/>
    <w:bookmarkStart w:id="61" w:name="X64bf22503340549658c2066d9493b289854c0d6"/>
    <w:p>
      <w:pPr>
        <w:pStyle w:val="Heading3"/>
      </w:pPr>
      <w:r>
        <w:t xml:space="preserve">3.2.3 BRL-Attention: Linear Complexity via Low-Rank Bottleneck Regularization</w:t>
      </w:r>
    </w:p>
    <w:p>
      <w:pPr>
        <w:pStyle w:val="FirstParagraph"/>
      </w:pPr>
      <w:r>
        <w:t xml:space="preserve">Bottleneck Regularized Linear Attention (BRL-Attention) addresses a different pathology: the geometric bottleneck of linear attention mechanisms. Standard linear attention approximates Softmax attention via kernel feature maps, achieving</w:t>
      </w:r>
      <w:r>
        <w:t xml:space="preserve"> </w:t>
      </w:r>
      <m:oMath>
        <m:r>
          <m:t>O</m:t>
        </m:r>
        <m:d>
          <m:dPr>
            <m:begChr m:val="("/>
            <m:endChr m:val=")"/>
            <m:sepChr m:val=""/>
            <m:grow/>
          </m:dPr>
          <m:e>
            <m:r>
              <m:t>n</m:t>
            </m:r>
          </m:e>
        </m:d>
      </m:oMath>
      <w:r>
        <w:t xml:space="preserve"> </w:t>
      </w:r>
      <w:r>
        <w:t xml:space="preserve">complexity in sequence length but suffering from limited expressiveness and over-squashing in deep networks. BRL-Attention unites pattern-based and kernel-based techniques, extending local attention with compressed global tokens to achieve linear complexity while matching full Softmax attention expressiveness</w:t>
      </w:r>
      <w:r>
        <w:t xml:space="preserve"> </w:t>
      </w:r>
      <w:fldSimple w:instr="NOTEREF _Ref_Footnote_14 \h \f">
        <w:r>
          <w:rPr>
            <w:vertAlign w:val="superscript"/>
          </w:rPr>
          <w:t>14</w:t>
        </w:r>
      </w:fldSimple>
      <w:r>
        <w:t xml:space="preserve">.</w:t>
      </w:r>
    </w:p>
    <w:p>
      <w:pPr>
        <w:pStyle w:val="BodyText"/>
      </w:pPr>
      <w:r>
        <w:t xml:space="preserve">The key insight is that low-rank bottleneck regularization on the attention feature maps mitigates the geometric bottleneck—an information-theoretic limit on how much global context can flow through linear attention—while preserving the computational advantages. This is conceptually aligned with both the manifold constraint philosophy (restricting the solution space to well-conditioned subspaces) and the MLA approach (compressing KV representations via low-rank projection). BRL-Attention is applicable to both encoder-only and autoregressive decoder architectures, with open-source implementations available</w:t>
      </w:r>
      <w:r>
        <w:t xml:space="preserve"> </w:t>
      </w:r>
      <w:fldSimple w:instr="NOTEREF _Ref_Footnote_14 \h \f">
        <w:r>
          <w:rPr>
            <w:vertAlign w:val="superscript"/>
          </w:rPr>
          <w:t>14</w:t>
        </w:r>
      </w:fldSimple>
      <w:r>
        <w:t xml:space="preserve">.</w:t>
      </w:r>
    </w:p>
    <w:bookmarkEnd w:id="61"/>
    <w:bookmarkEnd w:id="62"/>
    <w:bookmarkStart w:id="66" w:name="multi-head-latent-attention-mla"/>
    <w:p>
      <w:pPr>
        <w:pStyle w:val="Heading2"/>
      </w:pPr>
      <w:r>
        <w:t xml:space="preserve">3.3 Multi-Head Latent Attention (MLA)</w:t>
      </w:r>
    </w:p>
    <w:bookmarkStart w:id="63" w:name="Xbf96b110ab67ff244622d8bff9f19ee9f16752c"/>
    <w:p>
      <w:pPr>
        <w:pStyle w:val="Heading3"/>
      </w:pPr>
      <w:r>
        <w:t xml:space="preserve">3.3.1 Low-Rank KV Compression and the Decoupled RoPE Strategy</w:t>
      </w:r>
    </w:p>
    <w:p>
      <w:pPr>
        <w:pStyle w:val="FirstParagraph"/>
      </w:pPr>
      <w:r>
        <w:t xml:space="preserve">Multi-Head Latent Attention (MLA), introduced in DeepSeek-V2, attacks the inference memory bottleneck from a different geometric angle: instead of constraining the mixing matrices, it compresses the key-value cache via low-rank projection. The KV cache in standard Multi-Head Attention (MHA) stores separate key and value vectors for each head, with memory scaling as</w:t>
      </w:r>
      <w:r>
        <w:t xml:space="preserve"> </w:t>
      </w:r>
      <m:oMath>
        <m:r>
          <m:t>O</m:t>
        </m:r>
        <m:d>
          <m:dPr>
            <m:begChr m:val="("/>
            <m:endChr m:val=")"/>
            <m:sepChr m:val=""/>
            <m:grow/>
          </m:dPr>
          <m:e>
            <m:r>
              <m:t>2</m:t>
            </m:r>
            <m:r>
              <m:rPr>
                <m:sty m:val="p"/>
              </m:rPr>
              <m:t>⋅</m:t>
            </m:r>
            <m:sSub>
              <m:e>
                <m:r>
                  <m:t>d</m:t>
                </m:r>
              </m:e>
              <m:sub>
                <m:r>
                  <m:t>h</m:t>
                </m:r>
              </m:sub>
            </m:sSub>
            <m:r>
              <m:rPr>
                <m:sty m:val="p"/>
              </m:rPr>
              <m:t>⋅</m:t>
            </m:r>
            <m:sSub>
              <m:e>
                <m:r>
                  <m:t>n</m:t>
                </m:r>
              </m:e>
              <m:sub>
                <m:r>
                  <m:t>h</m:t>
                </m:r>
              </m:sub>
            </m:sSub>
            <m:r>
              <m:rPr>
                <m:sty m:val="p"/>
              </m:rPr>
              <m:t>⋅</m:t>
            </m:r>
            <m:r>
              <m:t>L</m:t>
            </m:r>
          </m:e>
        </m:d>
      </m:oMath>
      <w:r>
        <w:t xml:space="preserve"> </w:t>
      </w:r>
      <w:r>
        <w:t xml:space="preserve">for hidden dimension</w:t>
      </w:r>
      <w:r>
        <w:t xml:space="preserve"> </w:t>
      </w:r>
      <m:oMath>
        <m:sSub>
          <m:e>
            <m:r>
              <m:t>d</m:t>
            </m:r>
          </m:e>
          <m:sub>
            <m:r>
              <m:t>h</m:t>
            </m:r>
          </m:sub>
        </m:sSub>
      </m:oMath>
      <w:r>
        <w:t xml:space="preserve">, head count</w:t>
      </w:r>
      <w:r>
        <w:t xml:space="preserve"> </w:t>
      </w:r>
      <m:oMath>
        <m:sSub>
          <m:e>
            <m:r>
              <m:t>n</m:t>
            </m:r>
          </m:e>
          <m:sub>
            <m:r>
              <m:t>h</m:t>
            </m:r>
          </m:sub>
        </m:sSub>
      </m:oMath>
      <w:r>
        <w:t xml:space="preserve">, and context length</w:t>
      </w:r>
      <w:r>
        <w:t xml:space="preserve"> </w:t>
      </w:r>
      <m:oMath>
        <m:r>
          <m:t>L</m:t>
        </m:r>
      </m:oMath>
      <w:r>
        <w:t xml:space="preserve">. MLA compresses keys and values into a shared latent vector</w:t>
      </w:r>
      <w:r>
        <w:t xml:space="preserve"> </w:t>
      </w:r>
      <m:oMath>
        <m:sSubSup>
          <m:e>
            <m:r>
              <m:t>c</m:t>
            </m:r>
          </m:e>
          <m:sub>
            <m:r>
              <m:t>t</m:t>
            </m:r>
          </m:sub>
          <m:sup>
            <m:r>
              <m:rPr>
                <m:nor/>
                <m:sty m:val="p"/>
              </m:rPr>
              <m:t>KV</m:t>
            </m:r>
          </m:sup>
        </m:sSubSup>
      </m:oMath>
      <w:r>
        <w:t xml:space="preserve"> </w:t>
      </w:r>
      <w:r>
        <w:t xml:space="preserve">via down-projection, reducing the KV cache to</w:t>
      </w:r>
      <w:r>
        <w:t xml:space="preserve"> </w:t>
      </w:r>
      <m:oMath>
        <m:r>
          <m:t>O</m:t>
        </m:r>
        <m:d>
          <m:dPr>
            <m:begChr m:val="("/>
            <m:endChr m:val=")"/>
            <m:sepChr m:val=""/>
            <m:grow/>
          </m:dPr>
          <m:e>
            <m:d>
              <m:dPr>
                <m:begChr m:val="("/>
                <m:endChr m:val=")"/>
                <m:sepChr m:val=""/>
                <m:grow/>
              </m:dPr>
              <m:e>
                <m:sSub>
                  <m:e>
                    <m:r>
                      <m:t>d</m:t>
                    </m:r>
                  </m:e>
                  <m:sub>
                    <m:r>
                      <m:t>c</m:t>
                    </m:r>
                  </m:sub>
                </m:sSub>
                <m:r>
                  <m:rPr>
                    <m:sty m:val="p"/>
                  </m:rPr>
                  <m:t>+</m:t>
                </m:r>
                <m:sSubSup>
                  <m:e>
                    <m:r>
                      <m:t>d</m:t>
                    </m:r>
                  </m:e>
                  <m:sub>
                    <m:r>
                      <m:t>h</m:t>
                    </m:r>
                  </m:sub>
                  <m:sup>
                    <m:r>
                      <m:t>R</m:t>
                    </m:r>
                  </m:sup>
                </m:sSubSup>
              </m:e>
            </m:d>
            <m:r>
              <m:rPr>
                <m:sty m:val="p"/>
              </m:rPr>
              <m:t>⋅</m:t>
            </m:r>
            <m:r>
              <m:t>L</m:t>
            </m:r>
          </m:e>
        </m:d>
      </m:oMath>
      <w:r>
        <w:t xml:space="preserve"> </w:t>
      </w:r>
      <w:fldSimple w:instr="NOTEREF _Ref_Footnote_17 \h \f">
        <w:r>
          <w:rPr>
            <w:vertAlign w:val="superscript"/>
          </w:rPr>
          <w:t>17</w:t>
        </w:r>
      </w:fldSimple>
      <w:r>
        <w:t xml:space="preserve">.</w:t>
      </w:r>
    </w:p>
    <w:p>
      <w:pPr>
        <w:pStyle w:val="BodyText"/>
      </w:pPr>
      <w:r>
        <w:t xml:space="preserve">For DeepSeek-V2, the compression dimension</w:t>
      </w:r>
      <w:r>
        <w:t xml:space="preserve"> </w:t>
      </w:r>
      <m:oMath>
        <m:sSub>
          <m:e>
            <m:r>
              <m:t>d</m:t>
            </m:r>
          </m:e>
          <m:sub>
            <m:r>
              <m:t>c</m:t>
            </m:r>
          </m:sub>
        </m:sSub>
      </m:oMath>
      <w:r>
        <w:t xml:space="preserve"> </w:t>
      </w:r>
      <w:r>
        <w:t xml:space="preserve">is set to</w:t>
      </w:r>
      <w:r>
        <w:t xml:space="preserve"> </w:t>
      </w:r>
      <m:oMath>
        <m:r>
          <m:t>4</m:t>
        </m:r>
        <m:sSub>
          <m:e>
            <m:r>
              <m:t>d</m:t>
            </m:r>
          </m:e>
          <m:sub>
            <m:r>
              <m:t>h</m:t>
            </m:r>
          </m:sub>
        </m:sSub>
      </m:oMath>
      <w:r>
        <w:t xml:space="preserve"> </w:t>
      </w:r>
      <w:r>
        <w:t xml:space="preserve">and the RoPE (Rotary Position Embedding) dimension</w:t>
      </w:r>
      <w:r>
        <w:t xml:space="preserve"> </w:t>
      </w:r>
      <m:oMath>
        <m:sSubSup>
          <m:e>
            <m:r>
              <m:t>d</m:t>
            </m:r>
          </m:e>
          <m:sub>
            <m:r>
              <m:t>h</m:t>
            </m:r>
          </m:sub>
          <m:sup>
            <m:r>
              <m:t>R</m:t>
            </m:r>
          </m:sup>
        </m:sSubSup>
      </m:oMath>
      <w:r>
        <w:t xml:space="preserve"> </w:t>
      </w:r>
      <w:r>
        <w:t xml:space="preserve">to</w:t>
      </w:r>
      <w:r>
        <w:t xml:space="preserve"> </w:t>
      </w:r>
      <m:oMath>
        <m:sSub>
          <m:e>
            <m:r>
              <m:t>d</m:t>
            </m:r>
          </m:e>
          <m:sub>
            <m:r>
              <m:t>h</m:t>
            </m:r>
          </m:sub>
        </m:sSub>
        <m:r>
          <m:rPr>
            <m:sty m:val="p"/>
          </m:rPr>
          <m:t>/</m:t>
        </m:r>
        <m:r>
          <m:t>2</m:t>
        </m:r>
      </m:oMath>
      <w:r>
        <w:t xml:space="preserve">. Under this configuration, the KV cache per token is equivalent to Grouped-Query Attention (GQA) with only 2.25 groups, yet performance exceeds MHA</w:t>
      </w:r>
      <w:r>
        <w:t xml:space="preserve"> </w:t>
      </w:r>
      <w:fldSimple w:instr="NOTEREF _Ref_Footnote_17 \h \f">
        <w:r>
          <w:rPr>
            <w:vertAlign w:val="superscript"/>
          </w:rPr>
          <w:t>17</w:t>
        </w:r>
      </w:fldSimple>
      <w:r>
        <w:t xml:space="preserve">. The 90%+ compression rate is achieved without sacrificing the model’s ability to attend to distant context, enabling 128K+ context windows on memory-constrained hardware.</w:t>
      </w:r>
    </w:p>
    <w:p>
      <w:pPr>
        <w:pStyle w:val="BodyText"/>
      </w:pPr>
      <w:r>
        <w:t xml:space="preserve">The decoupled RoPE strategy is critical to this efficiency. Standard RoPE intertwines positional information with semantic content, preventing the weight absorption trick that eliminates per-token up-projection overhead during decoding. MLA separates positional information into a small vector</w:t>
      </w:r>
      <w:r>
        <w:t xml:space="preserve"> </w:t>
      </w:r>
      <m:oMath>
        <m:sSubSup>
          <m:e>
            <m:r>
              <m:t>k</m:t>
            </m:r>
          </m:e>
          <m:sub>
            <m:r>
              <m:t>t</m:t>
            </m:r>
          </m:sub>
          <m:sup>
            <m:r>
              <m:t>R</m:t>
            </m:r>
          </m:sup>
        </m:sSubSup>
      </m:oMath>
      <w:r>
        <w:t xml:space="preserve"> </w:t>
      </w:r>
      <w:r>
        <w:t xml:space="preserve">that is cached separately, while the bulk of key/value information lives in the compressed latent</w:t>
      </w:r>
      <w:r>
        <w:t xml:space="preserve"> </w:t>
      </w:r>
      <m:oMath>
        <m:sSubSup>
          <m:e>
            <m:r>
              <m:t>c</m:t>
            </m:r>
          </m:e>
          <m:sub>
            <m:r>
              <m:t>t</m:t>
            </m:r>
          </m:sub>
          <m:sup>
            <m:r>
              <m:rPr>
                <m:nor/>
                <m:sty m:val="p"/>
              </m:rPr>
              <m:t>KV</m:t>
            </m:r>
          </m:sup>
        </m:sSubSup>
      </m:oMath>
      <w:r>
        <w:t xml:space="preserve">. The weight absorption trick then pre-computes composite matrices</w:t>
      </w:r>
      <w:r>
        <w:t xml:space="preserve"> </w:t>
      </w:r>
      <m:oMath>
        <m:d>
          <m:dPr>
            <m:begChr m:val="("/>
            <m:endChr m:val=")"/>
            <m:sepChr m:val=""/>
            <m:grow/>
          </m:dPr>
          <m:e>
            <m:sSup>
              <m:e>
                <m:r>
                  <m:t>W</m:t>
                </m:r>
              </m:e>
              <m:sup>
                <m:sSup>
                  <m:e>
                    <m:r>
                      <m:rPr>
                        <m:nor/>
                        <m:sty m:val="p"/>
                      </m:rPr>
                      <m:t>UQ</m:t>
                    </m:r>
                  </m:e>
                  <m:sup>
                    <m:r>
                      <m:t>T</m:t>
                    </m:r>
                  </m:sup>
                </m:sSup>
              </m:sup>
            </m:sSup>
            <m:sSup>
              <m:e>
                <m:r>
                  <m:t>W</m:t>
                </m:r>
              </m:e>
              <m:sup>
                <m:r>
                  <m:rPr>
                    <m:nor/>
                    <m:sty m:val="p"/>
                  </m:rPr>
                  <m:t>UK</m:t>
                </m:r>
              </m:sup>
            </m:sSup>
          </m:e>
        </m:d>
      </m:oMath>
      <w:r>
        <w:t xml:space="preserve"> </w:t>
      </w:r>
      <w:r>
        <w:t xml:space="preserve">and absorbs</w:t>
      </w:r>
      <w:r>
        <w:t xml:space="preserve"> </w:t>
      </w:r>
      <m:oMath>
        <m:sSup>
          <m:e>
            <m:r>
              <m:t>W</m:t>
            </m:r>
          </m:e>
          <m:sup>
            <m:r>
              <m:rPr>
                <m:nor/>
                <m:sty m:val="p"/>
              </m:rPr>
              <m:t>UV</m:t>
            </m:r>
          </m:sup>
        </m:sSup>
      </m:oMath>
      <w:r>
        <w:t xml:space="preserve"> </w:t>
      </w:r>
      <w:r>
        <w:t xml:space="preserve">into</w:t>
      </w:r>
      <w:r>
        <w:t xml:space="preserve"> </w:t>
      </w:r>
      <m:oMath>
        <m:sSup>
          <m:e>
            <m:r>
              <m:t>W</m:t>
            </m:r>
          </m:e>
          <m:sup>
            <m:r>
              <m:t>O</m:t>
            </m:r>
          </m:sup>
        </m:sSup>
      </m:oMath>
      <w:r>
        <w:t xml:space="preserve">, so the decode phase avoids per-token up-projections entirely</w:t>
      </w:r>
      <w:r>
        <w:t xml:space="preserve"> </w:t>
      </w:r>
      <w:fldSimple w:instr="NOTEREF _Ref_Footnote_25 \h \f">
        <w:r>
          <w:rPr>
            <w:vertAlign w:val="superscript"/>
          </w:rPr>
          <w:t>25</w:t>
        </w:r>
      </w:fldSimple>
      <w:r>
        <w:t xml:space="preserve">.</w:t>
      </w:r>
    </w:p>
    <w:bookmarkEnd w:id="63"/>
    <w:bookmarkStart w:id="64" w:name="transmla-retrofitting-pre-trained-models"/>
    <w:p>
      <w:pPr>
        <w:pStyle w:val="Heading3"/>
      </w:pPr>
      <w:r>
        <w:t xml:space="preserve">3.3.2 TransMLA: Retrofitting Pre-Trained Models</w:t>
      </w:r>
    </w:p>
    <w:p>
      <w:pPr>
        <w:pStyle w:val="FirstParagraph"/>
      </w:pPr>
      <w:r>
        <w:t xml:space="preserve">TransMLA demonstrates that the MLA architecture can be retrofitted to existing GQA-based models (LLaMA, Qwen, Gemma, Mixtral) with only 6 billion tokens of fine-tuning to recover comparable performance</w:t>
      </w:r>
      <w:r>
        <w:t xml:space="preserve"> </w:t>
      </w:r>
      <w:fldSimple w:instr="NOTEREF _Ref_Footnote_4 \h \f">
        <w:r>
          <w:rPr>
            <w:vertAlign w:val="superscript"/>
          </w:rPr>
          <w:t>4</w:t>
        </w:r>
      </w:fldSimple>
      <w:r>
        <w:t xml:space="preserve">. The conversion addresses RoPE incompatibility through two techniques: RoRoPE (PCA-based RoPE concentration) and FreqFold, which adapt existing position encodings to the decoupled format. Training-free conversion achieves 68.75% KV cache compression with only 1.65% performance degradation; the 93% compression version requires 6B tokens to fully recover</w:t>
      </w:r>
      <w:r>
        <w:t xml:space="preserve"> </w:t>
      </w:r>
      <w:fldSimple w:instr="NOTEREF _Ref_Footnote_4 \h \f">
        <w:r>
          <w:rPr>
            <w:vertAlign w:val="superscript"/>
          </w:rPr>
          <w:t>4</w:t>
        </w:r>
      </w:fldSimple>
      <w:r>
        <w:t xml:space="preserve">.</w:t>
      </w:r>
    </w:p>
    <w:p>
      <w:pPr>
        <w:pStyle w:val="BodyText"/>
      </w:pPr>
      <w:r>
        <w:t xml:space="preserve">The theoretical justification for migration is compelling: TransMLA proves that MLA consistently offers higher expressive power than GQA under the same KV cache overhead</w:t>
      </w:r>
      <w:r>
        <w:t xml:space="preserve"> </w:t>
      </w:r>
      <w:fldSimple w:instr="NOTEREF _Ref_Footnote_4 \h \f">
        <w:r>
          <w:rPr>
            <w:vertAlign w:val="superscript"/>
          </w:rPr>
          <w:t>4</w:t>
        </w:r>
      </w:fldSimple>
      <w:r>
        <w:t xml:space="preserve">. This means that for a fixed memory budget, MLA can represent a strictly larger class of attention functions than GQA. In practice, this translates to better long-context retrieval and more nuanced attention patterns.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Mechanism</w:t>
            </w:r>
          </w:p>
        </w:tc>
        <w:tc>
          <w:tcPr/>
          <w:p>
            <w:pPr>
              <w:pStyle w:val="Compact"/>
              <w:jc w:val="left"/>
            </w:pPr>
            <w:r>
              <w:t xml:space="preserve">Compression Ratio</w:t>
            </w:r>
          </w:p>
        </w:tc>
        <w:tc>
          <w:tcPr/>
          <w:p>
            <w:pPr>
              <w:pStyle w:val="Compact"/>
              <w:jc w:val="left"/>
            </w:pPr>
            <w:r>
              <w:t xml:space="preserve">Speedup (8K context)</w:t>
            </w:r>
          </w:p>
        </w:tc>
        <w:tc>
          <w:tcPr/>
          <w:p>
            <w:pPr>
              <w:pStyle w:val="Compact"/>
              <w:jc w:val="left"/>
            </w:pPr>
            <w:r>
              <w:t xml:space="preserve">Retraining Required</w:t>
            </w:r>
          </w:p>
        </w:tc>
        <w:tc>
          <w:tcPr/>
          <w:p>
            <w:pPr>
              <w:pStyle w:val="Compact"/>
              <w:jc w:val="left"/>
            </w:pPr>
            <w:r>
              <w:t xml:space="preserve">Applicable Models</w:t>
            </w:r>
          </w:p>
        </w:tc>
      </w:tr>
      <w:tr>
        <w:tc>
          <w:tcPr/>
          <w:p>
            <w:pPr>
              <w:pStyle w:val="Compact"/>
              <w:jc w:val="left"/>
            </w:pPr>
            <w:r>
              <w:t xml:space="preserve">MLA (native)</w:t>
            </w:r>
          </w:p>
        </w:tc>
        <w:tc>
          <w:tcPr/>
          <w:p>
            <w:pPr>
              <w:pStyle w:val="Compact"/>
              <w:jc w:val="left"/>
            </w:pPr>
            <w:r>
              <w:t xml:space="preserve">90%+</w:t>
            </w:r>
          </w:p>
        </w:tc>
        <w:tc>
          <w:tcPr/>
          <w:p>
            <w:pPr>
              <w:pStyle w:val="Compact"/>
              <w:jc w:val="left"/>
            </w:pPr>
            <w:r>
              <w:t xml:space="preserve">Baseline</w:t>
            </w:r>
          </w:p>
        </w:tc>
        <w:tc>
          <w:tcPr/>
          <w:p>
            <w:pPr>
              <w:pStyle w:val="Compact"/>
              <w:jc w:val="left"/>
            </w:pPr>
            <w:r>
              <w:t xml:space="preserve">From scratch</w:t>
            </w:r>
          </w:p>
        </w:tc>
        <w:tc>
          <w:tcPr/>
          <w:p>
            <w:pPr>
              <w:pStyle w:val="Compact"/>
              <w:jc w:val="left"/>
            </w:pPr>
            <w:r>
              <w:t xml:space="preserve">DeepSeek-V2/V3</w:t>
            </w:r>
          </w:p>
        </w:tc>
      </w:tr>
      <w:tr>
        <w:tc>
          <w:tcPr/>
          <w:p>
            <w:pPr>
              <w:pStyle w:val="Compact"/>
              <w:jc w:val="left"/>
            </w:pPr>
            <w:r>
              <w:t xml:space="preserve">TransMLA (training-free)</w:t>
            </w:r>
          </w:p>
        </w:tc>
        <w:tc>
          <w:tcPr/>
          <w:p>
            <w:pPr>
              <w:pStyle w:val="Compact"/>
              <w:jc w:val="left"/>
            </w:pPr>
            <w:r>
              <w:t xml:space="preserve">68.75%</w:t>
            </w:r>
          </w:p>
        </w:tc>
        <w:tc>
          <w:tcPr/>
          <w:p>
            <w:pPr>
              <w:pStyle w:val="Compact"/>
              <w:jc w:val="left"/>
            </w:pPr>
            <w:r>
              <w:t xml:space="preserve">3–5×</w:t>
            </w:r>
          </w:p>
        </w:tc>
        <w:tc>
          <w:tcPr/>
          <w:p>
            <w:pPr>
              <w:pStyle w:val="Compact"/>
              <w:jc w:val="left"/>
            </w:pPr>
            <w:r>
              <w:t xml:space="preserve">None</w:t>
            </w:r>
          </w:p>
        </w:tc>
        <w:tc>
          <w:tcPr/>
          <w:p>
            <w:pPr>
              <w:pStyle w:val="Compact"/>
              <w:jc w:val="left"/>
            </w:pPr>
            <w:r>
              <w:t xml:space="preserve">LLaMA, Qwen, Gemma, Mixtral</w:t>
            </w:r>
          </w:p>
        </w:tc>
      </w:tr>
      <w:tr>
        <w:tc>
          <w:tcPr/>
          <w:p>
            <w:pPr>
              <w:pStyle w:val="Compact"/>
              <w:jc w:val="left"/>
            </w:pPr>
            <w:r>
              <w:t xml:space="preserve">TransMLA (fine-tuned)</w:t>
            </w:r>
          </w:p>
        </w:tc>
        <w:tc>
          <w:tcPr/>
          <w:p>
            <w:pPr>
              <w:pStyle w:val="Compact"/>
              <w:jc w:val="left"/>
            </w:pPr>
            <w:r>
              <w:t xml:space="preserve">93%</w:t>
            </w:r>
          </w:p>
        </w:tc>
        <w:tc>
          <w:tcPr/>
          <w:p>
            <w:pPr>
              <w:pStyle w:val="Compact"/>
              <w:jc w:val="left"/>
            </w:pPr>
            <w:r>
              <w:t xml:space="preserve">10.6×</w:t>
            </w:r>
          </w:p>
        </w:tc>
        <w:tc>
          <w:tcPr/>
          <w:p>
            <w:pPr>
              <w:pStyle w:val="Compact"/>
              <w:jc w:val="left"/>
            </w:pPr>
            <w:r>
              <w:t xml:space="preserve">6B tokens</w:t>
            </w:r>
          </w:p>
        </w:tc>
        <w:tc>
          <w:tcPr/>
          <w:p>
            <w:pPr>
              <w:pStyle w:val="Compact"/>
              <w:jc w:val="left"/>
            </w:pPr>
            <w:r>
              <w:t xml:space="preserve">LLaMA, Qwen, Gemma, Mixtral</w:t>
            </w:r>
          </w:p>
        </w:tc>
      </w:tr>
      <w:tr>
        <w:tc>
          <w:tcPr/>
          <w:p>
            <w:pPr>
              <w:pStyle w:val="Compact"/>
              <w:jc w:val="left"/>
            </w:pPr>
            <w:r>
              <w:t xml:space="preserve">mHC + MLA combined</w:t>
            </w:r>
          </w:p>
        </w:tc>
        <w:tc>
          <w:tcPr/>
          <w:p>
            <w:pPr>
              <w:pStyle w:val="Compact"/>
              <w:jc w:val="left"/>
            </w:pPr>
            <w:r>
              <w:t xml:space="preserve">&gt;90% KV + stable residual</w:t>
            </w:r>
          </w:p>
        </w:tc>
        <w:tc>
          <w:tcPr/>
          <w:p>
            <w:pPr>
              <w:pStyle w:val="Compact"/>
              <w:jc w:val="left"/>
            </w:pPr>
            <w:r>
              <w:t xml:space="preserve">Not measured</w:t>
            </w:r>
          </w:p>
        </w:tc>
        <w:tc>
          <w:tcPr/>
          <w:p>
            <w:pPr>
              <w:pStyle w:val="Compact"/>
              <w:jc w:val="left"/>
            </w:pPr>
            <w:r>
              <w:t xml:space="preserve">From scratch</w:t>
            </w:r>
          </w:p>
        </w:tc>
        <w:tc>
          <w:tcPr/>
          <w:p>
            <w:pPr>
              <w:pStyle w:val="Compact"/>
              <w:jc w:val="left"/>
            </w:pPr>
            <w:r>
              <w:t xml:space="preserve">Theoretical</w:t>
            </w:r>
          </w:p>
        </w:tc>
      </w:tr>
    </w:tbl>
    <w:p>
      <w:pPr>
        <w:pStyle w:val="BodyText"/>
      </w:pPr>
      <w:r>
        <w:t xml:space="preserve">The practical implication is that local deterministic substrates can adopt MLA without abandoning the existing ecosystem of open-weight models. A 7B-parameter model converted via TransMLA achieves 10.6× speedup at 8K context length while maintaining meaningful output, and the compressed format is compatible with standard inference engines (vLLM, SGLang)</w:t>
      </w:r>
      <w:r>
        <w:t xml:space="preserve"> </w:t>
      </w:r>
      <w:fldSimple w:instr="NOTEREF _Ref_Footnote_4 \h \f">
        <w:r>
          <w:rPr>
            <w:vertAlign w:val="superscript"/>
          </w:rPr>
          <w:t>4</w:t>
        </w:r>
      </w:fldSimple>
      <w:r>
        <w:t xml:space="preserve">. This compatibility is essential for deterministic runtimes that depend on reproducible kernel behavior.</w:t>
      </w:r>
    </w:p>
    <w:bookmarkEnd w:id="64"/>
    <w:bookmarkStart w:id="65" w:name="Xdeceb97cc4379b726524d57f85e199bfbb219f5"/>
    <w:p>
      <w:pPr>
        <w:pStyle w:val="Heading3"/>
      </w:pPr>
      <w:r>
        <w:t xml:space="preserve">3.3.3 The Efficient Local Inference Stack: MLA + MoE + GRPO</w:t>
      </w:r>
    </w:p>
    <w:p>
      <w:pPr>
        <w:pStyle w:val="FirstParagraph"/>
      </w:pPr>
      <w:r>
        <w:t xml:space="preserve">When MLA is combined with Mixture-of-Experts (MoE) and Group Relative Policy Optimization (GRPO), the result is an inference stack optimized for both throughput and training efficiency on resource-constrained hardware. MLA reduces the KV cache memory footprint by 90%+, MoE activates only a subset of parameters per token (typically 8–32 experts out of 256), and GRPO eliminates the critic model required by PPO, reducing memory consumption by approximately 25%</w:t>
      </w:r>
      <w:r>
        <w:t xml:space="preserve"> </w:t>
      </w:r>
      <w:fldSimple w:instr="NOTEREF _Ref_Footnote_49 \h \f">
        <w:r>
          <w:rPr>
            <w:vertAlign w:val="superscript"/>
          </w:rPr>
          <w:t>49</w:t>
        </w:r>
      </w:fldSimple>
      <w:r>
        <w:t xml:space="preserve">.</w:t>
      </w:r>
    </w:p>
    <w:p>
      <w:pPr>
        <w:pStyle w:val="BodyText"/>
      </w:pPr>
      <w:r>
        <w:t xml:space="preserve">The GRPO objective samples</w:t>
      </w:r>
      <w:r>
        <w:t xml:space="preserve"> </w:t>
      </w:r>
      <m:oMath>
        <m:r>
          <m:t>G</m:t>
        </m:r>
      </m:oMath>
      <w:r>
        <w:t xml:space="preserve"> </w:t>
      </w:r>
      <w:r>
        <w:t xml:space="preserve">outputs per question and optimizes using clipped policy ratios with group-relative advantages. The advantage for each sample is computed by normalizing rewards within the group—subtracting the group mean and dividing by the group standard deviation—rather than estimating a value function</w:t>
      </w:r>
      <w:r>
        <w:t xml:space="preserve"> </w:t>
      </w:r>
      <w:fldSimple w:instr="NOTEREF _Ref_Footnote_49 \h \f">
        <w:r>
          <w:rPr>
            <w:vertAlign w:val="superscript"/>
          </w:rPr>
          <w:t>49</w:t>
        </w:r>
      </w:fldSimple>
      <w:r>
        <w:t xml:space="preserve">. DeepSeek-R1-Zero used GRPO with purely rule-based rewards (accuracy + format) without any neural reward model, achieving AIME 2024 pass@1 improvement from 15.6% to 77.9%</w:t>
      </w:r>
      <w:r>
        <w:t xml:space="preserve"> </w:t>
      </w:r>
      <w:fldSimple w:instr="NOTEREF _Ref_Footnote_6 \h \f">
        <w:r>
          <w:rPr>
            <w:vertAlign w:val="superscript"/>
          </w:rPr>
          <w:t>6</w:t>
        </w:r>
      </w:fldSimple>
      <w:r>
        <w:t xml:space="preserve">. The rule-based approach is particularly suitable for deterministic substrates because reward functions are verifiable, reproducible, and free from the reward hacking that plagues learned reward models</w:t>
      </w:r>
      <w:r>
        <w:t xml:space="preserve"> </w:t>
      </w:r>
      <w:fldSimple w:instr="NOTEREF _Ref_Footnote_50 \h \f">
        <w:r>
          <w:rPr>
            <w:vertAlign w:val="superscript"/>
          </w:rPr>
          <w:t>50</w:t>
        </w:r>
      </w:fldSimple>
      <w:r>
        <w:t xml:space="preserve">.</w:t>
      </w:r>
    </w:p>
    <w:p>
      <w:pPr>
        <w:pStyle w:val="BodyText"/>
      </w:pPr>
      <w:r>
        <w:t xml:space="preserve">For local deployment on Apple Silicon with 128GB Unified Memory Architecture (UMA), a 7B model with MLA compression and INT8 quantization for inference requires approximately 7–14GB for model weights and 1–2GB for the compressed KV cache at 128K context. The policy and reference models for GRPO training (14B parameters total in 4-bit) fit within the remaining memory. The primary bottleneck is generation throughput for creating rollouts, not memory capacity</w:t>
      </w:r>
      <w:r>
        <w:t xml:space="preserve"> </w:t>
      </w:r>
      <w:r>
        <w:rPr>
          <w:vertAlign w:val="superscript"/>
        </w:rPr>
        <w:footnoteReference w:id="58"/>
      </w:r>
      <w:r>
        <w:t xml:space="preserve">.</w:t>
      </w:r>
    </w:p>
    <w:p>
      <w:pPr>
        <w:pStyle w:val="BodyText"/>
      </w:pPr>
      <w:r>
        <w:t xml:space="preserve">The stack creates a virtuous cycle: MLA enables longer context for training data, GRPO efficiently distills reasoning patterns from that data without a critic model, and MoE provides parameter capacity without proportional activation cost. For deterministic substrates, the fixed iteration count of Sinkhorn in mHC (20 steps), the deterministic routing of MoE (top-</w:t>
      </w:r>
      <m:oMath>
        <m:r>
          <m:t>k</m:t>
        </m:r>
      </m:oMath>
      <w:r>
        <w:t xml:space="preserve"> </w:t>
      </w:r>
      <w:r>
        <w:t xml:space="preserve">expert selection), and the reproducible reward computation of GRPO (rule-based, no stochastic critic) all contribute to byte-identical training trajectories when seeded appropriately.</w:t>
      </w:r>
    </w:p>
    <w:p>
      <w:r>
        <w:pict>
          <v:rect style="width:0;height:1.5pt" o:hralign="center" o:hrstd="t" o:hr="t"/>
        </w:pict>
      </w:r>
    </w:p>
    <w:p>
      <w:pPr>
        <w:pStyle w:val="FirstParagraph"/>
      </w:pPr>
      <w:r>
        <w:t xml:space="preserve">The manifold constraint framework and the compression framework are not mutually exclusive; they address different pathologies in the transformer stack. mHC stabilizes the</w:t>
      </w:r>
      <w:r>
        <w:t xml:space="preserve"> </w:t>
      </w:r>
      <w:r>
        <w:rPr>
          <w:iCs/>
          <w:i/>
        </w:rPr>
        <w:t xml:space="preserve">depth</w:t>
      </w:r>
      <w:r>
        <w:t xml:space="preserve"> </w:t>
      </w:r>
      <w:r>
        <w:t xml:space="preserve">dimension by bounding signal amplification through constrained residual mappings. MLA compresses the</w:t>
      </w:r>
      <w:r>
        <w:t xml:space="preserve"> </w:t>
      </w:r>
      <w:r>
        <w:rPr>
          <w:iCs/>
          <w:i/>
        </w:rPr>
        <w:t xml:space="preserve">width</w:t>
      </w:r>
      <w:r>
        <w:t xml:space="preserve"> </w:t>
      </w:r>
      <w:r>
        <w:t xml:space="preserve">dimension by reducing KV cache state. BRL-Attention and ManifoldFormer explore alternative geometric priors for specialized data types. For production deterministic substrates, the priority should be: (1) MLA for immediate KV cache reduction on existing models via TransMLA, (2) mHC for new training runs where the 6.7% overhead is acceptable in exchange for depth-independent stability guarantees, and (3) condition number monitoring of Q, K, V matrices as a runtime diagnostic for attention health</w:t>
      </w:r>
      <w:r>
        <w:t xml:space="preserve"> </w:t>
      </w:r>
      <w:fldSimple w:instr="NOTEREF _Ref_Footnote_27 \h \f">
        <w:r>
          <w:rPr>
            <w:vertAlign w:val="superscript"/>
          </w:rPr>
          <w:t>27</w:t>
        </w:r>
      </w:fldSimple>
      <w:r>
        <w:t xml:space="preserve">.</w:t>
      </w:r>
    </w:p>
    <w:p>
      <w:r>
        <w:pict>
          <v:rect style="width:0;height:1.5pt" o:hralign="center" o:hrstd="t" o:hr="t"/>
        </w:pict>
      </w:r>
    </w:p>
    <w:bookmarkEnd w:id="65"/>
    <w:bookmarkEnd w:id="66"/>
    <w:bookmarkStart w:id="83" w:name="X5fb0c7bc4cc2cc23e7ea4224c559df95e517587"/>
    <w:p>
      <w:pPr>
        <w:pStyle w:val="Heading2"/>
      </w:pPr>
      <w:r>
        <w:t xml:space="preserve">4. Memory Beyond Context Windows: Attractors, Oscillators, and Hypervectors</w:t>
      </w:r>
    </w:p>
    <w:p>
      <w:pPr>
        <w:pStyle w:val="FirstParagraph"/>
      </w:pPr>
      <w:r>
        <w:t xml:space="preserve">The transformer Key-Value (KV) cache is the dominant memory substrate in large language models, yet its scaling properties impose a hard ceiling on context length. For a model with</w:t>
      </w:r>
      <w:r>
        <w:t xml:space="preserve"> </w:t>
      </w:r>
      <m:oMath>
        <m:r>
          <m:t>h</m:t>
        </m:r>
      </m:oMath>
      <w:r>
        <w:t xml:space="preserve"> </w:t>
      </w:r>
      <w:r>
        <w:t xml:space="preserve">attention heads, hidden dimension</w:t>
      </w:r>
      <w:r>
        <w:t xml:space="preserve"> </w:t>
      </w:r>
      <m:oMath>
        <m:r>
          <m:t>d</m:t>
        </m:r>
      </m:oMath>
      <w:r>
        <w:t xml:space="preserve">, and context length</w:t>
      </w:r>
      <w:r>
        <w:t xml:space="preserve"> </w:t>
      </w:r>
      <m:oMath>
        <m:r>
          <m:t>L</m:t>
        </m:r>
      </m:oMath>
      <w:r>
        <w:t xml:space="preserve">, the KV cache consumes</w:t>
      </w:r>
      <w:r>
        <w:t xml:space="preserve"> </w:t>
      </w:r>
      <m:oMath>
        <m:r>
          <m:t>2</m:t>
        </m:r>
        <m:r>
          <m:rPr>
            <m:sty m:val="p"/>
          </m:rPr>
          <m:t>⋅</m:t>
        </m:r>
        <m:r>
          <m:t>h</m:t>
        </m:r>
        <m:r>
          <m:rPr>
            <m:sty m:val="p"/>
          </m:rPr>
          <m:t>⋅</m:t>
        </m:r>
        <m:r>
          <m:t>d</m:t>
        </m:r>
        <m:r>
          <m:rPr>
            <m:sty m:val="p"/>
          </m:rPr>
          <m:t>⋅</m:t>
        </m:r>
        <m:r>
          <m:t>L</m:t>
        </m:r>
        <m:r>
          <m:rPr>
            <m:sty m:val="p"/>
          </m:rPr>
          <m:t>⋅</m:t>
        </m:r>
        <m:r>
          <m:rPr>
            <m:nor/>
            <m:sty m:val="p"/>
          </m:rPr>
          <m:t>bytes_per_param</m:t>
        </m:r>
      </m:oMath>
      <w:r>
        <w:t xml:space="preserve"> </w:t>
      </w:r>
      <w:r>
        <w:t xml:space="preserve">of memory — linear in</w:t>
      </w:r>
      <w:r>
        <w:t xml:space="preserve"> </w:t>
      </w:r>
      <m:oMath>
        <m:r>
          <m:t>L</m:t>
        </m:r>
      </m:oMath>
      <w:r>
        <w:t xml:space="preserve"> </w:t>
      </w:r>
      <w:r>
        <w:t xml:space="preserve">and quadratic in effective compute during the prefill phase. At 128K tokens, a 70B-parameter Transformer drops from 59 concurrent users to approximately one on an 80GB H100 accelerator. The question this chapter addresses is not whether transformers need supplementary memory architectures — they clearly do — but which alternatives are theoretically sound, empirically validated, and architecturally compatible with a deterministic substrate.</w:t>
      </w:r>
    </w:p>
    <w:p>
      <w:pPr>
        <w:pStyle w:val="BodyText"/>
      </w:pPr>
      <w:r>
        <w:t xml:space="preserve">Three distinct memory technologies have matured to the point where they can be stacked into a coherent hierarchy: Multi-Head Latent Attention (MLA) compression for working memory, Hyperdimensional Computing (HDC) for associative memory, and Kuramoto oscillator / Hopfield attractor networks for deep memory. Each occupies a different position in the latency-capacity tradeoff space. No single technology replaces the KV cache, but their combination creates a memory system that mirrors biological organization — working memory, hippocampal indexing, and cortical consolidation — without replicating biological constraints.</w:t>
      </w:r>
    </w:p>
    <w:bookmarkStart w:id="70" w:name="the-three-layer-memory-hierarchy"/>
    <w:p>
      <w:pPr>
        <w:pStyle w:val="Heading3"/>
      </w:pPr>
      <w:r>
        <w:t xml:space="preserve">4.1 The Three-Layer Memory Hierarchy</w:t>
      </w:r>
    </w:p>
    <w:bookmarkStart w:id="67" w:name="Xd84ffc3a4be4e77308f7ea6bd554a8d522fa628"/>
    <w:p>
      <w:pPr>
        <w:pStyle w:val="Heading4"/>
      </w:pPr>
      <w:r>
        <w:t xml:space="preserve">4.1.1 Layer 1 — Working Memory: MLA-Compressed KV Cache</w:t>
      </w:r>
    </w:p>
    <w:p>
      <w:pPr>
        <w:pStyle w:val="FirstParagraph"/>
      </w:pPr>
      <w:r>
        <w:t xml:space="preserve">The immediate context of a conversation or reasoning chain must be accessible with sub-millisecond latency. MLA compression, introduced in the DeepSeek-V2 architecture, addresses this by projecting the KV representation into a low-rank latent space, reducing cache size by 90% or more while preserving attention quality. The constant-size latent vector serves as Layer 1 of the hierarchy: bounded, fast, and deterministic in retrieval. The limitation is equally clear — it stores only the current interaction context, with no persistent cross-session memory. For a deterministic substrate, the MLA cache provides a reproducible working set whose size is independent of sequence length once compressed, eliminating the primary source of non-determinism in memory allocation: variable-size buffer growth.</w:t>
      </w:r>
    </w:p>
    <w:bookmarkEnd w:id="67"/>
    <w:bookmarkStart w:id="68" w:name="X744d5fc9b1a23d4087a781389b3d2e6fa405e96"/>
    <w:p>
      <w:pPr>
        <w:pStyle w:val="Heading4"/>
      </w:pPr>
      <w:r>
        <w:t xml:space="preserve">4.1.2 Layer 2 — Associative Memory: HDC Hypervectors</w:t>
      </w:r>
    </w:p>
    <w:p>
      <w:pPr>
        <w:pStyle w:val="FirstParagraph"/>
      </w:pPr>
      <w:r>
        <w:t xml:space="preserve">For knowledge graph facts, entity relations, and episodic associations that must survive across sessions, HDC provides a fixed-width vector representation where information is encoded via three algebraic operations: bundling (superposition through element-wise addition), binding (association through element-wise multiplication or circular convolution), and permutation (order encoding through cyclic shift). The capacity of HDC scales linearly with dimension: analytical and quantitative studies show that 1000-dimensional vectors achieve 99% accuracy in set membership and dictionary unbinding with approximately 20 bundled items</w:t>
      </w:r>
      <w:r>
        <w:t xml:space="preserve"> </w:t>
      </w:r>
      <w:fldSimple w:instr="NOTEREF _Ref_Footnote_58 \h \f">
        <w:r>
          <w:rPr>
            <w:vertAlign w:val="superscript"/>
          </w:rPr>
          <w:t>58</w:t>
        </w:r>
      </w:fldSimple>
      <w:r>
        <w:t xml:space="preserve">. At 10,000 dimensions — a modest allocation on modern hardware — this yields roughly 200 reliably encoded associations. HDC offers single-pass learning (no gradient descent), inherent robustness to bit-flip noise (up to</w:t>
      </w:r>
      <w:r>
        <w:t xml:space="preserve"> </w:t>
      </w:r>
      <m:oMath>
        <m:r>
          <m:t>D</m:t>
        </m:r>
        <m:r>
          <m:rPr>
            <m:sty m:val="p"/>
          </m:rPr>
          <m:t>/</m:t>
        </m:r>
        <m:r>
          <m:t>3</m:t>
        </m:r>
      </m:oMath>
      <w:r>
        <w:t xml:space="preserve"> </w:t>
      </w:r>
      <w:r>
        <w:t xml:space="preserve">flips tolerated for binary vectors), and deterministic encoding when random seeds are fixed. The latency profile is approximately 10 microseconds per similarity query on CPU, with FPGA implementations achieving sub-millisecond inference at 1300× CPU speedup.</w:t>
      </w:r>
    </w:p>
    <w:bookmarkEnd w:id="68"/>
    <w:bookmarkStart w:id="69" w:name="X2492cfce5a2ddcc42e80ad09a9a3edd1d75ccba"/>
    <w:p>
      <w:pPr>
        <w:pStyle w:val="Heading4"/>
      </w:pPr>
      <w:r>
        <w:t xml:space="preserve">4.1.3 Layer 3 — Deep Memory: Kuramoto and Hopfield Attractor Networks</w:t>
      </w:r>
    </w:p>
    <w:p>
      <w:pPr>
        <w:pStyle w:val="FirstParagraph"/>
      </w:pPr>
      <w:r>
        <w:t xml:space="preserve">For persistent user patterns, learned heuristics, and deep semantic associations that require exponential capacity, attractor networks provide a fundamentally different scaling law. Modern Hopfield networks with continuous states and exponential interaction functions can store exponentially many patterns in the dimension of the associative space, retrieving with one update and exponentially small retrieval errors</w:t>
      </w:r>
      <w:r>
        <w:t xml:space="preserve"> </w:t>
      </w:r>
      <w:r>
        <w:rPr>
          <w:vertAlign w:val="superscript"/>
        </w:rPr>
        <w:footnoteReference w:id="59"/>
      </w:r>
      <w:r>
        <w:t xml:space="preserve">. Kuramoto oscillator networks on honeycomb topologies achieve a similarly exponential scaling: a network of</w:t>
      </w:r>
      <w:r>
        <w:t xml:space="preserve"> </w:t>
      </w:r>
      <m:oMath>
        <m:r>
          <m:t>N</m:t>
        </m:r>
      </m:oMath>
      <w:r>
        <w:t xml:space="preserve"> </w:t>
      </w:r>
      <w:r>
        <w:t xml:space="preserve">oscillators storing</w:t>
      </w:r>
      <w:r>
        <w:t xml:space="preserve"> </w:t>
      </w:r>
      <m:oMath>
        <m:sSup>
          <m:e>
            <m:d>
              <m:dPr>
                <m:begChr m:val="("/>
                <m:endChr m:val=")"/>
                <m:sepChr m:val=""/>
                <m:grow/>
              </m:dPr>
              <m:e>
                <m:r>
                  <m:t>2</m:t>
                </m:r>
                <m:r>
                  <m:rPr>
                    <m:sty m:val="p"/>
                  </m:rPr>
                  <m:t>⌈</m:t>
                </m:r>
                <m:sSub>
                  <m:e>
                    <m:r>
                      <m:t>n</m:t>
                    </m:r>
                  </m:e>
                  <m:sub>
                    <m:r>
                      <m:t>c</m:t>
                    </m:r>
                  </m:sub>
                </m:sSub>
                <m:r>
                  <m:rPr>
                    <m:sty m:val="p"/>
                  </m:rPr>
                  <m:t>/</m:t>
                </m:r>
                <m:r>
                  <m:t>4</m:t>
                </m:r>
                <m:r>
                  <m:rPr>
                    <m:sty m:val="p"/>
                  </m:rPr>
                  <m:t>⌉</m:t>
                </m:r>
                <m:r>
                  <m:rPr>
                    <m:sty m:val="p"/>
                  </m:rPr>
                  <m:t>−</m:t>
                </m:r>
                <m:r>
                  <m:t>1</m:t>
                </m:r>
              </m:e>
            </m:d>
          </m:e>
          <m:sup>
            <m:r>
              <m:t>m</m:t>
            </m:r>
          </m:sup>
        </m:sSup>
      </m:oMath>
      <w:r>
        <w:t xml:space="preserve"> </w:t>
      </w:r>
      <w:r>
        <w:t xml:space="preserve">distinct stable configurations, where</w:t>
      </w:r>
      <w:r>
        <w:t xml:space="preserve"> </w:t>
      </w:r>
      <m:oMath>
        <m:r>
          <m:t>m</m:t>
        </m:r>
      </m:oMath>
      <w:r>
        <w:t xml:space="preserve"> </w:t>
      </w:r>
      <w:r>
        <w:t xml:space="preserve">cycles each contain</w:t>
      </w:r>
      <w:r>
        <w:t xml:space="preserve"> </w:t>
      </w:r>
      <m:oMath>
        <m:sSub>
          <m:e>
            <m:r>
              <m:t>n</m:t>
            </m:r>
          </m:e>
          <m:sub>
            <m:r>
              <m:t>c</m:t>
            </m:r>
          </m:sub>
        </m:sSub>
      </m:oMath>
      <w:r>
        <w:t xml:space="preserve"> </w:t>
      </w:r>
      <w:r>
        <w:t xml:space="preserve">oscillators</w:t>
      </w:r>
      <w:r>
        <w:t xml:space="preserve"> </w:t>
      </w:r>
      <w:fldSimple w:instr="NOTEREF _Ref_Footnote_17 \h \f">
        <w:r>
          <w:rPr>
            <w:vertAlign w:val="superscript"/>
          </w:rPr>
          <w:t>17</w:t>
        </w:r>
      </w:fldSimple>
      <w:r>
        <w:t xml:space="preserve">. These networks operate at the millisecond scale in simulation, with basin sizes guaranteed independent of network scale under the honeycomb topology constraint.</w:t>
      </w:r>
    </w:p>
    <w:p>
      <w:pPr>
        <w:pStyle w:val="BodyText"/>
      </w:pPr>
      <w:r>
        <w:t xml:space="preserve">The stacking of these layers is not proposed in any single research paper; it emerges from cross-dimensional analysis of their complementary scaling laws and latency profiles.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Capacity Scaling</w:t>
            </w:r>
          </w:p>
        </w:tc>
        <w:tc>
          <w:tcPr/>
          <w:p>
            <w:pPr>
              <w:pStyle w:val="Compact"/>
              <w:jc w:val="left"/>
            </w:pPr>
            <w:r>
              <w:t xml:space="preserve">Latency</w:t>
            </w:r>
          </w:p>
        </w:tc>
        <w:tc>
          <w:tcPr/>
          <w:p>
            <w:pPr>
              <w:pStyle w:val="Compact"/>
              <w:jc w:val="left"/>
            </w:pPr>
            <w:r>
              <w:t xml:space="preserve">Use Case</w:t>
            </w:r>
          </w:p>
        </w:tc>
        <w:tc>
          <w:tcPr/>
          <w:p>
            <w:pPr>
              <w:pStyle w:val="Compact"/>
              <w:jc w:val="left"/>
            </w:pPr>
            <w:r>
              <w:t xml:space="preserve">Key Constraint</w:t>
            </w:r>
          </w:p>
        </w:tc>
      </w:tr>
      <w:tr>
        <w:tc>
          <w:tcPr/>
          <w:p>
            <w:pPr>
              <w:pStyle w:val="Compact"/>
              <w:jc w:val="left"/>
            </w:pPr>
            <w:r>
              <w:t xml:space="preserve">L1: Working Memory</w:t>
            </w:r>
          </w:p>
        </w:tc>
        <w:tc>
          <w:tcPr/>
          <w:p>
            <w:pPr>
              <w:pStyle w:val="Compact"/>
              <w:jc w:val="left"/>
            </w:pPr>
            <w:r>
              <w:t xml:space="preserve">MLA-compressed KV</w:t>
            </w:r>
          </w:p>
        </w:tc>
        <w:tc>
          <w:tcPr/>
          <w:p>
            <w:pPr>
              <w:pStyle w:val="Compact"/>
              <w:jc w:val="left"/>
            </w:pPr>
            <w:r>
              <w:t xml:space="preserve">Constant (latent dimension)</w:t>
            </w:r>
          </w:p>
        </w:tc>
        <w:tc>
          <w:tcPr/>
          <w:p>
            <w:pPr>
              <w:pStyle w:val="Compact"/>
              <w:jc w:val="left"/>
            </w:pPr>
            <w:r>
              <w:t xml:space="preserve">&lt;1 ms</w:t>
            </w:r>
          </w:p>
        </w:tc>
        <w:tc>
          <w:tcPr/>
          <w:p>
            <w:pPr>
              <w:pStyle w:val="Compact"/>
              <w:jc w:val="left"/>
            </w:pPr>
            <w:r>
              <w:t xml:space="preserve">Current conversation, reasoning chain</w:t>
            </w:r>
          </w:p>
        </w:tc>
        <w:tc>
          <w:tcPr/>
          <w:p>
            <w:pPr>
              <w:pStyle w:val="Compact"/>
              <w:jc w:val="left"/>
            </w:pPr>
            <w:r>
              <w:t xml:space="preserve">No persistence across sessions</w:t>
            </w:r>
          </w:p>
        </w:tc>
      </w:tr>
      <w:tr>
        <w:tc>
          <w:tcPr/>
          <w:p>
            <w:pPr>
              <w:pStyle w:val="Compact"/>
              <w:jc w:val="left"/>
            </w:pPr>
            <w:r>
              <w:t xml:space="preserve">L2: Associative Memory</w:t>
            </w:r>
          </w:p>
        </w:tc>
        <w:tc>
          <w:tcPr/>
          <w:p>
            <w:pPr>
              <w:pStyle w:val="Compact"/>
              <w:jc w:val="left"/>
            </w:pPr>
            <w:r>
              <w:t xml:space="preserve">HDC hypervectors</w:t>
            </w:r>
          </w:p>
        </w:tc>
        <w:tc>
          <w:tcPr/>
          <w:p>
            <w:pPr>
              <w:pStyle w:val="Compact"/>
              <w:jc w:val="left"/>
            </w:pPr>
            <w:r>
              <w:t xml:space="preserve">Linear (~20 items / 1000 dims)</w:t>
            </w:r>
            <w:r>
              <w:t xml:space="preserve"> </w:t>
            </w:r>
            <w:fldSimple w:instr="NOTEREF _Ref_Footnote_58 \h \f">
              <w:r>
                <w:rPr>
                  <w:vertAlign w:val="superscript"/>
                </w:rPr>
                <w:t>58</w:t>
              </w:r>
            </w:fldSimple>
          </w:p>
        </w:tc>
        <w:tc>
          <w:tcPr/>
          <w:p>
            <w:pPr>
              <w:pStyle w:val="Compact"/>
              <w:jc w:val="left"/>
            </w:pPr>
            <w:r>
              <w:t xml:space="preserve">~10 µs</w:t>
            </w:r>
          </w:p>
        </w:tc>
        <w:tc>
          <w:tcPr/>
          <w:p>
            <w:pPr>
              <w:pStyle w:val="Compact"/>
              <w:jc w:val="left"/>
            </w:pPr>
            <w:r>
              <w:t xml:space="preserve">Knowledge graph facts, entity relations</w:t>
            </w:r>
          </w:p>
        </w:tc>
        <w:tc>
          <w:tcPr/>
          <w:p>
            <w:pPr>
              <w:pStyle w:val="Compact"/>
              <w:jc w:val="left"/>
            </w:pPr>
            <w:r>
              <w:t xml:space="preserve">Finite bundling capacity; graceful degradation</w:t>
            </w:r>
          </w:p>
        </w:tc>
      </w:tr>
      <w:tr>
        <w:tc>
          <w:tcPr/>
          <w:p>
            <w:pPr>
              <w:pStyle w:val="Compact"/>
              <w:jc w:val="left"/>
            </w:pPr>
            <w:r>
              <w:t xml:space="preserve">L3: Deep Memory</w:t>
            </w:r>
          </w:p>
        </w:tc>
        <w:tc>
          <w:tcPr/>
          <w:p>
            <w:pPr>
              <w:pStyle w:val="Compact"/>
              <w:jc w:val="left"/>
            </w:pPr>
            <w:r>
              <w:t xml:space="preserve">Kuramoto/Hopfield</w:t>
            </w:r>
          </w:p>
        </w:tc>
        <w:tc>
          <w:tcPr/>
          <w:p>
            <w:pPr>
              <w:pStyle w:val="Compact"/>
              <w:jc w:val="left"/>
            </w:pPr>
            <w:r>
              <w:t xml:space="preserve">Exponential in dimension</w:t>
            </w:r>
            <w:r>
              <w:t xml:space="preserve"> </w:t>
            </w:r>
            <w:fldSimple w:instr="NOTEREF _Ref_Footnote_17 \h \f">
              <w:r>
                <w:rPr>
                  <w:vertAlign w:val="superscript"/>
                </w:rPr>
                <w:t>17</w:t>
              </w:r>
            </w:fldSimple>
            <w:r>
              <w:t xml:space="preserve"> </w:t>
            </w:r>
            <w:fldSimple w:instr="NOTEREF _Ref_Footnote_59 \h \f">
              <w:r>
                <w:rPr>
                  <w:vertAlign w:val="superscript"/>
                </w:rPr>
                <w:t>59</w:t>
              </w:r>
            </w:fldSimple>
          </w:p>
        </w:tc>
        <w:tc>
          <w:tcPr/>
          <w:p>
            <w:pPr>
              <w:pStyle w:val="Compact"/>
              <w:jc w:val="left"/>
            </w:pPr>
            <w:r>
              <w:t xml:space="preserve">~1 ms</w:t>
            </w:r>
          </w:p>
        </w:tc>
        <w:tc>
          <w:tcPr/>
          <w:p>
            <w:pPr>
              <w:pStyle w:val="Compact"/>
              <w:jc w:val="left"/>
            </w:pPr>
            <w:r>
              <w:t xml:space="preserve">Persistent patterns, learned heuristics</w:t>
            </w:r>
          </w:p>
        </w:tc>
        <w:tc>
          <w:tcPr/>
          <w:p>
            <w:pPr>
              <w:pStyle w:val="Compact"/>
              <w:jc w:val="left"/>
            </w:pPr>
            <w:r>
              <w:t xml:space="preserve">Requires specialized topology or energy function</w:t>
            </w:r>
          </w:p>
        </w:tc>
      </w:tr>
    </w:tbl>
    <w:p>
      <w:pPr>
        <w:pStyle w:val="BodyText"/>
      </w:pPr>
      <w:r>
        <w:t xml:space="preserve">The critical distinction between these layers lies not only in their capacity scaling but in their retrieval semantics. The MLA cache retrieves by exact position — token</w:t>
      </w:r>
      <w:r>
        <w:t xml:space="preserve"> </w:t>
      </w:r>
      <m:oMath>
        <m:r>
          <m:t>i</m:t>
        </m:r>
      </m:oMath>
      <w:r>
        <w:t xml:space="preserve"> </w:t>
      </w:r>
      <w:r>
        <w:t xml:space="preserve">attends to token</w:t>
      </w:r>
      <w:r>
        <w:t xml:space="preserve"> </w:t>
      </w:r>
      <m:oMath>
        <m:r>
          <m:t>j</m:t>
        </m:r>
      </m:oMath>
      <w:r>
        <w:t xml:space="preserve"> </w:t>
      </w:r>
      <w:r>
        <w:t xml:space="preserve">via explicit index. HDC retrieves by similarity — a noisy or partial query converges to the nearest stored hypervector via cosine distance. Attractor networks retrieve by energy minimization — the system state flows downhill on an energy landscape toward the nearest basin, a process that is both content-addressed and noise-tolerant. This progression from indexed to similarity-based to energy-based retrieval mirrors the transition from explicit addressing to associative recall in biological memory systems, but the correspondence should not be overstated: biological hippocampal indexing involves theta-gamma phase coupling and dendritic computation that has no direct silicon equivalent</w:t>
      </w:r>
      <w:r>
        <w:t xml:space="preserve"> </w:t>
      </w:r>
      <w:r>
        <w:rPr>
          <w:vertAlign w:val="superscript"/>
        </w:rPr>
        <w:footnoteReference w:id="60"/>
      </w:r>
      <w:r>
        <w:t xml:space="preserve">.</w:t>
      </w:r>
    </w:p>
    <w:bookmarkEnd w:id="69"/>
    <w:bookmarkEnd w:id="70"/>
    <w:bookmarkStart w:id="74" w:name="kuramoto-and-oscillator-computing"/>
    <w:p>
      <w:pPr>
        <w:pStyle w:val="Heading3"/>
      </w:pPr>
      <w:r>
        <w:t xml:space="preserve">4.2 Kuramoto and Oscillator Computing</w:t>
      </w:r>
    </w:p>
    <w:bookmarkStart w:id="71" w:name="X64e142bb384163d0fb321d6f017e1cf20fd79ba"/>
    <w:p>
      <w:pPr>
        <w:pStyle w:val="Heading4"/>
      </w:pPr>
      <w:r>
        <w:t xml:space="preserve">4.2.1 Honeycomb Kuramoto Networks and Exponential Capacity</w:t>
      </w:r>
    </w:p>
    <w:p>
      <w:pPr>
        <w:pStyle w:val="FirstParagraph"/>
      </w:pPr>
      <w:r>
        <w:t xml:space="preserve">The classical Kuramoto model describes weakly coupled phase oscillators, where each oscillator’s phase</w:t>
      </w:r>
      <w:r>
        <w:t xml:space="preserve"> </w:t>
      </w:r>
      <m:oMath>
        <m:sSub>
          <m:e>
            <m:r>
              <m:t>θ</m:t>
            </m:r>
          </m:e>
          <m:sub>
            <m:r>
              <m:t>i</m:t>
            </m:r>
          </m:sub>
        </m:sSub>
      </m:oMath>
      <w:r>
        <w:t xml:space="preserve"> </w:t>
      </w:r>
      <w:r>
        <w:t xml:space="preserve">evolves according to its natural frequency and the phase differences of its neighbors, expressed as</w:t>
      </w:r>
      <w:r>
        <w:t xml:space="preserve"> </w:t>
      </w:r>
      <m:oMath>
        <m:sSub>
          <m:e>
            <m:acc>
              <m:accPr>
                <m:chr m:val="̇"/>
              </m:accPr>
              <m:e>
                <m:r>
                  <m:t>θ</m:t>
                </m:r>
              </m:e>
            </m:acc>
          </m:e>
          <m:sub>
            <m:r>
              <m:t>i</m:t>
            </m:r>
          </m:sub>
        </m:sSub>
        <m:r>
          <m:rPr>
            <m:sty m:val="p"/>
          </m:rPr>
          <m:t>=</m:t>
        </m:r>
        <m:sSub>
          <m:e>
            <m:r>
              <m:t>ω</m:t>
            </m:r>
          </m:e>
          <m:sub>
            <m:r>
              <m:t>i</m:t>
            </m:r>
          </m:sub>
        </m:sSub>
        <m:r>
          <m:rPr>
            <m:sty m:val="p"/>
          </m:rPr>
          <m:t>+</m:t>
        </m:r>
        <m:nary>
          <m:naryPr>
            <m:chr m:val="∑"/>
            <m:limLoc m:val="undOvr"/>
            <m:subHide m:val="0"/>
            <m:supHide m:val="0"/>
          </m:naryPr>
          <m:sub>
            <m:r>
              <m:t>j</m:t>
            </m:r>
            <m:r>
              <m:rPr>
                <m:sty m:val="p"/>
              </m:rPr>
              <m:t>=</m:t>
            </m:r>
            <m:r>
              <m:t>1</m:t>
            </m:r>
          </m:sub>
          <m:sup>
            <m:r>
              <m:t>n</m:t>
            </m:r>
          </m:sup>
          <m:e>
            <m:sSub>
              <m:e>
                <m:r>
                  <m:t>Γ</m:t>
                </m:r>
              </m:e>
              <m:sub>
                <m:r>
                  <m:t>i</m:t>
                </m:r>
                <m:r>
                  <m:t>j</m:t>
                </m:r>
              </m:sub>
            </m:sSub>
          </m:e>
        </m:nary>
        <m:r>
          <m:rPr>
            <m:sty m:val="p"/>
          </m:rPr>
          <m:t>sin</m:t>
        </m:r>
        <m:d>
          <m:dPr>
            <m:begChr m:val="("/>
            <m:endChr m:val=")"/>
            <m:sepChr m:val=""/>
            <m:grow/>
          </m:dPr>
          <m:e>
            <m:sSub>
              <m:e>
                <m:r>
                  <m:t>θ</m:t>
                </m:r>
              </m:e>
              <m:sub>
                <m:r>
                  <m:t>j</m:t>
                </m:r>
              </m:sub>
            </m:sSub>
            <m:r>
              <m:rPr>
                <m:sty m:val="p"/>
              </m:rPr>
              <m:t>−</m:t>
            </m:r>
            <m:sSub>
              <m:e>
                <m:r>
                  <m:t>θ</m:t>
                </m:r>
              </m:e>
              <m:sub>
                <m:r>
                  <m:t>i</m:t>
                </m:r>
              </m:sub>
            </m:sSub>
          </m:e>
        </m:d>
      </m:oMath>
      <w:r>
        <w:t xml:space="preserve">. Early work on Kuramoto associative memory showed that error-free retrieval states are</w:t>
      </w:r>
      <w:r>
        <w:t xml:space="preserve"> </w:t>
      </w:r>
      <w:r>
        <w:t xml:space="preserve">“</w:t>
      </w:r>
      <w:r>
        <w:t xml:space="preserve">typically unstable regardless of the network size</w:t>
      </w:r>
      <w:r>
        <w:t xml:space="preserve">”</w:t>
      </w:r>
      <w:r>
        <w:t xml:space="preserve"> </w:t>
      </w:r>
      <w:r>
        <w:t xml:space="preserve">without specific topological remedies</w:t>
      </w:r>
      <w:r>
        <w:t xml:space="preserve"> </w:t>
      </w:r>
      <w:fldSimple w:instr="NOTEREF _Ref_Footnote_25 \h \f">
        <w:r>
          <w:rPr>
            <w:vertAlign w:val="superscript"/>
          </w:rPr>
          <w:t>25</w:t>
        </w:r>
      </w:fldSimple>
      <w:r>
        <w:t xml:space="preserve">. The capacity of such networks with second-order coupling modes scales as</w:t>
      </w:r>
      <w:r>
        <w:t xml:space="preserve"> </w:t>
      </w:r>
      <m:oMath>
        <m:r>
          <m:t>O</m:t>
        </m:r>
        <m:d>
          <m:dPr>
            <m:begChr m:val="("/>
            <m:endChr m:val=")"/>
            <m:sepChr m:val=""/>
            <m:grow/>
          </m:dPr>
          <m:e>
            <m:r>
              <m:t>1</m:t>
            </m:r>
            <m:r>
              <m:rPr>
                <m:sty m:val="p"/>
              </m:rPr>
              <m:t>/</m:t>
            </m:r>
            <m:r>
              <m:rPr>
                <m:sty m:val="p"/>
              </m:rPr>
              <m:t>log</m:t>
            </m:r>
            <m:r>
              <m:t>n</m:t>
            </m:r>
          </m:e>
        </m:d>
      </m:oMath>
      <w:r>
        <w:t xml:space="preserve"> </w:t>
      </w:r>
      <w:r>
        <w:t xml:space="preserve">per neuron — sublinear and therefore impractical for large-scale memory. The breakthrough comes from topology, not from increasing coupling strength.</w:t>
      </w:r>
    </w:p>
    <w:p>
      <w:pPr>
        <w:pStyle w:val="BodyText"/>
      </w:pPr>
      <w:r>
        <w:t xml:space="preserve">Ogranovich et al. proved that a network of</w:t>
      </w:r>
      <w:r>
        <w:t xml:space="preserve"> </w:t>
      </w:r>
      <m:oMath>
        <m:r>
          <m:t>N</m:t>
        </m:r>
      </m:oMath>
      <w:r>
        <w:t xml:space="preserve"> </w:t>
      </w:r>
      <w:r>
        <w:t xml:space="preserve">Kuramoto oscillators on a honeycomb graph achieves exponential memory capacity</w:t>
      </w:r>
      <w:r>
        <w:t xml:space="preserve"> </w:t>
      </w:r>
      <w:fldSimple w:instr="NOTEREF _Ref_Footnote_17 \h \f">
        <w:r>
          <w:rPr>
            <w:vertAlign w:val="superscript"/>
          </w:rPr>
          <w:t>17</w:t>
        </w:r>
      </w:fldSimple>
      <w:r>
        <w:t xml:space="preserve">. The governing formula for the number of distinct stable phase-locked configurations is:</w:t>
      </w:r>
    </w:p>
    <w:p>
      <w:pPr>
        <w:pStyle w:val="BodyText"/>
      </w:pPr>
      <m:oMathPara>
        <m:oMathParaPr>
          <m:jc m:val="center"/>
        </m:oMathParaPr>
        <m:oMath>
          <m:sSub>
            <m:e>
              <m:r>
                <m:t>C</m:t>
              </m:r>
            </m:e>
            <m:sub>
              <m:r>
                <m:rPr>
                  <m:nor/>
                  <m:sty m:val="p"/>
                </m:rPr>
                <m:t>honeycomb</m:t>
              </m:r>
            </m:sub>
          </m:sSub>
          <m:r>
            <m:rPr>
              <m:sty m:val="p"/>
            </m:rPr>
            <m:t>=</m:t>
          </m:r>
          <m:sSup>
            <m:e>
              <m:d>
                <m:dPr>
                  <m:begChr m:val="("/>
                  <m:endChr m:val=")"/>
                  <m:sepChr m:val=""/>
                  <m:grow/>
                </m:dPr>
                <m:e>
                  <m:r>
                    <m:t>2</m:t>
                  </m:r>
                  <m:d>
                    <m:dPr>
                      <m:begChr m:val="⌈"/>
                      <m:endChr m:val="⌉"/>
                      <m:sepChr m:val=""/>
                      <m:grow/>
                    </m:dPr>
                    <m:e>
                      <m:f>
                        <m:fPr>
                          <m:type m:val="bar"/>
                        </m:fPr>
                        <m:num>
                          <m:sSub>
                            <m:e>
                              <m:r>
                                <m:t>n</m:t>
                              </m:r>
                            </m:e>
                            <m:sub>
                              <m:r>
                                <m:t>c</m:t>
                              </m:r>
                            </m:sub>
                          </m:sSub>
                        </m:num>
                        <m:den>
                          <m:r>
                            <m:t>4</m:t>
                          </m:r>
                        </m:den>
                      </m:f>
                    </m:e>
                  </m:d>
                  <m:r>
                    <m:rPr>
                      <m:sty m:val="p"/>
                    </m:rPr>
                    <m:t>−</m:t>
                  </m:r>
                  <m:r>
                    <m:t>1</m:t>
                  </m:r>
                </m:e>
              </m:d>
            </m:e>
            <m:sup>
              <m:r>
                <m:t>m</m:t>
              </m:r>
            </m:sup>
          </m:sSup>
        </m:oMath>
      </m:oMathPara>
    </w:p>
    <w:p>
      <w:pPr>
        <w:pStyle w:val="FirstParagraph"/>
      </w:pPr>
      <w:r>
        <w:t xml:space="preserve">where</w:t>
      </w:r>
      <w:r>
        <w:t xml:space="preserve"> </w:t>
      </w:r>
      <m:oMath>
        <m:sSub>
          <m:e>
            <m:r>
              <m:t>n</m:t>
            </m:r>
          </m:e>
          <m:sub>
            <m:r>
              <m:t>c</m:t>
            </m:r>
          </m:sub>
        </m:sSub>
      </m:oMath>
      <w:r>
        <w:t xml:space="preserve"> </w:t>
      </w:r>
      <w:r>
        <w:t xml:space="preserve">is the number of oscillators per honeycomb cycle and</w:t>
      </w:r>
      <w:r>
        <w:t xml:space="preserve"> </w:t>
      </w:r>
      <m:oMath>
        <m:r>
          <m:t>m</m:t>
        </m:r>
      </m:oMath>
      <w:r>
        <w:t xml:space="preserve"> </w:t>
      </w:r>
      <w:r>
        <w:t xml:space="preserve">is the number of cycles. For a network with 16 oscillators per cycle and 10 cycles, this yields</w:t>
      </w:r>
      <w:r>
        <w:t xml:space="preserve"> </w:t>
      </w:r>
      <m:oMath>
        <m:sSup>
          <m:e>
            <m:d>
              <m:dPr>
                <m:begChr m:val="("/>
                <m:endChr m:val=")"/>
                <m:sepChr m:val=""/>
                <m:grow/>
              </m:dPr>
              <m:e>
                <m:r>
                  <m:t>2</m:t>
                </m:r>
                <m:r>
                  <m:rPr>
                    <m:sty m:val="p"/>
                  </m:rPr>
                  <m:t>⋅</m:t>
                </m:r>
                <m:r>
                  <m:t>4</m:t>
                </m:r>
                <m:r>
                  <m:rPr>
                    <m:sty m:val="p"/>
                  </m:rPr>
                  <m:t>−</m:t>
                </m:r>
                <m:r>
                  <m:t>1</m:t>
                </m:r>
              </m:e>
            </m:d>
          </m:e>
          <m:sup>
            <m:r>
              <m:t>10</m:t>
            </m:r>
          </m:sup>
        </m:sSup>
        <m:r>
          <m:rPr>
            <m:sty m:val="p"/>
          </m:rPr>
          <m:t>=</m:t>
        </m:r>
        <m:sSup>
          <m:e>
            <m:r>
              <m:t>9</m:t>
            </m:r>
          </m:e>
          <m:sup>
            <m:r>
              <m:t>10</m:t>
            </m:r>
          </m:sup>
        </m:sSup>
        <m:r>
          <m:rPr>
            <m:sty m:val="p"/>
          </m:rPr>
          <m:t>≈</m:t>
        </m:r>
        <m:r>
          <m:t>3.5</m:t>
        </m:r>
        <m:r>
          <m:rPr>
            <m:sty m:val="p"/>
          </m:rPr>
          <m:t>×</m:t>
        </m:r>
        <m:sSup>
          <m:e>
            <m:r>
              <m:t>10</m:t>
            </m:r>
          </m:e>
          <m:sup>
            <m:r>
              <m:t>9</m:t>
            </m:r>
          </m:sup>
        </m:sSup>
      </m:oMath>
      <w:r>
        <w:t xml:space="preserve"> </w:t>
      </w:r>
      <w:r>
        <w:t xml:space="preserve">distinct stable configurations. The proof guarantees that each memory’s basin of attraction maintains a minimum size independent of network scale — a property that general unstructured networks do not possess. The honeycomb topology requires only sparse local coupling, making it compatible with physical hardware implementations where long-range connections are costly.</w:t>
      </w:r>
    </w:p>
    <w:p>
      <w:pPr>
        <w:pStyle w:val="BodyText"/>
      </w:pPr>
      <w:r>
        <w:t xml:space="preserve">Higher-order coupling extends this framework further. A generalized Kuramoto model with combined second-harmonic (pairwise) and fourth-harmonic (quartic) coupling achieves superlinear scaling of memory capacity with system size, with a tricritical point where continuous retrieval transitions to discontinuous, hysteretic behavior</w:t>
      </w:r>
      <w:r>
        <w:t xml:space="preserve"> </w:t>
      </w:r>
      <w:fldSimple w:instr="NOTEREF _Ref_Footnote_4 \h \f">
        <w:r>
          <w:rPr>
            <w:vertAlign w:val="superscript"/>
          </w:rPr>
          <w:t>4</w:t>
        </w:r>
      </w:fldSimple>
      <w:r>
        <w:t xml:space="preserve">. In the quartic-dominated regime, the escape time from a memory state due to noise grows exponentially with network size, indicating robust storage. This bridges Kuramoto synchronization with modern dense associative memory theory, though genuine four-body interactions remain experimentally challenging.</w:t>
      </w:r>
    </w:p>
    <w:p>
      <w:pPr>
        <w:pStyle w:val="BodyText"/>
      </w:pPr>
      <w:r>
        <w:t xml:space="preserve">The biological motivation for oscillator-based memory — theta-gamma coupling in hippocampal sequence encoding — provides elegant computational models but faces a translation gap</w:t>
      </w:r>
      <w:r>
        <w:t xml:space="preserve"> </w:t>
      </w:r>
      <w:fldSimple w:instr="NOTEREF _Ref_Footnote_60 \h \f">
        <w:r>
          <w:rPr>
            <w:vertAlign w:val="superscript"/>
          </w:rPr>
          <w:t>60</w:t>
        </w:r>
      </w:fldSimple>
      <w:r>
        <w:t xml:space="preserve">. Inhibition-stabilized oscillatory dynamics in biological circuits rely on GABAergic interneuron networks that have no straightforward silicon equivalent. The honeycomb Kuramoto result sidesteps this by showing that purely excitatory coupling on a hexagonal lattice is sufficient for exponential capacity, without requiring inhibitory stabilization.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Mechanism</w:t>
            </w:r>
          </w:p>
        </w:tc>
        <w:tc>
          <w:tcPr/>
          <w:p>
            <w:pPr>
              <w:pStyle w:val="Compact"/>
              <w:jc w:val="left"/>
            </w:pPr>
            <w:r>
              <w:t xml:space="preserve">Capacity Scaling</w:t>
            </w:r>
          </w:p>
        </w:tc>
        <w:tc>
          <w:tcPr/>
          <w:p>
            <w:pPr>
              <w:pStyle w:val="Compact"/>
              <w:jc w:val="left"/>
            </w:pPr>
            <w:r>
              <w:t xml:space="preserve">Hardware Status</w:t>
            </w:r>
          </w:p>
        </w:tc>
        <w:tc>
          <w:tcPr/>
          <w:p>
            <w:pPr>
              <w:pStyle w:val="Compact"/>
              <w:jc w:val="left"/>
            </w:pPr>
            <w:r>
              <w:t xml:space="preserve">Key Limitation</w:t>
            </w:r>
          </w:p>
        </w:tc>
      </w:tr>
      <w:tr>
        <w:tc>
          <w:tcPr/>
          <w:p>
            <w:pPr>
              <w:pStyle w:val="Compact"/>
              <w:jc w:val="left"/>
            </w:pPr>
            <w:r>
              <w:t xml:space="preserve">Honeycomb Kuramoto</w:t>
            </w:r>
          </w:p>
        </w:tc>
        <w:tc>
          <w:tcPr/>
          <w:p>
            <w:pPr>
              <w:pStyle w:val="Compact"/>
              <w:jc w:val="left"/>
            </w:pPr>
            <w:r>
              <w:t xml:space="preserve">Phase-locked oscillator arrays</w:t>
            </w:r>
          </w:p>
        </w:tc>
        <w:tc>
          <w:tcPr/>
          <w:p>
            <w:pPr>
              <w:pStyle w:val="Compact"/>
              <w:jc w:val="left"/>
            </w:pPr>
            <m:oMath>
              <m:sSup>
                <m:e>
                  <m:d>
                    <m:dPr>
                      <m:begChr m:val="("/>
                      <m:endChr m:val=")"/>
                      <m:sepChr m:val=""/>
                      <m:grow/>
                    </m:dPr>
                    <m:e>
                      <m:r>
                        <m:t>2</m:t>
                      </m:r>
                      <m:r>
                        <m:rPr>
                          <m:sty m:val="p"/>
                        </m:rPr>
                        <m:t>⌈</m:t>
                      </m:r>
                      <m:sSub>
                        <m:e>
                          <m:r>
                            <m:t>n</m:t>
                          </m:r>
                        </m:e>
                        <m:sub>
                          <m:r>
                            <m:t>c</m:t>
                          </m:r>
                        </m:sub>
                      </m:sSub>
                      <m:r>
                        <m:rPr>
                          <m:sty m:val="p"/>
                        </m:rPr>
                        <m:t>/</m:t>
                      </m:r>
                      <m:r>
                        <m:t>4</m:t>
                      </m:r>
                      <m:r>
                        <m:rPr>
                          <m:sty m:val="p"/>
                        </m:rPr>
                        <m:t>⌉</m:t>
                      </m:r>
                      <m:r>
                        <m:rPr>
                          <m:sty m:val="p"/>
                        </m:rPr>
                        <m:t>−</m:t>
                      </m:r>
                      <m:r>
                        <m:t>1</m:t>
                      </m:r>
                    </m:e>
                  </m:d>
                </m:e>
                <m:sup>
                  <m:r>
                    <m:t>m</m:t>
                  </m:r>
                </m:sup>
              </m:sSup>
            </m:oMath>
            <w:r>
              <w:t xml:space="preserve"> </w:t>
            </w:r>
            <w:fldSimple w:instr="NOTEREF _Ref_Footnote_17 \h \f">
              <w:r>
                <w:rPr>
                  <w:vertAlign w:val="superscript"/>
                </w:rPr>
                <w:t>17</w:t>
              </w:r>
            </w:fldSimple>
          </w:p>
        </w:tc>
        <w:tc>
          <w:tcPr/>
          <w:p>
            <w:pPr>
              <w:pStyle w:val="Compact"/>
              <w:jc w:val="left"/>
            </w:pPr>
            <w:r>
              <w:t xml:space="preserve">Simulation-validated; CDW oscillators tested</w:t>
            </w:r>
          </w:p>
        </w:tc>
        <w:tc>
          <w:tcPr/>
          <w:p>
            <w:pPr>
              <w:pStyle w:val="Compact"/>
              <w:jc w:val="left"/>
            </w:pPr>
            <w:r>
              <w:t xml:space="preserve">Requires hexagonal lattice topology</w:t>
            </w:r>
          </w:p>
        </w:tc>
      </w:tr>
      <w:tr>
        <w:tc>
          <w:tcPr/>
          <w:p>
            <w:pPr>
              <w:pStyle w:val="Compact"/>
              <w:jc w:val="left"/>
            </w:pPr>
            <w:r>
              <w:t xml:space="preserve">Modern Hopfield (continuous)</w:t>
            </w:r>
          </w:p>
        </w:tc>
        <w:tc>
          <w:tcPr/>
          <w:p>
            <w:pPr>
              <w:pStyle w:val="Compact"/>
              <w:jc w:val="left"/>
            </w:pPr>
            <w:r>
              <w:t xml:space="preserve">Exponential energy function</w:t>
            </w:r>
          </w:p>
        </w:tc>
        <w:tc>
          <w:tcPr/>
          <w:p>
            <w:pPr>
              <w:pStyle w:val="Compact"/>
              <w:jc w:val="left"/>
            </w:pPr>
            <w:r>
              <w:t xml:space="preserve">Exponential in dimension</w:t>
            </w:r>
            <w:r>
              <w:t xml:space="preserve"> </w:t>
            </w:r>
            <m:oMath>
              <m:r>
                <m:t>d</m:t>
              </m:r>
            </m:oMath>
            <w:r>
              <w:t xml:space="preserve"> </w:t>
            </w:r>
            <w:fldSimple w:instr="NOTEREF _Ref_Footnote_59 \h \f">
              <w:r>
                <w:rPr>
                  <w:vertAlign w:val="superscript"/>
                </w:rPr>
                <w:t>59</w:t>
              </w:r>
            </w:fldSimple>
          </w:p>
        </w:tc>
        <w:tc>
          <w:tcPr/>
          <w:p>
            <w:pPr>
              <w:pStyle w:val="Compact"/>
              <w:jc w:val="left"/>
            </w:pPr>
            <w:r>
              <w:t xml:space="preserve">GPU-implementable; no custom silicon needed</w:t>
            </w:r>
          </w:p>
        </w:tc>
        <w:tc>
          <w:tcPr/>
          <w:p>
            <w:pPr>
              <w:pStyle w:val="Compact"/>
              <w:jc w:val="left"/>
            </w:pPr>
            <w:r>
              <w:t xml:space="preserve">Energy function must be carefully designed</w:t>
            </w:r>
          </w:p>
        </w:tc>
      </w:tr>
      <w:tr>
        <w:tc>
          <w:tcPr/>
          <w:p>
            <w:pPr>
              <w:pStyle w:val="Compact"/>
              <w:jc w:val="left"/>
            </w:pPr>
            <w:r>
              <w:t xml:space="preserve">Dense Associative Memory</w:t>
            </w:r>
          </w:p>
        </w:tc>
        <w:tc>
          <w:tcPr/>
          <w:p>
            <w:pPr>
              <w:pStyle w:val="Compact"/>
              <w:jc w:val="left"/>
            </w:pPr>
            <w:r>
              <w:t xml:space="preserve">Polynomial</w:t>
            </w:r>
            <w:r>
              <w:t xml:space="preserve"> </w:t>
            </w:r>
            <m:oMath>
              <m:r>
                <m:t>p</m:t>
              </m:r>
            </m:oMath>
            <w:r>
              <w:t xml:space="preserve">-body interactions</w:t>
            </w:r>
          </w:p>
        </w:tc>
        <w:tc>
          <w:tcPr/>
          <w:p>
            <w:pPr>
              <w:pStyle w:val="Compact"/>
              <w:jc w:val="left"/>
            </w:pPr>
            <m:oMath>
              <m:sSup>
                <m:e>
                  <m:r>
                    <m:t>N</m:t>
                  </m:r>
                </m:e>
                <m:sup>
                  <m:r>
                    <m:t>p</m:t>
                  </m:r>
                  <m:r>
                    <m:rPr>
                      <m:sty m:val="p"/>
                    </m:rPr>
                    <m:t>−</m:t>
                  </m:r>
                  <m:r>
                    <m:t>1</m:t>
                  </m:r>
                </m:sup>
              </m:sSup>
            </m:oMath>
            <w:r>
              <w:t xml:space="preserve"> </w:t>
            </w:r>
            <w:r>
              <w:t xml:space="preserve">for</w:t>
            </w:r>
            <w:r>
              <w:t xml:space="preserve"> </w:t>
            </w:r>
            <m:oMath>
              <m:r>
                <m:t>p</m:t>
              </m:r>
            </m:oMath>
            <w:r>
              <w:t xml:space="preserve">-spin</w:t>
            </w:r>
            <w:r>
              <w:t xml:space="preserve"> </w:t>
            </w:r>
            <w:fldSimple w:instr="NOTEREF _Ref_Footnote_23 \h \f">
              <w:r>
                <w:rPr>
                  <w:vertAlign w:val="superscript"/>
                </w:rPr>
                <w:t>23</w:t>
              </w:r>
            </w:fldSimple>
          </w:p>
        </w:tc>
        <w:tc>
          <w:tcPr/>
          <w:p>
            <w:pPr>
              <w:pStyle w:val="Compact"/>
              <w:jc w:val="left"/>
            </w:pPr>
            <w:r>
              <w:t xml:space="preserve">Theoretical; digital simulation only</w:t>
            </w:r>
          </w:p>
        </w:tc>
        <w:tc>
          <w:tcPr/>
          <w:p>
            <w:pPr>
              <w:pStyle w:val="Compact"/>
              <w:jc w:val="left"/>
            </w:pPr>
            <w:r>
              <w:t xml:space="preserve">Higher-order interactions experimentally difficult</w:t>
            </w:r>
          </w:p>
        </w:tc>
      </w:tr>
      <w:tr>
        <w:tc>
          <w:tcPr/>
          <w:p>
            <w:pPr>
              <w:pStyle w:val="Compact"/>
              <w:jc w:val="left"/>
            </w:pPr>
            <w:r>
              <w:t xml:space="preserve">Higher-Order Kuramoto</w:t>
            </w:r>
          </w:p>
        </w:tc>
        <w:tc>
          <w:tcPr/>
          <w:p>
            <w:pPr>
              <w:pStyle w:val="Compact"/>
              <w:jc w:val="left"/>
            </w:pPr>
            <w:r>
              <w:t xml:space="preserve">2nd + 4th harmonic coupling</w:t>
            </w:r>
          </w:p>
        </w:tc>
        <w:tc>
          <w:tcPr/>
          <w:p>
            <w:pPr>
              <w:pStyle w:val="Compact"/>
              <w:jc w:val="left"/>
            </w:pPr>
            <w:r>
              <w:t xml:space="preserve">Superlinear, exponential escape time</w:t>
            </w:r>
            <w:r>
              <w:t xml:space="preserve"> </w:t>
            </w:r>
            <w:fldSimple w:instr="NOTEREF _Ref_Footnote_4 \h \f">
              <w:r>
                <w:rPr>
                  <w:vertAlign w:val="superscript"/>
                </w:rPr>
                <w:t>4</w:t>
              </w:r>
            </w:fldSimple>
          </w:p>
        </w:tc>
        <w:tc>
          <w:tcPr/>
          <w:p>
            <w:pPr>
              <w:pStyle w:val="Compact"/>
              <w:jc w:val="left"/>
            </w:pPr>
            <w:r>
              <w:t xml:space="preserve">Simulation only</w:t>
            </w:r>
          </w:p>
        </w:tc>
        <w:tc>
          <w:tcPr/>
          <w:p>
            <w:pPr>
              <w:pStyle w:val="Compact"/>
              <w:jc w:val="left"/>
            </w:pPr>
            <w:r>
              <w:t xml:space="preserve">Genuine 4-body coupling not yet demonstrated</w:t>
            </w:r>
          </w:p>
        </w:tc>
      </w:tr>
      <w:tr>
        <w:tc>
          <w:tcPr/>
          <w:p>
            <w:pPr>
              <w:pStyle w:val="Compact"/>
              <w:jc w:val="left"/>
            </w:pPr>
            <w:r>
              <w:t xml:space="preserve">VO2 Oscillatory Ising</w:t>
            </w:r>
          </w:p>
        </w:tc>
        <w:tc>
          <w:tcPr/>
          <w:p>
            <w:pPr>
              <w:pStyle w:val="Compact"/>
              <w:jc w:val="left"/>
            </w:pPr>
            <w:r>
              <w:t xml:space="preserve">Phase-transition oscillators</w:t>
            </w:r>
          </w:p>
        </w:tc>
        <w:tc>
          <w:tcPr/>
          <w:p>
            <w:pPr>
              <w:pStyle w:val="Compact"/>
              <w:jc w:val="left"/>
            </w:pPr>
            <w:r>
              <w:t xml:space="preserve">Problem-dependent (Ising)</w:t>
            </w:r>
          </w:p>
        </w:tc>
        <w:tc>
          <w:tcPr/>
          <w:p>
            <w:pPr>
              <w:pStyle w:val="Compact"/>
              <w:jc w:val="left"/>
            </w:pPr>
            <w:r>
              <w:t xml:space="preserve">9-node PCB prototype at 30 kHz</w:t>
            </w:r>
            <w:r>
              <w:t xml:space="preserve"> </w:t>
            </w:r>
            <w:fldSimple w:instr="NOTEREF _Ref_Footnote_49 \h \f">
              <w:r>
                <w:rPr>
                  <w:vertAlign w:val="superscript"/>
                </w:rPr>
                <w:t>49</w:t>
              </w:r>
            </w:fldSimple>
          </w:p>
        </w:tc>
        <w:tc>
          <w:tcPr/>
          <w:p>
            <w:pPr>
              <w:pStyle w:val="Compact"/>
              <w:jc w:val="left"/>
            </w:pPr>
            <w:r>
              <w:t xml:space="preserve">Scalability to large arrays unproven</w:t>
            </w:r>
          </w:p>
        </w:tc>
      </w:tr>
      <w:tr>
        <w:tc>
          <w:tcPr/>
          <w:p>
            <w:pPr>
              <w:pStyle w:val="Compact"/>
              <w:jc w:val="left"/>
            </w:pPr>
            <w:r>
              <w:t xml:space="preserve">STNO Reservoir</w:t>
            </w:r>
          </w:p>
        </w:tc>
        <w:tc>
          <w:tcPr/>
          <w:p>
            <w:pPr>
              <w:pStyle w:val="Compact"/>
              <w:jc w:val="left"/>
            </w:pPr>
            <w:r>
              <w:t xml:space="preserve">Spin-torque nano-oscillators</w:t>
            </w:r>
          </w:p>
        </w:tc>
        <w:tc>
          <w:tcPr/>
          <w:p>
            <w:pPr>
              <w:pStyle w:val="Compact"/>
              <w:jc w:val="left"/>
            </w:pPr>
            <w:r>
              <w:t xml:space="preserve">Reservoir capacity (readout-dependent)</w:t>
            </w:r>
          </w:p>
        </w:tc>
        <w:tc>
          <w:tcPr/>
          <w:p>
            <w:pPr>
              <w:pStyle w:val="Compact"/>
              <w:jc w:val="left"/>
            </w:pPr>
            <w:r>
              <w:t xml:space="preserve">GHz-frequency arrays demonstrated</w:t>
            </w:r>
            <w:r>
              <w:t xml:space="preserve"> </w:t>
            </w:r>
            <w:fldSimple w:instr="NOTEREF _Ref_Footnote_16 \h \f">
              <w:r>
                <w:rPr>
                  <w:vertAlign w:val="superscript"/>
                </w:rPr>
                <w:t>16</w:t>
              </w:r>
            </w:fldSimple>
            <w:r>
              <w:t xml:space="preserve"> </w:t>
            </w:r>
            <w:fldSimple w:instr="NOTEREF _Ref_Footnote_6 \h \f">
              <w:r>
                <w:rPr>
                  <w:vertAlign w:val="superscript"/>
                </w:rPr>
                <w:t>6</w:t>
              </w:r>
            </w:fldSimple>
          </w:p>
        </w:tc>
        <w:tc>
          <w:tcPr/>
          <w:p>
            <w:pPr>
              <w:pStyle w:val="Compact"/>
              <w:jc w:val="left"/>
            </w:pPr>
            <w:r>
              <w:t xml:space="preserve">Requires analog readout circuitry</w:t>
            </w:r>
          </w:p>
        </w:tc>
      </w:tr>
    </w:tbl>
    <w:p>
      <w:pPr>
        <w:pStyle w:val="BodyText"/>
      </w:pPr>
      <w:r>
        <w:t xml:space="preserve">The table above compares oscillator and attractor-based memory systems across capacity claims and hardware realizability. A critical distinction must be drawn between capacity scaling laws and demonstrated device capacity. The honeycomb Kuramoto and continuous Hopfield results are mathematically rigorous, but their hardware implementations remain at the prototype or simulation stage. VO2-based oscillatory Ising machines have been demonstrated at 9 nodes on PCB</w:t>
      </w:r>
      <w:r>
        <w:t xml:space="preserve"> </w:t>
      </w:r>
      <w:fldSimple w:instr="NOTEREF _Ref_Footnote_49 \h \f">
        <w:r>
          <w:rPr>
            <w:vertAlign w:val="superscript"/>
          </w:rPr>
          <w:t>49</w:t>
        </w:r>
      </w:fldSimple>
      <w:r>
        <w:t xml:space="preserve">, and spin-torque nano-oscillator (STNO) arrays operate at GHz frequencies for vowel recognition and reservoir computing</w:t>
      </w:r>
      <w:r>
        <w:t xml:space="preserve"> </w:t>
      </w:r>
      <w:fldSimple w:instr="NOTEREF _Ref_Footnote_16 \h \f">
        <w:r>
          <w:rPr>
            <w:vertAlign w:val="superscript"/>
          </w:rPr>
          <w:t>16</w:t>
        </w:r>
      </w:fldSimple>
      <w:r>
        <w:t xml:space="preserve"> </w:t>
      </w:r>
      <w:fldSimple w:instr="NOTEREF _Ref_Footnote_6 \h \f">
        <w:r>
          <w:rPr>
            <w:vertAlign w:val="superscript"/>
          </w:rPr>
          <w:t>6</w:t>
        </w:r>
      </w:fldSimple>
      <w:r>
        <w:t xml:space="preserve">. However, the gap between theoretical exponential capacity and physical device arrays is substantial — no published oscillator array has demonstrated more than hundreds of independently addressable phase-locked states.</w:t>
      </w:r>
    </w:p>
    <w:bookmarkEnd w:id="71"/>
    <w:bookmarkStart w:id="72" w:name="gpu-simulation-and-the-apple-silicon-gap"/>
    <w:p>
      <w:pPr>
        <w:pStyle w:val="Heading4"/>
      </w:pPr>
      <w:r>
        <w:t xml:space="preserve">4.2.2 GPU Simulation and the Apple Silicon Gap</w:t>
      </w:r>
    </w:p>
    <w:p>
      <w:pPr>
        <w:pStyle w:val="FirstParagraph"/>
      </w:pPr>
      <w:r>
        <w:t xml:space="preserve">Digital simulation of Kuramoto networks is highly parallelizable: each oscillator’s phase update depends only on its neighbors, making the system amenable to SIMD execution. Recent CUDA implementations achieve approximately 4.6× speedup via batch processing of oscillators (assigning multiple oscillators per GPU thread rather than one-to-one mapping), with additional gains from shared memory optimization (~2.85×) and mixed-precision computation (~2.46× from float32 vs. double), totaling roughly 33× over naive CPU implementation</w:t>
      </w:r>
      <w:r>
        <w:t xml:space="preserve"> </w:t>
      </w:r>
      <w:fldSimple w:instr="NOTEREF _Ref_Footnote_54 \h \f">
        <w:r>
          <w:rPr>
            <w:vertAlign w:val="superscript"/>
          </w:rPr>
          <w:t>54</w:t>
        </w:r>
      </w:fldSimple>
      <w:r>
        <w:t xml:space="preserve">. The implementations use Forward Euler integration with parallel noise generation, enabling simulation of large-scale oscillator Ising machines with floating-point precision.</w:t>
      </w:r>
    </w:p>
    <w:p>
      <w:pPr>
        <w:pStyle w:val="BodyText"/>
      </w:pPr>
      <w:r>
        <w:t xml:space="preserve">For a deterministic substrate targeting Apple Silicon, a research gap exists: no peer-reviewed or preprint literature addresses Kuramoto oscillator simulation optimized for Metal Performance Shaders or MLX. Porting the CUDA approaches to Metal would require reimplementing parallel integration kernels and noise generation. Apple Silicon’s Unified Memory Architecture (UMA) could reduce the HBM-SRAM transfer bottlenecks that limit CUDA implementations, since oscillator phase vectors can remain in shared memory without PCIe copies. The batch-processing strategy that yielded 4.6× on CUDA should translate directly to Metal threadgroup memory, but empirical validation is absent. This represents an exploitable research opportunity for a deterministic substrate, as UMA’s zero-copy properties align with the requirement for reproducible memory state.</w:t>
      </w:r>
    </w:p>
    <w:bookmarkEnd w:id="72"/>
    <w:bookmarkStart w:id="73" w:name="Xb7ffda239d888fec1492f4899cec69fc3740346"/>
    <w:p>
      <w:pPr>
        <w:pStyle w:val="Heading4"/>
      </w:pPr>
      <w:r>
        <w:t xml:space="preserve">4.2.3 Physical Oscillator Devices: Claims and Evidence</w:t>
      </w:r>
    </w:p>
    <w:p>
      <w:pPr>
        <w:pStyle w:val="FirstParagraph"/>
      </w:pPr>
      <w:r>
        <w:t xml:space="preserve">Phase-coherent physical computing using spin-torque nano-oscillators, VO</w:t>
      </w:r>
      <m:oMath>
        <m:sSub>
          <m:e>
            <m:r>
              <m:t>​</m:t>
            </m:r>
          </m:e>
          <m:sub>
            <m:r>
              <m:t>2</m:t>
            </m:r>
          </m:sub>
        </m:sSub>
      </m:oMath>
      <w:r>
        <w:t xml:space="preserve"> </w:t>
      </w:r>
      <w:r>
        <w:t xml:space="preserve">phase-transition devices, and memristor crossbars has been demonstrated experimentally. KAIST researchers coupled volatile memristor-based oscillators with nonvolatile memristor synapses to create an oscillatory neural network-based Ising machine capable of solving Max-Cut and map coloring through phase synchronization</w:t>
      </w:r>
      <w:r>
        <w:t xml:space="preserve"> </w:t>
      </w:r>
      <w:fldSimple w:instr="NOTEREF _Ref_Footnote_49 \h \f">
        <w:r>
          <w:rPr>
            <w:vertAlign w:val="superscript"/>
          </w:rPr>
          <w:t>49</w:t>
        </w:r>
      </w:fldSimple>
      <w:r>
        <w:t xml:space="preserve">. STNOs perform neuromorphic computation via their natural radio-frequency properties, including vowel recognition with four coupled oscillators and reservoir computing using frequency, phase, and amplitude</w:t>
      </w:r>
      <w:r>
        <w:t xml:space="preserve"> </w:t>
      </w:r>
      <w:fldSimple w:instr="NOTEREF _Ref_Footnote_16 \h \f">
        <w:r>
          <w:rPr>
            <w:vertAlign w:val="superscript"/>
          </w:rPr>
          <w:t>16</w:t>
        </w:r>
      </w:fldSimple>
      <w:r>
        <w:t xml:space="preserve"> </w:t>
      </w:r>
      <w:fldSimple w:instr="NOTEREF _Ref_Footnote_6 \h \f">
        <w:r>
          <w:rPr>
            <w:vertAlign w:val="superscript"/>
          </w:rPr>
          <w:t>6</w:t>
        </w:r>
      </w:fldSimple>
      <w:r>
        <w:t xml:space="preserve">.</w:t>
      </w:r>
    </w:p>
    <w:p>
      <w:pPr>
        <w:pStyle w:val="BodyText"/>
      </w:pPr>
      <w:r>
        <w:t xml:space="preserve">However, claims that phase-coherent computing achieves 100–1000× latency improvement and 1–6 Tb/cm</w:t>
      </w:r>
      <m:oMath>
        <m:sSup>
          <m:e>
            <m:r>
              <m:t>​</m:t>
            </m:r>
          </m:e>
          <m:sup>
            <m:r>
              <m:t>2</m:t>
            </m:r>
          </m:sup>
        </m:sSup>
      </m:oMath>
      <w:r>
        <w:t xml:space="preserve"> </w:t>
      </w:r>
      <w:r>
        <w:t xml:space="preserve">density must be treated with skepticism. These figures originate from hardware roadmaps, patent landscapes, and forward-looking technical proposals rather than peer-reviewed device characterization. The most aggressive demonstrated memristor crossbars achieve 128×64 arrays with approximately 180 conductance levels, and the INFN-Milan AM06 associative memory chip stores 131,072 patterns in 65 nm CMOS. Tb/cm</w:t>
      </w:r>
      <m:oMath>
        <m:sSup>
          <m:e>
            <m:r>
              <m:t>​</m:t>
            </m:r>
          </m:e>
          <m:sup>
            <m:r>
              <m:t>2</m:t>
            </m:r>
          </m:sup>
        </m:sSup>
      </m:oMath>
      <w:r>
        <w:t xml:space="preserve"> </w:t>
      </w:r>
      <w:r>
        <w:t xml:space="preserve">density would require three-dimensional stacking at molecular scales not yet demonstrated for oscillator arrays. For a deterministic substrate, the honest assessment is that phase-coherent hardware offers genuine energy and density advantages for specialized computations (Ising optimization, associative recall), but the most aggressive roadmap claims are unverified by independent measurement.</w:t>
      </w:r>
    </w:p>
    <w:bookmarkEnd w:id="73"/>
    <w:bookmarkEnd w:id="74"/>
    <w:bookmarkStart w:id="78" w:name="mamba-and-state-space-models"/>
    <w:p>
      <w:pPr>
        <w:pStyle w:val="Heading3"/>
      </w:pPr>
      <w:r>
        <w:t xml:space="preserve">4.3 Mamba and State Space Models</w:t>
      </w:r>
    </w:p>
    <w:bookmarkStart w:id="75" w:name="fixed-state-size-and-linear-scaling"/>
    <w:p>
      <w:pPr>
        <w:pStyle w:val="Heading4"/>
      </w:pPr>
      <w:r>
        <w:t xml:space="preserve">4.3.1 Fixed State Size and Linear Scaling</w:t>
      </w:r>
    </w:p>
    <w:p>
      <w:pPr>
        <w:pStyle w:val="FirstParagraph"/>
      </w:pPr>
      <w:r>
        <w:t xml:space="preserve">State Space Models (SSMs), exemplified by the Mamba family, replace the quadratic attention mechanism with a linear-time recurrence. The core SSM operation maps a 1-D input signal</w:t>
      </w:r>
      <w:r>
        <w:t xml:space="preserve"> </w:t>
      </w:r>
      <m:oMath>
        <m:r>
          <m:t>x</m:t>
        </m:r>
        <m:d>
          <m:dPr>
            <m:begChr m:val="("/>
            <m:endChr m:val=")"/>
            <m:sepChr m:val=""/>
            <m:grow/>
          </m:dPr>
          <m:e>
            <m:r>
              <m:t>t</m:t>
            </m:r>
          </m:e>
        </m:d>
      </m:oMath>
      <w:r>
        <w:t xml:space="preserve"> </w:t>
      </w:r>
      <w:r>
        <w:t xml:space="preserve">to output</w:t>
      </w:r>
      <w:r>
        <w:t xml:space="preserve"> </w:t>
      </w:r>
      <m:oMath>
        <m:r>
          <m:t>y</m:t>
        </m:r>
        <m:d>
          <m:dPr>
            <m:begChr m:val="("/>
            <m:endChr m:val=")"/>
            <m:sepChr m:val=""/>
            <m:grow/>
          </m:dPr>
          <m:e>
            <m:r>
              <m:t>t</m:t>
            </m:r>
          </m:e>
        </m:d>
      </m:oMath>
      <w:r>
        <w:t xml:space="preserve"> </w:t>
      </w:r>
      <w:r>
        <w:t xml:space="preserve">through a latent state</w:t>
      </w:r>
      <w:r>
        <w:t xml:space="preserve"> </w:t>
      </w:r>
      <m:oMath>
        <m:r>
          <m:t>h</m:t>
        </m:r>
        <m:d>
          <m:dPr>
            <m:begChr m:val="("/>
            <m:endChr m:val=")"/>
            <m:sepChr m:val=""/>
            <m:grow/>
          </m:dPr>
          <m:e>
            <m:r>
              <m:t>t</m:t>
            </m:r>
          </m:e>
        </m:d>
      </m:oMath>
      <w:r>
        <w:t xml:space="preserve"> </w:t>
      </w:r>
      <w:r>
        <w:t xml:space="preserve">governed by</w:t>
      </w:r>
      <w:r>
        <w:t xml:space="preserve"> </w:t>
      </w:r>
      <m:oMath>
        <m:acc>
          <m:accPr>
            <m:chr m:val="̇"/>
          </m:accPr>
          <m:e>
            <m:r>
              <m:t>h</m:t>
            </m:r>
          </m:e>
        </m:acc>
        <m:d>
          <m:dPr>
            <m:begChr m:val="("/>
            <m:endChr m:val=")"/>
            <m:sepChr m:val=""/>
            <m:grow/>
          </m:dPr>
          <m:e>
            <m:r>
              <m:t>t</m:t>
            </m:r>
          </m:e>
        </m:d>
        <m:r>
          <m:rPr>
            <m:sty m:val="p"/>
          </m:rPr>
          <m:t>=</m:t>
        </m:r>
        <m:r>
          <m:t>A</m:t>
        </m:r>
        <m:r>
          <m:t>h</m:t>
        </m:r>
        <m:d>
          <m:dPr>
            <m:begChr m:val="("/>
            <m:endChr m:val=")"/>
            <m:sepChr m:val=""/>
            <m:grow/>
          </m:dPr>
          <m:e>
            <m:r>
              <m:t>t</m:t>
            </m:r>
          </m:e>
        </m:d>
        <m:r>
          <m:rPr>
            <m:sty m:val="p"/>
          </m:rPr>
          <m:t>+</m:t>
        </m:r>
        <m:r>
          <m:t>B</m:t>
        </m:r>
        <m:r>
          <m:t>x</m:t>
        </m:r>
        <m:d>
          <m:dPr>
            <m:begChr m:val="("/>
            <m:endChr m:val=")"/>
            <m:sepChr m:val=""/>
            <m:grow/>
          </m:dPr>
          <m:e>
            <m:r>
              <m:t>t</m:t>
            </m:r>
          </m:e>
        </m:d>
      </m:oMath>
      <w:r>
        <w:t xml:space="preserve"> </w:t>
      </w:r>
      <w:r>
        <w:t xml:space="preserve">with output</w:t>
      </w:r>
      <w:r>
        <w:t xml:space="preserve"> </w:t>
      </w:r>
      <m:oMath>
        <m:r>
          <m:t>y</m:t>
        </m:r>
        <m:d>
          <m:dPr>
            <m:begChr m:val="("/>
            <m:endChr m:val=")"/>
            <m:sepChr m:val=""/>
            <m:grow/>
          </m:dPr>
          <m:e>
            <m:r>
              <m:t>t</m:t>
            </m:r>
          </m:e>
        </m:d>
        <m:r>
          <m:rPr>
            <m:sty m:val="p"/>
          </m:rPr>
          <m:t>=</m:t>
        </m:r>
        <m:r>
          <m:t>C</m:t>
        </m:r>
        <m:r>
          <m:t>h</m:t>
        </m:r>
        <m:d>
          <m:dPr>
            <m:begChr m:val="("/>
            <m:endChr m:val=")"/>
            <m:sepChr m:val=""/>
            <m:grow/>
          </m:dPr>
          <m:e>
            <m:r>
              <m:t>t</m:t>
            </m:r>
          </m:e>
        </m:d>
      </m:oMath>
      <w:r>
        <w:t xml:space="preserve">, where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learned parameters. Mamba introduces a selection mechanism making</w:t>
      </w:r>
      <w:r>
        <w:t xml:space="preserve"> </w:t>
      </w:r>
      <m:oMath>
        <m:r>
          <m:t>B</m:t>
        </m:r>
      </m:oMath>
      <w:r>
        <w:t xml:space="preserve"> </w:t>
      </w:r>
      <w:r>
        <w:t xml:space="preserve">and</w:t>
      </w:r>
      <w:r>
        <w:t xml:space="preserve"> </w:t>
      </w:r>
      <m:oMath>
        <m:r>
          <m:t>C</m:t>
        </m:r>
      </m:oMath>
      <w:r>
        <w:t xml:space="preserve"> </w:t>
      </w:r>
      <w:r>
        <w:t xml:space="preserve">input-dependent, enabling the model to selectively propagate or forget information along the sequence</w:t>
      </w:r>
      <w:r>
        <w:t xml:space="preserve"> </w:t>
      </w:r>
      <w:r>
        <w:rPr>
          <w:vertAlign w:val="superscript"/>
        </w:rPr>
        <w:footnoteReference w:id="61"/>
      </w:r>
      <w:r>
        <w:t xml:space="preserve">. The critical architectural property is that memory consumption is</w:t>
      </w:r>
      <w:r>
        <w:t xml:space="preserve"> </w:t>
      </w:r>
      <m:oMath>
        <m:r>
          <m:t>O</m:t>
        </m:r>
        <m:d>
          <m:dPr>
            <m:begChr m:val="("/>
            <m:endChr m:val=")"/>
            <m:sepChr m:val=""/>
            <m:grow/>
          </m:dPr>
          <m:e>
            <m:r>
              <m:t>B</m:t>
            </m:r>
            <m:r>
              <m:t>D</m:t>
            </m:r>
          </m:e>
        </m:d>
      </m:oMath>
      <w:r>
        <w:t xml:space="preserve"> </w:t>
      </w:r>
      <w:r>
        <w:t xml:space="preserve">— dependent on batch size and state dimension, but independent of sequence length. This enables contexts exceeding 220K tokens on a 24GB GPU, whereas Transformers encounter out-of-memory failures at approximately 4K–8K tokens on equivalent hardware</w:t>
      </w:r>
      <w:r>
        <w:t xml:space="preserve"> </w:t>
      </w:r>
      <w:r>
        <w:rPr>
          <w:vertAlign w:val="superscript"/>
        </w:rPr>
        <w:footnoteReference w:id="62"/>
      </w:r>
      <w:r>
        <w:t xml:space="preserve">.</w:t>
      </w:r>
    </w:p>
    <w:p>
      <w:pPr>
        <w:pStyle w:val="BodyText"/>
      </w:pPr>
      <w:r>
        <w:t xml:space="preserve">Mamba-2 generalized this through the Structured State Space Duality (SSD) framework, revealing that SSMs and attention are mathematically related through structured semiseparable matrices. This enabled tensor-core optimization and increased the state dimension from 16 to 128, yielding 2–8× speedup over Mamba-1</w:t>
      </w:r>
      <w:r>
        <w:t xml:space="preserve"> </w:t>
      </w:r>
      <w:fldSimple w:instr="NOTEREF _Ref_Footnote_35 \h \f">
        <w:r>
          <w:rPr>
            <w:vertAlign w:val="superscript"/>
          </w:rPr>
          <w:t>35</w:t>
        </w:r>
      </w:fldSimple>
      <w:r>
        <w:t xml:space="preserve">. Mamba-3 further introduced trapezoidal discretization, complex-valued state tracking, and a multi-input multi-output (MIMO) variant that improved accuracy without slowing decoding, establishing a new Pareto frontier on performance-efficiency axes.</w:t>
      </w:r>
    </w:p>
    <w:bookmarkEnd w:id="75"/>
    <w:bookmarkStart w:id="76" w:name="hybrid-architectures-mamba-2-hybrid"/>
    <w:p>
      <w:pPr>
        <w:pStyle w:val="Heading4"/>
      </w:pPr>
      <w:r>
        <w:t xml:space="preserve">4.3.2 Hybrid Architectures: Mamba-2-Hybrid</w:t>
      </w:r>
    </w:p>
    <w:p>
      <w:pPr>
        <w:pStyle w:val="FirstParagraph"/>
      </w:pPr>
      <w:r>
        <w:t xml:space="preserve">Pure SSM architectures match or exceed Transformer quality on most dense-modality tasks but exhibit a specific failure mode: tasks requiring precise associative recall. At 8B parameters trained on 3.5T tokens, pure Mamba-2 lags approximately 15 points on five-shot MMLU and struggles with Phonebook lookup — exact retrieval of a name-number pair from a large list</w:t>
      </w:r>
      <w:r>
        <w:t xml:space="preserve"> </w:t>
      </w:r>
      <w:fldSimple w:instr="NOTEREF _Ref_Footnote_35 \h \f">
        <w:r>
          <w:rPr>
            <w:vertAlign w:val="superscript"/>
          </w:rPr>
          <w:t>35</w:t>
        </w:r>
      </w:fldSimple>
      <w:r>
        <w:t xml:space="preserve">. The Mamba-2-Hybrid architecture (43% Mamba-2, 7% attention, 50% MLP) resolves this by reintroducing selective attention layers while retaining SSM efficiency for the majority of computation. The hybrid exceeds the pure Transformer on all 12 standard benchmarks evaluated (+2.65 points average) and closely matches or exceeds on 23 long-context tasks. At 128K context, the hybrid performs Phonebook lookup perfectly even with 150K+ tokens, while pure Mamba degrades on needle-in-haystack retrieval</w:t>
      </w:r>
      <w:r>
        <w:t xml:space="preserve"> </w:t>
      </w:r>
      <w:fldSimple w:instr="NOTEREF _Ref_Footnote_35 \h \f">
        <w:r>
          <w:rPr>
            <w:vertAlign w:val="superscript"/>
          </w:rPr>
          <w:t>35</w:t>
        </w:r>
      </w:fldSimple>
      <w:r>
        <w:t xml:space="preserve">.</w:t>
      </w:r>
    </w:p>
    <w:p>
      <w:pPr>
        <w:pStyle w:val="BodyText"/>
      </w:pPr>
      <w:r>
        <w:t xml:space="preserve">The economic imperative driving SSM adoption is severe. At 128K context, a 70B-parameter Transformer supports approximately one concurrent user on an 80GB H100, while Mamba’s fixed state enables roughly 1,950 theoretical concurrent users. The crossover point where SSMs become more memory-efficient than Transformers occurs at approximately 220 tokens; for inference speed, the crossover is at approximately 370 tokens</w:t>
      </w:r>
      <w:r>
        <w:t xml:space="preserve"> </w:t>
      </w:r>
      <w:fldSimple w:instr="NOTEREF _Ref_Footnote_62 \h \f">
        <w:r>
          <w:rPr>
            <w:vertAlign w:val="superscript"/>
          </w:rPr>
          <w:t>62</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Task Category</w:t>
            </w:r>
          </w:p>
        </w:tc>
        <w:tc>
          <w:tcPr/>
          <w:p>
            <w:pPr>
              <w:pStyle w:val="Compact"/>
              <w:jc w:val="left"/>
            </w:pPr>
            <w:r>
              <w:t xml:space="preserve">Pure Transformer</w:t>
            </w:r>
          </w:p>
        </w:tc>
        <w:tc>
          <w:tcPr/>
          <w:p>
            <w:pPr>
              <w:pStyle w:val="Compact"/>
              <w:jc w:val="left"/>
            </w:pPr>
            <w:r>
              <w:t xml:space="preserve">Pure Mamba-2</w:t>
            </w:r>
          </w:p>
        </w:tc>
        <w:tc>
          <w:tcPr/>
          <w:p>
            <w:pPr>
              <w:pStyle w:val="Compact"/>
              <w:jc w:val="left"/>
            </w:pPr>
            <w:r>
              <w:t xml:space="preserve">Mamba-2-Hybrid (43/7/50)</w:t>
            </w:r>
          </w:p>
        </w:tc>
        <w:tc>
          <w:tcPr/>
          <w:p>
            <w:pPr>
              <w:pStyle w:val="Compact"/>
              <w:jc w:val="left"/>
            </w:pPr>
            <w:r>
              <w:t xml:space="preserve">Critical Factor</w:t>
            </w:r>
          </w:p>
        </w:tc>
      </w:tr>
      <w:tr>
        <w:tc>
          <w:tcPr/>
          <w:p>
            <w:pPr>
              <w:pStyle w:val="Compact"/>
              <w:jc w:val="left"/>
            </w:pPr>
            <w:r>
              <w:t xml:space="preserve">Dense language modeling</w:t>
            </w:r>
          </w:p>
        </w:tc>
        <w:tc>
          <w:tcPr/>
          <w:p>
            <w:pPr>
              <w:pStyle w:val="Compact"/>
              <w:jc w:val="left"/>
            </w:pPr>
            <w:r>
              <w:t xml:space="preserve">Baseline</w:t>
            </w:r>
          </w:p>
        </w:tc>
        <w:tc>
          <w:tcPr/>
          <w:p>
            <w:pPr>
              <w:pStyle w:val="Compact"/>
              <w:jc w:val="left"/>
            </w:pPr>
            <w:r>
              <w:t xml:space="preserve">Matches or exceeds</w:t>
            </w:r>
          </w:p>
        </w:tc>
        <w:tc>
          <w:tcPr/>
          <w:p>
            <w:pPr>
              <w:pStyle w:val="Compact"/>
              <w:jc w:val="left"/>
            </w:pPr>
            <w:r>
              <w:t xml:space="preserve">+2.65 pts avg.</w:t>
            </w:r>
            <w:r>
              <w:t xml:space="preserve"> </w:t>
            </w:r>
            <w:fldSimple w:instr="NOTEREF _Ref_Footnote_35 \h \f">
              <w:r>
                <w:rPr>
                  <w:vertAlign w:val="superscript"/>
                </w:rPr>
                <w:t>35</w:t>
              </w:r>
            </w:fldSimple>
          </w:p>
        </w:tc>
        <w:tc>
          <w:tcPr/>
          <w:p>
            <w:pPr>
              <w:pStyle w:val="Compact"/>
              <w:jc w:val="left"/>
            </w:pPr>
            <w:r>
              <w:t xml:space="preserve">SSM recurrent patterns</w:t>
            </w:r>
          </w:p>
        </w:tc>
      </w:tr>
      <w:tr>
        <w:tc>
          <w:tcPr/>
          <w:p>
            <w:pPr>
              <w:pStyle w:val="Compact"/>
              <w:jc w:val="left"/>
            </w:pPr>
            <w:r>
              <w:t xml:space="preserve">Five-shot MMLU</w:t>
            </w:r>
          </w:p>
        </w:tc>
        <w:tc>
          <w:tcPr/>
          <w:p>
            <w:pPr>
              <w:pStyle w:val="Compact"/>
              <w:jc w:val="left"/>
            </w:pPr>
            <w:r>
              <w:t xml:space="preserve">Baseline</w:t>
            </w:r>
          </w:p>
        </w:tc>
        <w:tc>
          <w:tcPr/>
          <w:p>
            <w:pPr>
              <w:pStyle w:val="Compact"/>
              <w:jc w:val="left"/>
            </w:pPr>
            <w:r>
              <w:t xml:space="preserve">~15 pts below</w:t>
            </w:r>
          </w:p>
        </w:tc>
        <w:tc>
          <w:tcPr/>
          <w:p>
            <w:pPr>
              <w:pStyle w:val="Compact"/>
              <w:jc w:val="left"/>
            </w:pPr>
            <w:r>
              <w:t xml:space="preserve">Matches baseline</w:t>
            </w:r>
            <w:r>
              <w:t xml:space="preserve"> </w:t>
            </w:r>
            <w:fldSimple w:instr="NOTEREF _Ref_Footnote_35 \h \f">
              <w:r>
                <w:rPr>
                  <w:vertAlign w:val="superscript"/>
                </w:rPr>
                <w:t>35</w:t>
              </w:r>
            </w:fldSimple>
          </w:p>
        </w:tc>
        <w:tc>
          <w:tcPr/>
          <w:p>
            <w:pPr>
              <w:pStyle w:val="Compact"/>
              <w:jc w:val="left"/>
            </w:pPr>
            <w:r>
              <w:t xml:space="preserve">In-context retrieval</w:t>
            </w:r>
          </w:p>
        </w:tc>
      </w:tr>
      <w:tr>
        <w:tc>
          <w:tcPr/>
          <w:p>
            <w:pPr>
              <w:pStyle w:val="Compact"/>
              <w:jc w:val="left"/>
            </w:pPr>
            <w:r>
              <w:t xml:space="preserve">Phonebook lookup (128K)</w:t>
            </w:r>
          </w:p>
        </w:tc>
        <w:tc>
          <w:tcPr/>
          <w:p>
            <w:pPr>
              <w:pStyle w:val="Compact"/>
              <w:jc w:val="left"/>
            </w:pPr>
            <w:r>
              <w:t xml:space="preserve">Perfect</w:t>
            </w:r>
          </w:p>
        </w:tc>
        <w:tc>
          <w:tcPr/>
          <w:p>
            <w:pPr>
              <w:pStyle w:val="Compact"/>
              <w:jc w:val="left"/>
            </w:pPr>
            <w:r>
              <w:t xml:space="preserve">Degrades</w:t>
            </w:r>
          </w:p>
        </w:tc>
        <w:tc>
          <w:tcPr/>
          <w:p>
            <w:pPr>
              <w:pStyle w:val="Compact"/>
              <w:jc w:val="left"/>
            </w:pPr>
            <w:r>
              <w:t xml:space="preserve">Perfect at 150K+</w:t>
            </w:r>
            <w:r>
              <w:t xml:space="preserve"> </w:t>
            </w:r>
            <w:fldSimple w:instr="NOTEREF _Ref_Footnote_35 \h \f">
              <w:r>
                <w:rPr>
                  <w:vertAlign w:val="superscript"/>
                </w:rPr>
                <w:t>35</w:t>
              </w:r>
            </w:fldSimple>
          </w:p>
        </w:tc>
        <w:tc>
          <w:tcPr/>
          <w:p>
            <w:pPr>
              <w:pStyle w:val="Compact"/>
              <w:jc w:val="left"/>
            </w:pPr>
            <w:r>
              <w:t xml:space="preserve">Exact associative recall</w:t>
            </w:r>
          </w:p>
        </w:tc>
      </w:tr>
      <w:tr>
        <w:tc>
          <w:tcPr/>
          <w:p>
            <w:pPr>
              <w:pStyle w:val="Compact"/>
              <w:jc w:val="left"/>
            </w:pPr>
            <w:r>
              <w:t xml:space="preserve">Needle-in-haystack</w:t>
            </w:r>
          </w:p>
        </w:tc>
        <w:tc>
          <w:tcPr/>
          <w:p>
            <w:pPr>
              <w:pStyle w:val="Compact"/>
              <w:jc w:val="left"/>
            </w:pPr>
            <w:r>
              <w:t xml:space="preserve">Perfect</w:t>
            </w:r>
          </w:p>
        </w:tc>
        <w:tc>
          <w:tcPr/>
          <w:p>
            <w:pPr>
              <w:pStyle w:val="Compact"/>
              <w:jc w:val="left"/>
            </w:pPr>
            <w:r>
              <w:t xml:space="preserve">Degrades</w:t>
            </w:r>
          </w:p>
        </w:tc>
        <w:tc>
          <w:tcPr/>
          <w:p>
            <w:pPr>
              <w:pStyle w:val="Compact"/>
              <w:jc w:val="left"/>
            </w:pPr>
            <w:r>
              <w:t xml:space="preserve">Perfect</w:t>
            </w:r>
            <w:r>
              <w:t xml:space="preserve"> </w:t>
            </w:r>
            <w:fldSimple w:instr="NOTEREF _Ref_Footnote_35 \h \f">
              <w:r>
                <w:rPr>
                  <w:vertAlign w:val="superscript"/>
                </w:rPr>
                <w:t>35</w:t>
              </w:r>
            </w:fldSimple>
          </w:p>
        </w:tc>
        <w:tc>
          <w:tcPr/>
          <w:p>
            <w:pPr>
              <w:pStyle w:val="Compact"/>
              <w:jc w:val="left"/>
            </w:pPr>
            <w:r>
              <w:t xml:space="preserve">Long-range retrieval</w:t>
            </w:r>
          </w:p>
        </w:tc>
      </w:tr>
      <w:tr>
        <w:tc>
          <w:tcPr/>
          <w:p>
            <w:pPr>
              <w:pStyle w:val="Compact"/>
              <w:jc w:val="left"/>
            </w:pPr>
            <w:r>
              <w:t xml:space="preserve">Memory at 128K (24GB GPU)</w:t>
            </w:r>
          </w:p>
        </w:tc>
        <w:tc>
          <w:tcPr/>
          <w:p>
            <w:pPr>
              <w:pStyle w:val="Compact"/>
              <w:jc w:val="left"/>
            </w:pPr>
            <w:r>
              <w:t xml:space="preserve">~73K max</w:t>
            </w:r>
          </w:p>
        </w:tc>
        <w:tc>
          <w:tcPr/>
          <w:p>
            <w:pPr>
              <w:pStyle w:val="Compact"/>
              <w:jc w:val="left"/>
            </w:pPr>
            <w:r>
              <w:t xml:space="preserve">220K+</w:t>
            </w:r>
            <w:r>
              <w:t xml:space="preserve"> </w:t>
            </w:r>
            <w:fldSimple w:instr="NOTEREF _Ref_Footnote_62 \h \f">
              <w:r>
                <w:rPr>
                  <w:vertAlign w:val="superscript"/>
                </w:rPr>
                <w:t>62</w:t>
              </w:r>
            </w:fldSimple>
          </w:p>
        </w:tc>
        <w:tc>
          <w:tcPr/>
          <w:p>
            <w:pPr>
              <w:pStyle w:val="Compact"/>
              <w:jc w:val="left"/>
            </w:pPr>
            <w:r>
              <w:t xml:space="preserve">220K+</w:t>
            </w:r>
          </w:p>
        </w:tc>
        <w:tc>
          <w:tcPr/>
          <w:p>
            <w:pPr>
              <w:pStyle w:val="Compact"/>
              <w:jc w:val="left"/>
            </w:pPr>
            <w:r>
              <w:t xml:space="preserve">Fixed state vs. KV cache</w:t>
            </w:r>
          </w:p>
        </w:tc>
      </w:tr>
      <w:tr>
        <w:tc>
          <w:tcPr/>
          <w:p>
            <w:pPr>
              <w:pStyle w:val="Compact"/>
              <w:jc w:val="left"/>
            </w:pPr>
            <w:r>
              <w:t xml:space="preserve">Inference speedup</w:t>
            </w:r>
          </w:p>
        </w:tc>
        <w:tc>
          <w:tcPr/>
          <w:p>
            <w:pPr>
              <w:pStyle w:val="Compact"/>
              <w:jc w:val="left"/>
            </w:pPr>
            <w:r>
              <w:t xml:space="preserve">Baseline</w:t>
            </w:r>
          </w:p>
        </w:tc>
        <w:tc>
          <w:tcPr/>
          <w:p>
            <w:pPr>
              <w:pStyle w:val="Compact"/>
              <w:jc w:val="left"/>
            </w:pPr>
            <w:r>
              <w:t xml:space="preserve">2–8×</w:t>
            </w:r>
            <w:r>
              <w:t xml:space="preserve"> </w:t>
            </w:r>
            <w:fldSimple w:instr="NOTEREF _Ref_Footnote_35 \h \f">
              <w:r>
                <w:rPr>
                  <w:vertAlign w:val="superscript"/>
                </w:rPr>
                <w:t>35</w:t>
              </w:r>
            </w:fldSimple>
          </w:p>
        </w:tc>
        <w:tc>
          <w:tcPr/>
          <w:p>
            <w:pPr>
              <w:pStyle w:val="Compact"/>
              <w:jc w:val="left"/>
            </w:pPr>
            <w:r>
              <w:t xml:space="preserve">2–8×</w:t>
            </w:r>
          </w:p>
        </w:tc>
        <w:tc>
          <w:tcPr/>
          <w:p>
            <w:pPr>
              <w:pStyle w:val="Compact"/>
              <w:jc w:val="left"/>
            </w:pPr>
            <w:r>
              <w:t xml:space="preserve">Linear complexity</w:t>
            </w:r>
          </w:p>
        </w:tc>
      </w:tr>
    </w:tbl>
    <w:p>
      <w:pPr>
        <w:pStyle w:val="BodyText"/>
      </w:pPr>
      <w:r>
        <w:t xml:space="preserve">The table makes explicit what the prose states: pure SSMs and pure Transformers occupy opposite corners of a tradeoff space that hybrid architectures are designed to bridge. The 7% attention allocation in Mamba-2-Hybrid is not an afterthought but a targeted intervention for the exact-retrieval failure mode of linear attention. The 43% Mamba-2 allocation handles dense pattern completion where recurrent state compression excels, while the 50% MLP layers provide standard feedforward transformation. For a deterministic substrate, this result carries an architectural lesson: homogeneous memory substrates are insufficient. A system that must handle both dense pattern completion and precise fact retrieval requires heterogeneous memory layers, each specialized to a distinct access pattern, coordinated rather than merged into a single mechanism.</w:t>
      </w:r>
    </w:p>
    <w:bookmarkEnd w:id="76"/>
    <w:bookmarkStart w:id="77" w:name="Xb32bb9b0048257acfceff25003eb63f16fe9080"/>
    <w:p>
      <w:pPr>
        <w:pStyle w:val="Heading4"/>
      </w:pPr>
      <w:r>
        <w:t xml:space="preserve">4.3.3 Feature Collision: The Fundamental Flaw of Linear Attention</w:t>
      </w:r>
    </w:p>
    <w:p>
      <w:pPr>
        <w:pStyle w:val="FirstParagraph"/>
      </w:pPr>
      <w:r>
        <w:t xml:space="preserve">The linear complexity of SSMs and linear attention variants (Performer, LinFormer) is achieved by replacing the softmax attention kernel with a feature map, reducing complexity from</w:t>
      </w:r>
      <w:r>
        <w:t xml:space="preserve"> </w:t>
      </w:r>
      <m:oMath>
        <m:r>
          <m:t>O</m:t>
        </m:r>
        <m:d>
          <m:dPr>
            <m:begChr m:val="("/>
            <m:endChr m:val=")"/>
            <m:sepChr m:val=""/>
            <m:grow/>
          </m:dPr>
          <m:e>
            <m:sSup>
              <m:e>
                <m:r>
                  <m:t>L</m:t>
                </m:r>
              </m:e>
              <m:sup>
                <m:r>
                  <m:t>2</m:t>
                </m:r>
              </m:sup>
            </m:sSup>
          </m:e>
        </m:d>
      </m:oMath>
      <w:r>
        <w:t xml:space="preserve"> </w:t>
      </w:r>
      <w:r>
        <w:t xml:space="preserve">to</w:t>
      </w:r>
      <w:r>
        <w:t xml:space="preserve"> </w:t>
      </w:r>
      <m:oMath>
        <m:r>
          <m:t>O</m:t>
        </m:r>
        <m:d>
          <m:dPr>
            <m:begChr m:val="("/>
            <m:endChr m:val=")"/>
            <m:sepChr m:val=""/>
            <m:grow/>
          </m:dPr>
          <m:e>
            <m:r>
              <m:t>L</m:t>
            </m:r>
          </m:e>
        </m:d>
      </m:oMath>
      <w:r>
        <w:t xml:space="preserve">. This introduces a fundamental information-theoretic limitation:</w:t>
      </w:r>
      <w:r>
        <w:t xml:space="preserve"> </w:t>
      </w:r>
      <w:r>
        <w:rPr>
          <w:bCs/>
          <w:b/>
        </w:rPr>
        <w:t xml:space="preserve">feature collision</w:t>
      </w:r>
      <w:r>
        <w:t xml:space="preserve">. Linear attention compresses</w:t>
      </w:r>
      <w:r>
        <w:t xml:space="preserve"> </w:t>
      </w:r>
      <m:oMath>
        <m:r>
          <m:t>L</m:t>
        </m:r>
      </m:oMath>
      <w:r>
        <w:t xml:space="preserve"> </w:t>
      </w:r>
      <w:r>
        <w:t xml:space="preserve">distinct token associations into a single fixed-size state matrix via additive updates. Over long sequences, distinct features collide — their contributions to the state matrix become statistically indistinguishable. The model physically loses the capacity for sharp, exact associative recall</w:t>
      </w:r>
      <w:r>
        <w:t xml:space="preserve"> </w:t>
      </w:r>
      <w:r>
        <w:rPr>
          <w:vertAlign w:val="superscript"/>
        </w:rPr>
        <w:footnoteReference w:id="63"/>
      </w:r>
      <w:r>
        <w:t xml:space="preserve">.</w:t>
      </w:r>
    </w:p>
    <w:p>
      <w:pPr>
        <w:pStyle w:val="BodyText"/>
      </w:pPr>
      <w:r>
        <w:t xml:space="preserve">This is not a minor quality degradation but a categorical capability loss. At 128K+ tokens, linear attention cannot reliably distinguish between tokens that were seen at different positions if their feature representations overlap. For precision-heavy use cases — code repositories, medical records, legal contracts with cross-references — this limitation is disqualifying. The Mamba-2-Hybrid solution acknowledges this explicitly: attention layers are retained precisely for tasks where exact retrieval is required. The hybrid architecture is not a compromise but a recognition that different memory access patterns require different computational substrates.</w:t>
      </w:r>
    </w:p>
    <w:bookmarkEnd w:id="77"/>
    <w:bookmarkEnd w:id="78"/>
    <w:bookmarkStart w:id="82" w:name="hyperdimensional-computing-in-detail"/>
    <w:p>
      <w:pPr>
        <w:pStyle w:val="Heading3"/>
      </w:pPr>
      <w:r>
        <w:t xml:space="preserve">4.4 Hyperdimensional Computing in Detail</w:t>
      </w:r>
    </w:p>
    <w:bookmarkStart w:id="79" w:name="X5ecb00ce636d472b7b8ccd2b6fd9f17ce1ba1a2"/>
    <w:p>
      <w:pPr>
        <w:pStyle w:val="Heading4"/>
      </w:pPr>
      <w:r>
        <w:t xml:space="preserve">4.4.1 FHRR: Fourier Holographic Reduced Representations</w:t>
      </w:r>
    </w:p>
    <w:p>
      <w:pPr>
        <w:pStyle w:val="FirstParagraph"/>
      </w:pPr>
      <w:r>
        <w:t xml:space="preserve">HDC encompasses multiple Vector Symbolic Architecture (VSA) models, each with distinct algebraic properties. Fourier Holographic Reduced Representations (FHRR) represent each hypervector dimension as a unit-magnitude complex phasor, where the full hypervector has the form:</w:t>
      </w:r>
    </w:p>
    <w:p>
      <w:pPr>
        <w:pStyle w:val="BodyText"/>
      </w:pPr>
      <m:oMathPara>
        <m:oMathParaPr>
          <m:jc m:val="center"/>
        </m:oMathParaPr>
        <m:oMath>
          <m:r>
            <m:rPr>
              <m:sty m:val="b"/>
            </m:rPr>
            <m:t>H</m:t>
          </m:r>
          <m:r>
            <m:rPr>
              <m:sty m:val="p"/>
            </m:rPr>
            <m:t>=</m:t>
          </m:r>
          <m:d>
            <m:dPr>
              <m:begChr m:val="["/>
              <m:endChr m:val="]"/>
              <m:sepChr m:val=""/>
              <m:grow/>
            </m:dPr>
            <m:e>
              <m:sSup>
                <m:e>
                  <m:r>
                    <m:t>e</m:t>
                  </m:r>
                </m:e>
                <m:sup>
                  <m:r>
                    <m:t>i</m:t>
                  </m:r>
                  <m:sSub>
                    <m:e>
                      <m:r>
                        <m:t>θ</m:t>
                      </m:r>
                    </m:e>
                    <m:sub>
                      <m:r>
                        <m:t>1</m:t>
                      </m:r>
                    </m:sub>
                  </m:sSub>
                </m:sup>
              </m:sSup>
              <m:r>
                <m:rPr>
                  <m:sty m:val="p"/>
                </m:rPr>
                <m:t>,</m:t>
              </m:r>
              <m:sSup>
                <m:e>
                  <m:r>
                    <m:t>e</m:t>
                  </m:r>
                </m:e>
                <m:sup>
                  <m:r>
                    <m:t>i</m:t>
                  </m:r>
                  <m:sSub>
                    <m:e>
                      <m:r>
                        <m:t>θ</m:t>
                      </m:r>
                    </m:e>
                    <m:sub>
                      <m:r>
                        <m:t>2</m:t>
                      </m:r>
                    </m:sub>
                  </m:sSub>
                </m:sup>
              </m:sSup>
              <m:r>
                <m:rPr>
                  <m:sty m:val="p"/>
                </m:rPr>
                <m:t>,</m:t>
              </m:r>
              <m:r>
                <m:rPr>
                  <m:sty m:val="p"/>
                </m:rPr>
                <m:t>…</m:t>
              </m:r>
              <m:r>
                <m:rPr>
                  <m:sty m:val="p"/>
                </m:rPr>
                <m:t>,</m:t>
              </m:r>
              <m:sSup>
                <m:e>
                  <m:r>
                    <m:t>e</m:t>
                  </m:r>
                </m:e>
                <m:sup>
                  <m:r>
                    <m:t>i</m:t>
                  </m:r>
                  <m:sSub>
                    <m:e>
                      <m:r>
                        <m:t>θ</m:t>
                      </m:r>
                    </m:e>
                    <m:sub>
                      <m:r>
                        <m:t>D</m:t>
                      </m:r>
                    </m:sub>
                  </m:sSub>
                </m:sup>
              </m:sSup>
            </m:e>
          </m:d>
        </m:oMath>
      </m:oMathPara>
    </w:p>
    <w:p>
      <w:pPr>
        <w:pStyle w:val="FirstParagraph"/>
      </w:pPr>
      <w:r>
        <w:t xml:space="preserve">The three core operations are defined on this complex phasor representation.</w:t>
      </w:r>
      <w:r>
        <w:t xml:space="preserve"> </w:t>
      </w:r>
      <w:r>
        <w:rPr>
          <w:bCs/>
          <w:b/>
        </w:rPr>
        <w:t xml:space="preserve">Binding</w:t>
      </w:r>
      <w:r>
        <w:t xml:space="preserve"> </w:t>
      </w:r>
      <w:r>
        <w:t xml:space="preserve">(associating two hypervectors) corresponds to element-wise complex multiplication, which adds phases:</w:t>
      </w:r>
      <w:r>
        <w:t xml:space="preserve"> </w:t>
      </w:r>
      <m:oMath>
        <m:sSub>
          <m:e>
            <m:r>
              <m:rPr>
                <m:sty m:val="b"/>
              </m:rPr>
              <m:t>H</m:t>
            </m:r>
          </m:e>
          <m:sub>
            <m:r>
              <m:t>1</m:t>
            </m:r>
          </m:sub>
        </m:sSub>
        <m:r>
          <m:rPr>
            <m:sty m:val="p"/>
          </m:rPr>
          <m:t>⊙</m:t>
        </m:r>
        <m:sSub>
          <m:e>
            <m:r>
              <m:rPr>
                <m:sty m:val="b"/>
              </m:rPr>
              <m:t>H</m:t>
            </m:r>
          </m:e>
          <m:sub>
            <m:r>
              <m:t>2</m:t>
            </m:r>
          </m:sub>
        </m:sSub>
        <m:r>
          <m:rPr>
            <m:sty m:val="p"/>
          </m:rPr>
          <m:t>=</m:t>
        </m:r>
        <m:sSubSup>
          <m:e>
            <m:d>
              <m:dPr>
                <m:begChr m:val="["/>
                <m:endChr m:val="]"/>
                <m:sepChr m:val=""/>
                <m:grow/>
              </m:dPr>
              <m:e>
                <m:sSup>
                  <m:e>
                    <m:r>
                      <m:t>e</m:t>
                    </m:r>
                  </m:e>
                  <m:sup>
                    <m:r>
                      <m:t>i</m:t>
                    </m:r>
                    <m:d>
                      <m:dPr>
                        <m:begChr m:val="("/>
                        <m:endChr m:val=")"/>
                        <m:sepChr m:val=""/>
                        <m:grow/>
                      </m:dPr>
                      <m:e>
                        <m:sSub>
                          <m:e>
                            <m:r>
                              <m:t>θ</m:t>
                            </m:r>
                          </m:e>
                          <m:sub>
                            <m:r>
                              <m:t>1</m:t>
                            </m:r>
                            <m:r>
                              <m:rPr>
                                <m:sty m:val="p"/>
                              </m:rPr>
                              <m:t>,</m:t>
                            </m:r>
                            <m:r>
                              <m:t>j</m:t>
                            </m:r>
                          </m:sub>
                        </m:sSub>
                        <m:r>
                          <m:rPr>
                            <m:sty m:val="p"/>
                          </m:rPr>
                          <m:t>+</m:t>
                        </m:r>
                        <m:sSub>
                          <m:e>
                            <m:r>
                              <m:t>θ</m:t>
                            </m:r>
                          </m:e>
                          <m:sub>
                            <m:r>
                              <m:t>2</m:t>
                            </m:r>
                            <m:r>
                              <m:rPr>
                                <m:sty m:val="p"/>
                              </m:rPr>
                              <m:t>,</m:t>
                            </m:r>
                            <m:r>
                              <m:t>j</m:t>
                            </m:r>
                          </m:sub>
                        </m:sSub>
                      </m:e>
                    </m:d>
                  </m:sup>
                </m:sSup>
              </m:e>
            </m:d>
          </m:e>
          <m:sub>
            <m:r>
              <m:t>j</m:t>
            </m:r>
            <m:r>
              <m:rPr>
                <m:sty m:val="p"/>
              </m:rPr>
              <m:t>=</m:t>
            </m:r>
            <m:r>
              <m:t>1</m:t>
            </m:r>
          </m:sub>
          <m:sup>
            <m:r>
              <m:t>D</m:t>
            </m:r>
          </m:sup>
        </m:sSubSup>
      </m:oMath>
      <w:r>
        <w:t xml:space="preserve">.</w:t>
      </w:r>
      <w:r>
        <w:t xml:space="preserve"> </w:t>
      </w:r>
      <w:r>
        <w:rPr>
          <w:bCs/>
          <w:b/>
        </w:rPr>
        <w:t xml:space="preserve">Unbinding</w:t>
      </w:r>
      <w:r>
        <w:t xml:space="preserve"> </w:t>
      </w:r>
      <w:r>
        <w:t xml:space="preserve">(querying an association) uses complex conjugate multiplication, which subtracts phases:</w:t>
      </w:r>
      <w:r>
        <w:t xml:space="preserve"> </w:t>
      </w:r>
      <m:oMath>
        <m:sSub>
          <m:e>
            <m:r>
              <m:rPr>
                <m:sty m:val="b"/>
              </m:rPr>
              <m:t>H</m:t>
            </m:r>
          </m:e>
          <m:sub>
            <m:r>
              <m:t>1</m:t>
            </m:r>
          </m:sub>
        </m:sSub>
        <m:r>
          <m:rPr>
            <m:sty m:val="p"/>
          </m:rPr>
          <m:t>⊙</m:t>
        </m:r>
        <m:sSub>
          <m:e>
            <m:bar>
              <m:barPr>
                <m:pos m:val="top"/>
              </m:barPr>
              <m:e>
                <m:r>
                  <m:rPr>
                    <m:sty m:val="b"/>
                  </m:rPr>
                  <m:t>H</m:t>
                </m:r>
              </m:e>
            </m:bar>
          </m:e>
          <m:sub>
            <m:r>
              <m:t>2</m:t>
            </m:r>
          </m:sub>
        </m:sSub>
      </m:oMath>
      <w:r>
        <w:t xml:space="preserve">.</w:t>
      </w:r>
      <w:r>
        <w:t xml:space="preserve"> </w:t>
      </w:r>
      <w:r>
        <w:rPr>
          <w:bCs/>
          <w:b/>
        </w:rPr>
        <w:t xml:space="preserve">Bundling</w:t>
      </w:r>
      <w:r>
        <w:t xml:space="preserve"> </w:t>
      </w:r>
      <w:r>
        <w:t xml:space="preserve">(superposition) is element-wise vector addition followed by normalization to restore unit magnitude.</w:t>
      </w:r>
      <w:r>
        <w:t xml:space="preserve"> </w:t>
      </w:r>
      <w:r>
        <w:rPr>
          <w:bCs/>
          <w:b/>
        </w:rPr>
        <w:t xml:space="preserve">Similarity</w:t>
      </w:r>
      <w:r>
        <w:t xml:space="preserve"> </w:t>
      </w:r>
      <w:r>
        <w:t xml:space="preserve">is measured by cosine similarity, equivalent to the real part of the normalized inner product. These operations form a bounded algebraic system where every operation preserves the fixed dimension</w:t>
      </w:r>
      <w:r>
        <w:t xml:space="preserve"> </w:t>
      </w:r>
      <m:oMath>
        <m:r>
          <m:t>D</m:t>
        </m:r>
      </m:oMath>
      <w:r>
        <w:t xml:space="preserve">.</w:t>
      </w:r>
    </w:p>
    <w:p>
      <w:pPr>
        <w:pStyle w:val="BodyText"/>
      </w:pPr>
      <w:r>
        <w:t xml:space="preserve">A quantized variant, qFHRR, reduces bit-width from 64-bit complex representations to as few as 3–4 bits per dimension while preserving algebraic properties through modular arithmetic and lookup tables</w:t>
      </w:r>
      <w:r>
        <w:t xml:space="preserve"> </w:t>
      </w:r>
      <w:fldSimple w:instr="NOTEREF _Ref_Footnote_3 \h \f">
        <w:r>
          <w:rPr>
            <w:vertAlign w:val="superscript"/>
          </w:rPr>
          <w:t>3</w:t>
        </w:r>
      </w:fldSimple>
      <w:r>
        <w:t xml:space="preserve">. This enables integer-only implementations suitable for deterministic hardware without floating-point non-determinism. For a substrate requiring bitwise reproducibility, qFHRR offers a path to exact arithmetic: phase indices are discrete, and all operations reduce to integer addition modulo the phase quantization level.</w:t>
      </w:r>
    </w:p>
    <w:p>
      <w:pPr>
        <w:pStyle w:val="BodyText"/>
      </w:pPr>
      <w:r>
        <w:t xml:space="preserve">Generalized Holographic Reduced Representations (GHRR) extend FHRR by representing each dimension as a unitary</w:t>
      </w:r>
      <w:r>
        <w:t xml:space="preserve"> </w:t>
      </w:r>
      <m:oMath>
        <m:r>
          <m:t>m</m:t>
        </m:r>
        <m:r>
          <m:rPr>
            <m:sty m:val="p"/>
          </m:rPr>
          <m:t>×</m:t>
        </m:r>
        <m:r>
          <m:t>m</m:t>
        </m:r>
      </m:oMath>
      <w:r>
        <w:t xml:space="preserve"> </w:t>
      </w:r>
      <w:r>
        <w:t xml:space="preserve">matrix instead of a scalar phasor</w:t>
      </w:r>
      <w:r>
        <w:t xml:space="preserve"> </w:t>
      </w:r>
      <w:fldSimple w:instr="NOTEREF _Ref_Footnote_27 \h \f">
        <w:r>
          <w:rPr>
            <w:vertAlign w:val="superscript"/>
          </w:rPr>
          <w:t>27</w:t>
        </w:r>
      </w:fldSimple>
      <w:r>
        <w:t xml:space="preserve">. Binding becomes element-wise matrix multiplication, enabling non-commutative encoding of ordered structures. For</w:t>
      </w:r>
      <w:r>
        <w:t xml:space="preserve"> </w:t>
      </w:r>
      <m:oMath>
        <m:r>
          <m:t>m</m:t>
        </m:r>
        <m:r>
          <m:rPr>
            <m:sty m:val="p"/>
          </m:rPr>
          <m:t>=</m:t>
        </m:r>
        <m:r>
          <m:t>1</m:t>
        </m:r>
      </m:oMath>
      <w:r>
        <w:t xml:space="preserve">, GHRR reduces to FHRR; for maximal</w:t>
      </w:r>
      <w:r>
        <w:t xml:space="preserve"> </w:t>
      </w:r>
      <m:oMath>
        <m:r>
          <m:t>m</m:t>
        </m:r>
      </m:oMath>
      <w:r>
        <w:t xml:space="preserve">, it approaches the full tensor product representation. Capacity experiments show that GHRR capacity increases approximately linearly with total effective dimension</w:t>
      </w:r>
      <w:r>
        <w:t xml:space="preserve"> </w:t>
      </w:r>
      <m:oMath>
        <m:r>
          <m:t>D</m:t>
        </m:r>
        <m:sSup>
          <m:e>
            <m:r>
              <m:t>m</m:t>
            </m:r>
          </m:e>
          <m:sup>
            <m:r>
              <m:t>2</m:t>
            </m:r>
          </m:sup>
        </m:sSup>
      </m:oMath>
      <w:r>
        <w:t xml:space="preserve">, and</w:t>
      </w:r>
      <w:r>
        <w:t xml:space="preserve"> </w:t>
      </w:r>
      <m:oMath>
        <m:r>
          <m:t>m</m:t>
        </m:r>
        <m:r>
          <m:rPr>
            <m:sty m:val="p"/>
          </m:rPr>
          <m:t>&gt;</m:t>
        </m:r>
        <m:r>
          <m:t>1</m:t>
        </m:r>
      </m:oMath>
      <w:r>
        <w:t xml:space="preserve"> </w:t>
      </w:r>
      <w:r>
        <w:t xml:space="preserve">restores the ability to distinguish permutations of bound hypervectors — a critical property for sequence and path encoding</w:t>
      </w:r>
      <w:r>
        <w:t xml:space="preserve"> </w:t>
      </w:r>
      <w:fldSimple w:instr="NOTEREF _Ref_Footnote_8 \h \f">
        <w:r>
          <w:rPr>
            <w:vertAlign w:val="superscript"/>
          </w:rPr>
          <w:t>8</w:t>
        </w:r>
      </w:fldSimple>
      <w:r>
        <w:t xml:space="preserve">.</w:t>
      </w:r>
    </w:p>
    <w:bookmarkEnd w:id="79"/>
    <w:bookmarkStart w:id="80" w:name="Xeafbcc4c033751481919fde9886339191bdb51a"/>
    <w:p>
      <w:pPr>
        <w:pStyle w:val="Heading4"/>
      </w:pPr>
      <w:r>
        <w:t xml:space="preserve">4.4.2 PathHD: Encoder-Free Knowledge Graph Reasoning</w:t>
      </w:r>
    </w:p>
    <w:p>
      <w:pPr>
        <w:pStyle w:val="FirstParagraph"/>
      </w:pPr>
      <w:r>
        <w:t xml:space="preserve">PathHD demonstrates the practical application of GHRR to knowledge graph reasoning, replacing neural path scoring with hyperdimensional path composition</w:t>
      </w:r>
      <w:r>
        <w:t xml:space="preserve"> </w:t>
      </w:r>
      <w:fldSimple w:instr="NOTEREF _Ref_Footnote_50 \h \f">
        <w:r>
          <w:rPr>
            <w:vertAlign w:val="superscript"/>
          </w:rPr>
          <w:t>50</w:t>
        </w:r>
      </w:fldSimple>
      <w:r>
        <w:t xml:space="preserve">. Relation paths are encoded into block-diagonal GHRR hypervectors using non-commutative binding. A path</w:t>
      </w:r>
      <w:r>
        <w:t xml:space="preserve"> </w:t>
      </w:r>
      <m:oMath>
        <m:r>
          <m:t>A</m:t>
        </m:r>
        <m:limUpp>
          <m:e>
            <m:r>
              <m:rPr>
                <m:sty m:val="p"/>
              </m:rPr>
              <m:t>→</m:t>
            </m:r>
          </m:e>
          <m:lim>
            <m:sSub>
              <m:e>
                <m:r>
                  <m:t>r</m:t>
                </m:r>
              </m:e>
              <m:sub>
                <m:r>
                  <m:t>1</m:t>
                </m:r>
              </m:sub>
            </m:sSub>
          </m:lim>
        </m:limUpp>
        <m:r>
          <m:t>B</m:t>
        </m:r>
        <m:limUpp>
          <m:e>
            <m:r>
              <m:rPr>
                <m:sty m:val="p"/>
              </m:rPr>
              <m:t>→</m:t>
            </m:r>
          </m:e>
          <m:lim>
            <m:sSub>
              <m:e>
                <m:r>
                  <m:t>r</m:t>
                </m:r>
              </m:e>
              <m:sub>
                <m:r>
                  <m:t>2</m:t>
                </m:r>
              </m:sub>
            </m:sSub>
          </m:lim>
        </m:limUpp>
        <m:r>
          <m:t>C</m:t>
        </m:r>
      </m:oMath>
      <w:r>
        <w:t xml:space="preserve"> </w:t>
      </w:r>
      <w:r>
        <w:t xml:space="preserve">is encoded as</w:t>
      </w:r>
      <w:r>
        <w:t xml:space="preserve"> </w:t>
      </w:r>
      <m:oMath>
        <m:sSub>
          <m:e>
            <m:r>
              <m:rPr>
                <m:sty m:val="b"/>
              </m:rPr>
              <m:t>H</m:t>
            </m:r>
          </m:e>
          <m:sub>
            <m:r>
              <m:rPr>
                <m:nor/>
                <m:sty m:val="p"/>
              </m:rPr>
              <m:t>path</m:t>
            </m:r>
          </m:sub>
        </m:sSub>
        <m:r>
          <m:rPr>
            <m:sty m:val="p"/>
          </m:rPr>
          <m:t>=</m:t>
        </m:r>
        <m:sSub>
          <m:e>
            <m:r>
              <m:rPr>
                <m:sty m:val="b"/>
              </m:rPr>
              <m:t>H</m:t>
            </m:r>
          </m:e>
          <m:sub>
            <m:r>
              <m:t>A</m:t>
            </m:r>
          </m:sub>
        </m:sSub>
        <m:r>
          <m:rPr>
            <m:sty m:val="p"/>
          </m:rPr>
          <m:t>⊙</m:t>
        </m:r>
        <m:sSub>
          <m:e>
            <m:r>
              <m:rPr>
                <m:sty m:val="b"/>
              </m:rPr>
              <m:t>R</m:t>
            </m:r>
          </m:e>
          <m:sub>
            <m:r>
              <m:t>1</m:t>
            </m:r>
          </m:sub>
        </m:sSub>
        <m:r>
          <m:rPr>
            <m:sty m:val="p"/>
          </m:rPr>
          <m:t>⊙</m:t>
        </m:r>
        <m:sSub>
          <m:e>
            <m:r>
              <m:rPr>
                <m:sty m:val="b"/>
              </m:rPr>
              <m:t>H</m:t>
            </m:r>
          </m:e>
          <m:sub>
            <m:r>
              <m:t>B</m:t>
            </m:r>
          </m:sub>
        </m:sSub>
        <m:r>
          <m:rPr>
            <m:sty m:val="p"/>
          </m:rPr>
          <m:t>⊙</m:t>
        </m:r>
        <m:sSub>
          <m:e>
            <m:r>
              <m:rPr>
                <m:sty m:val="b"/>
              </m:rPr>
              <m:t>R</m:t>
            </m:r>
          </m:e>
          <m:sub>
            <m:r>
              <m:t>2</m:t>
            </m:r>
          </m:sub>
        </m:sSub>
        <m:r>
          <m:rPr>
            <m:sty m:val="p"/>
          </m:rPr>
          <m:t>⊙</m:t>
        </m:r>
        <m:sSub>
          <m:e>
            <m:r>
              <m:rPr>
                <m:sty m:val="b"/>
              </m:rPr>
              <m:t>H</m:t>
            </m:r>
          </m:e>
          <m:sub>
            <m:r>
              <m:t>C</m:t>
            </m:r>
          </m:sub>
        </m:sSub>
      </m:oMath>
      <w:r>
        <w:t xml:space="preserve">, where entity and relation hypervectors are drawn from a fixed item memory. Candidate retrieval uses fast cosine similarity with Top-K pruning, followed by a single LLM call for adjudication.</w:t>
      </w:r>
    </w:p>
    <w:p>
      <w:pPr>
        <w:pStyle w:val="BodyText"/>
      </w:pPr>
      <w:r>
        <w:t xml:space="preserve">The complexity advantage is substantial. A typical Transformer-based neural encoder incurs</w:t>
      </w:r>
      <w:r>
        <w:t xml:space="preserve"> </w:t>
      </w:r>
      <m:oMath>
        <m:r>
          <m:t>O</m:t>
        </m:r>
        <m:d>
          <m:dPr>
            <m:begChr m:val="("/>
            <m:endChr m:val=")"/>
            <m:sepChr m:val=""/>
            <m:grow/>
          </m:dPr>
          <m:e>
            <m:r>
              <m:t>N</m:t>
            </m:r>
            <m:r>
              <m:t>L</m:t>
            </m:r>
            <m:sSup>
              <m:e>
                <m:r>
                  <m:t>d</m:t>
                </m:r>
              </m:e>
              <m:sup>
                <m:r>
                  <m:t>2</m:t>
                </m:r>
              </m:sup>
            </m:sSup>
          </m:e>
        </m:d>
      </m:oMath>
      <w:r>
        <w:t xml:space="preserve"> </w:t>
      </w:r>
      <w:r>
        <w:t xml:space="preserve">cost for encoding</w:t>
      </w:r>
      <w:r>
        <w:t xml:space="preserve"> </w:t>
      </w:r>
      <m:oMath>
        <m:r>
          <m:t>N</m:t>
        </m:r>
      </m:oMath>
      <w:r>
        <w:t xml:space="preserve"> </w:t>
      </w:r>
      <w:r>
        <w:t xml:space="preserve">candidates with</w:t>
      </w:r>
      <w:r>
        <w:t xml:space="preserve"> </w:t>
      </w:r>
      <m:oMath>
        <m:r>
          <m:t>L</m:t>
        </m:r>
      </m:oMath>
      <w:r>
        <w:t xml:space="preserve"> </w:t>
      </w:r>
      <w:r>
        <w:t xml:space="preserve">layers and dimension</w:t>
      </w:r>
      <w:r>
        <w:t xml:space="preserve"> </w:t>
      </w:r>
      <m:oMath>
        <m:r>
          <m:t>d</m:t>
        </m:r>
      </m:oMath>
      <w:r>
        <w:t xml:space="preserve">. PathHD retrieval costs</w:t>
      </w:r>
      <w:r>
        <w:t xml:space="preserve"> </w:t>
      </w:r>
      <m:oMath>
        <m:r>
          <m:t>O</m:t>
        </m:r>
        <m:d>
          <m:dPr>
            <m:begChr m:val="("/>
            <m:endChr m:val=")"/>
            <m:sepChr m:val=""/>
            <m:grow/>
          </m:dPr>
          <m:e>
            <m:r>
              <m:t>N</m:t>
            </m:r>
            <m:r>
              <m:t>d</m:t>
            </m:r>
          </m:e>
        </m:d>
      </m:oMath>
      <w:r>
        <w:t xml:space="preserve"> </w:t>
      </w:r>
      <w:r>
        <w:t xml:space="preserve">per candidate — an</w:t>
      </w:r>
      <w:r>
        <w:t xml:space="preserve"> </w:t>
      </w:r>
      <m:oMath>
        <m:r>
          <m:t>O</m:t>
        </m:r>
        <m:d>
          <m:dPr>
            <m:begChr m:val="("/>
            <m:endChr m:val=")"/>
            <m:sepChr m:val=""/>
            <m:grow/>
          </m:dPr>
          <m:e>
            <m:r>
              <m:t>L</m:t>
            </m:r>
            <m:r>
              <m:t>d</m:t>
            </m:r>
          </m:e>
        </m:d>
      </m:oMath>
      <w:r>
        <w:t xml:space="preserve">-fold reduction in leading-order complexity</w:t>
      </w:r>
      <w:r>
        <w:t xml:space="preserve"> </w:t>
      </w:r>
      <w:fldSimple w:instr="NOTEREF _Ref_Footnote_51 \h \f">
        <w:r>
          <w:rPr>
            <w:vertAlign w:val="superscript"/>
          </w:rPr>
          <w:t>51</w:t>
        </w:r>
      </w:fldSimple>
      <w:r>
        <w:t xml:space="preserve">. End-to-end latency decreases by 40–60% and GPU memory by 3–5× compared to neural baselines, while Hits@1 accuracy remains competitive. For deterministic runtime, the key advantage is that HDC scoring has no variable compute dependent on sequence structure: every path composition requires exactly</w:t>
      </w:r>
      <w:r>
        <w:t xml:space="preserve"> </w:t>
      </w:r>
      <m:oMath>
        <m:d>
          <m:dPr>
            <m:begChr m:val="("/>
            <m:endChr m:val=")"/>
            <m:sepChr m:val=""/>
            <m:grow/>
          </m:dPr>
          <m:e>
            <m:d>
              <m:dPr>
                <m:begChr m:val="|"/>
                <m:endChr m:val="|"/>
                <m:sepChr m:val=""/>
                <m:grow/>
              </m:dPr>
              <m:e>
                <m:r>
                  <m:t>z</m:t>
                </m:r>
              </m:e>
            </m:d>
            <m:r>
              <m:rPr>
                <m:sty m:val="p"/>
              </m:rPr>
              <m:t>−</m:t>
            </m:r>
            <m:r>
              <m:t>1</m:t>
            </m:r>
          </m:e>
        </m:d>
      </m:oMath>
      <w:r>
        <w:t xml:space="preserve"> </w:t>
      </w:r>
      <w:r>
        <w:t xml:space="preserve">block multiplications plus one similarity computation, where</w:t>
      </w:r>
      <w:r>
        <w:t xml:space="preserve"> </w:t>
      </w:r>
      <m:oMath>
        <m:d>
          <m:dPr>
            <m:begChr m:val="|"/>
            <m:endChr m:val="|"/>
            <m:sepChr m:val=""/>
            <m:grow/>
          </m:dPr>
          <m:e>
            <m:r>
              <m:t>z</m:t>
            </m:r>
          </m:e>
        </m:d>
      </m:oMath>
      <w:r>
        <w:t xml:space="preserve"> </w:t>
      </w:r>
      <w:r>
        <w:t xml:space="preserve">is the path length. This predictability makes HDC operations amenable to worst-case execution time (WCET) analysis, unlike autoregressive attention where compute depends on token co-occurrence patterns.</w:t>
      </w:r>
    </w:p>
    <w:p>
      <w:pPr>
        <w:pStyle w:val="BodyText"/>
      </w:pPr>
      <w:r>
        <w:t xml:space="preserve">The limitation is equally clear: HDC capacity scales linearly with dimension, not infinitely. At 10,000 dimensions, approximately 200 items can be reliably bundled before retrieval noise exceeds the discrimination threshold</w:t>
      </w:r>
      <w:r>
        <w:t xml:space="preserve"> </w:t>
      </w:r>
      <w:fldSimple w:instr="NOTEREF _Ref_Footnote_58 \h \f">
        <w:r>
          <w:rPr>
            <w:vertAlign w:val="superscript"/>
          </w:rPr>
          <w:t>58</w:t>
        </w:r>
      </w:fldSimple>
      <w:r>
        <w:t xml:space="preserve">. Active HDC researchers explicitly acknowledge that</w:t>
      </w:r>
      <w:r>
        <w:t xml:space="preserve"> </w:t>
      </w:r>
      <w:r>
        <w:t xml:space="preserve">“</w:t>
      </w:r>
      <w:r>
        <w:t xml:space="preserve">HDC vectors face capacity limitations determined by the dimension of HD space, encoding method, and potential noise levels</w:t>
      </w:r>
      <w:r>
        <w:t xml:space="preserve">”</w:t>
      </w:r>
      <w:r>
        <w:t xml:space="preserve"> </w:t>
      </w:r>
      <w:r>
        <w:rPr>
          <w:vertAlign w:val="superscript"/>
        </w:rPr>
        <w:footnoteReference w:id="64"/>
      </w:r>
      <w:r>
        <w:t xml:space="preserve">. For knowledge graphs with millions of entities, HDC cannot serve as the primary storage substrate; it functions as a fast associative cache for hot paths and working-set entities.</w:t>
      </w:r>
    </w:p>
    <w:bookmarkEnd w:id="80"/>
    <w:bookmarkStart w:id="81" w:name="lifehd-continual-learning-at-the-edge"/>
    <w:p>
      <w:pPr>
        <w:pStyle w:val="Heading4"/>
      </w:pPr>
      <w:r>
        <w:t xml:space="preserve">4.4.3 LifeHD: Continual Learning at the Edge</w:t>
      </w:r>
    </w:p>
    <w:p>
      <w:pPr>
        <w:pStyle w:val="FirstParagraph"/>
      </w:pPr>
      <w:r>
        <w:t xml:space="preserve">LifeHD is the first on-device unsupervised lifelong learning system using HDC, with a two-tier memory hierarchy (working memory plus long-term memory) for clustering hypervectors on streaming non-i.i.d. data</w:t>
      </w:r>
      <w:r>
        <w:t xml:space="preserve"> </w:t>
      </w:r>
      <w:r>
        <w:rPr>
          <w:vertAlign w:val="superscript"/>
        </w:rPr>
        <w:footnoteReference w:id="65"/>
      </w:r>
      <w:r>
        <w:t xml:space="preserve">. The system improves unsupervised clustering accuracy by up to 74.8% compared to neural-network baselines, with 34.3× better energy efficiency. The mechanism relies on HDC’s sparsity and high dimensionality to improve pattern separability, making it resilient against catastrophic forgetting — the phenomenon where neural networks lose previously learned information when trained on new tasks.</w:t>
      </w:r>
    </w:p>
    <w:p>
      <w:pPr>
        <w:pStyle w:val="BodyText"/>
      </w:pPr>
      <w:r>
        <w:t xml:space="preserve">For a deterministic substrate, LifeHD’s significance lies not in raw accuracy but in its learning dynamics. Neural continual learning requires rehearsal buffers, gradient projection, or parameter isolation — all of which introduce non-determinism through random sampling and optimizer state. HDC continual learning adds new patterns via bundling, a commutative and order-independent operation. The long-term memory hypervector</w:t>
      </w:r>
      <w:r>
        <w:t xml:space="preserve"> </w:t>
      </w:r>
      <m:oMath>
        <m:sSub>
          <m:e>
            <m:r>
              <m:rPr>
                <m:sty m:val="b"/>
              </m:rPr>
              <m:t>M</m:t>
            </m:r>
          </m:e>
          <m:sub>
            <m:r>
              <m:rPr>
                <m:nor/>
                <m:sty m:val="p"/>
              </m:rPr>
              <m:t>LT</m:t>
            </m:r>
          </m:sub>
        </m:sSub>
        <m:r>
          <m:rPr>
            <m:sty m:val="p"/>
          </m:rPr>
          <m:t>=</m:t>
        </m:r>
        <m:nary>
          <m:naryPr>
            <m:chr m:val="∑"/>
            <m:limLoc m:val="undOvr"/>
            <m:subHide m:val="0"/>
            <m:supHide m:val="1"/>
          </m:naryPr>
          <m:sub>
            <m:r>
              <m:t>t</m:t>
            </m:r>
          </m:sub>
          <m:sup>
            <m:r>
              <m:t>​</m:t>
            </m:r>
          </m:sup>
          <m:e>
            <m:sSub>
              <m:e>
                <m:r>
                  <m:rPr>
                    <m:sty m:val="b"/>
                  </m:rPr>
                  <m:t>H</m:t>
                </m:r>
              </m:e>
              <m:sub>
                <m:r>
                  <m:t>t</m:t>
                </m:r>
              </m:sub>
            </m:sSub>
          </m:e>
        </m:nary>
      </m:oMath>
      <w:r>
        <w:t xml:space="preserve"> </w:t>
      </w:r>
      <w:r>
        <w:t xml:space="preserve">accumulates experience without overwriting previous content (until capacity is exceeded). Forgetting is gradual and analyzable: each new bundled vector adds noise proportional to its similarity to existing patterns, a process governed by the central limit theorem rather than nonlinear optimization.</w:t>
      </w:r>
    </w:p>
    <w:p>
      <w:pPr>
        <w:pStyle w:val="BodyText"/>
      </w:pPr>
      <w:r>
        <w:t xml:space="preserve">The honesty required by the research findings is this: HDC provides graceful degradation under capacity overflow, not infinite storage. When the number of bundled items exceeds the dimension-dependent threshold, retrieval accuracy declines smoothly rather than catastrophically — the holographic property ensures partial information recovery. But decline it does. The</w:t>
      </w:r>
      <w:r>
        <w:t xml:space="preserve"> </w:t>
      </w:r>
      <w:r>
        <w:t xml:space="preserve">“</w:t>
      </w:r>
      <w:r>
        <w:t xml:space="preserve">infinite capacity</w:t>
      </w:r>
      <w:r>
        <w:t xml:space="preserve">”</w:t>
      </w:r>
      <w:r>
        <w:t xml:space="preserve"> </w:t>
      </w:r>
      <w:r>
        <w:t xml:space="preserve">claim advanced in some popular discussions of phase-coherent memory is rejected by all peer-reviewed evidence. The strongest proven result is exponential capacity in specialized topologies (honeycomb Kuramoto, continuous Hopfield), linear capacity in HDC, and constant state size with feature-collision limitations in SSMs. Each is powerful within its domain; none transcends finite physical constraints.</w:t>
      </w:r>
    </w:p>
    <w:p>
      <w:pPr>
        <w:pStyle w:val="BodyText"/>
      </w:pPr>
      <w:r>
        <w:t xml:space="preserve">The architectural implication for a deterministic superintelligence substrate is that memory must be tiered. Layer 1 (MLA cache) handles immediate context with constant size. Layer 2 (HDC) provides associative retrieval for hundreds of structured facts with microsecond latency. Layer 3 (attractor networks) stores deep patterns with exponential capacity but requires specialized topologies and millisecond-scale convergence. No single layer suffices; their integration creates a memory system whose aggregate properties exceed any individual component, while each layer’s limitations are respected rather than denied.</w:t>
      </w:r>
    </w:p>
    <w:p>
      <w:r>
        <w:pict>
          <v:rect style="width:0;height:1.5pt" o:hralign="center" o:hrstd="t" o:hr="t"/>
        </w:pict>
      </w:r>
    </w:p>
    <w:bookmarkEnd w:id="81"/>
    <w:bookmarkEnd w:id="82"/>
    <w:bookmarkEnd w:id="83"/>
    <w:bookmarkEnd w:id="84"/>
    <w:bookmarkStart w:id="101" w:name="X12ff19b7feb3dec7b98627c7443dd8f49409cb9"/>
    <w:p>
      <w:pPr>
        <w:pStyle w:val="Heading1"/>
      </w:pPr>
      <w:r>
        <w:t xml:space="preserve">5. Executable Ontologies: When Physics Becomes a Type System</w:t>
      </w:r>
    </w:p>
    <w:p>
      <w:pPr>
        <w:pStyle w:val="FirstParagraph"/>
      </w:pPr>
      <w:r>
        <w:t xml:space="preserve">The central thesis of this chapter is that physical law, mathematical structure, and software correctness can be treated as a single compile target. Rather than viewing physics as a post-hoc filter on model outputs — a validator that runs after generation is complete — we treat it as a</w:t>
      </w:r>
      <w:r>
        <w:t xml:space="preserve"> </w:t>
      </w:r>
      <w:r>
        <w:rPr>
          <w:iCs/>
          <w:i/>
        </w:rPr>
        <w:t xml:space="preserve">type system</w:t>
      </w:r>
      <w:r>
        <w:t xml:space="preserve"> </w:t>
      </w:r>
      <w:r>
        <w:t xml:space="preserve">that constrains what the model is permitted to propose in the first place. An ontology of mechanics, thermodynamics, or electromagnetism becomes an executable profile: a formal object that compiles to Rust traits for zero-cost runtime validation</w:t>
      </w:r>
      <w:r>
        <w:t xml:space="preserve"> </w:t>
      </w:r>
      <w:r>
        <w:rPr>
          <w:iCs/>
          <w:i/>
        </w:rPr>
        <w:t xml:space="preserve">and</w:t>
      </w:r>
      <w:r>
        <w:t xml:space="preserve"> </w:t>
      </w:r>
      <w:r>
        <w:t xml:space="preserve">to neural network architectural constraints for structural inductive bias. This is the dual-compile-target insight that underpins the Rex deterministic superintelligence substrate.</w:t>
      </w:r>
    </w:p>
    <w:p>
      <w:pPr>
        <w:pStyle w:val="BodyText"/>
      </w:pPr>
      <w:r>
        <w:t xml:space="preserve">The approach is motivated by a structural observation. Large language models (LLMs) generate claims in natural language: equations, causal assertions, empirical statements, and code invariants. Each claim can be decomposed into typed structures — a graph of assertions with quantified variables, dimensional attributes, and logical dependencies — and validated against an ontological profile that defines what is physically admissible. The model ceases to be a source of truth and becomes a</w:t>
      </w:r>
      <w:r>
        <w:t xml:space="preserve"> </w:t>
      </w:r>
      <w:r>
        <w:rPr>
          <w:iCs/>
          <w:i/>
        </w:rPr>
        <w:t xml:space="preserve">proposal engine</w:t>
      </w:r>
      <w:r>
        <w:t xml:space="preserve"> </w:t>
      </w:r>
      <w:r>
        <w:t xml:space="preserve">whose outputs are checked, repaired, and committed only after they satisfy formal constraints. This chapter develops the machinery for that pipeline: the</w:t>
      </w:r>
      <w:r>
        <w:t xml:space="preserve"> </w:t>
      </w:r>
      <w:r>
        <w:rPr>
          <w:rStyle w:val="VerbatimChar"/>
        </w:rPr>
        <w:t xml:space="preserve">OntologicalProfile</w:t>
      </w:r>
      <w:r>
        <w:t xml:space="preserve"> </w:t>
      </w:r>
      <w:r>
        <w:t xml:space="preserve">compiler, physics-as-type constraints via Rust dimensional analysis, the dual compile target into both software and neural architectures, and falsifiability-driven evidence evaluation.</w:t>
      </w:r>
    </w:p>
    <w:bookmarkStart w:id="88" w:name="the-ontological-profile-compiler"/>
    <w:p>
      <w:pPr>
        <w:pStyle w:val="Heading2"/>
      </w:pPr>
      <w:r>
        <w:t xml:space="preserve">5.1 The Ontological Profile Compiler</w:t>
      </w:r>
    </w:p>
    <w:bookmarkStart w:id="85" w:name="profile-structure"/>
    <w:p>
      <w:pPr>
        <w:pStyle w:val="Heading3"/>
      </w:pPr>
      <w:r>
        <w:t xml:space="preserve">5.1.1 Profile Structure</w:t>
      </w:r>
    </w:p>
    <w:p>
      <w:pPr>
        <w:pStyle w:val="FirstParagraph"/>
      </w:pPr>
      <w:r>
        <w:t xml:space="preserve">An</w:t>
      </w:r>
      <w:r>
        <w:t xml:space="preserve"> </w:t>
      </w:r>
      <w:r>
        <w:rPr>
          <w:rStyle w:val="VerbatimChar"/>
        </w:rPr>
        <w:t xml:space="preserve">OntologicalProfile</w:t>
      </w:r>
      <w:r>
        <w:t xml:space="preserve"> </w:t>
      </w:r>
      <w:r>
        <w:t xml:space="preserve">is the schema against which all model outputs in a domain are validated. It is not a lightweight JSON schema for syntax checking; it is a formal specification of entities, relations, quantities, invariants, transitions, and proof obligations. In the Rex architecture, a profile is defined as:</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OntologicalProfile </w:t>
      </w:r>
      <w:r>
        <w:rPr>
          <w:rStyle w:val="OperatorTok"/>
        </w:rPr>
        <w:t xml:space="preserve">{</w:t>
      </w:r>
      <w:r>
        <w:br/>
      </w:r>
      <w:r>
        <w:rPr>
          <w:rStyle w:val="NormalTok"/>
        </w:rPr>
        <w:t xml:space="preserve">    </w:t>
      </w:r>
      <w:r>
        <w:rPr>
          <w:rStyle w:val="KeywordTok"/>
        </w:rPr>
        <w:t xml:space="preserve">pub</w:t>
      </w:r>
      <w:r>
        <w:rPr>
          <w:rStyle w:val="NormalTok"/>
        </w:rPr>
        <w:t xml:space="preserve"> id</w:t>
      </w:r>
      <w:r>
        <w:rPr>
          <w:rStyle w:val="OperatorTok"/>
        </w:rPr>
        <w:t xml:space="preserve">:</w:t>
      </w:r>
      <w:r>
        <w:rPr>
          <w:rStyle w:val="NormalTok"/>
        </w:rPr>
        <w:t xml:space="preserve"> ProfileId</w:t>
      </w:r>
      <w:r>
        <w:rPr>
          <w:rStyle w:val="OperatorTok"/>
        </w:rPr>
        <w:t xml:space="preserve">,</w:t>
      </w:r>
      <w:r>
        <w:br/>
      </w:r>
      <w:r>
        <w:rPr>
          <w:rStyle w:val="NormalTok"/>
        </w:rPr>
        <w:t xml:space="preserve">    </w:t>
      </w:r>
      <w:r>
        <w:rPr>
          <w:rStyle w:val="KeywordTok"/>
        </w:rPr>
        <w:t xml:space="preserve">pub</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entities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EntitySchema</w:t>
      </w:r>
      <w:r>
        <w:rPr>
          <w:rStyle w:val="OperatorTok"/>
        </w:rPr>
        <w:t xml:space="preserve">&gt;,</w:t>
      </w:r>
      <w:r>
        <w:br/>
      </w:r>
      <w:r>
        <w:rPr>
          <w:rStyle w:val="NormalTok"/>
        </w:rPr>
        <w:t xml:space="preserve">    </w:t>
      </w:r>
      <w:r>
        <w:rPr>
          <w:rStyle w:val="KeywordTok"/>
        </w:rPr>
        <w:t xml:space="preserve">pub</w:t>
      </w:r>
      <w:r>
        <w:rPr>
          <w:rStyle w:val="NormalTok"/>
        </w:rPr>
        <w:t xml:space="preserve"> relations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RelationSchema</w:t>
      </w:r>
      <w:r>
        <w:rPr>
          <w:rStyle w:val="OperatorTok"/>
        </w:rPr>
        <w:t xml:space="preserve">&gt;,</w:t>
      </w:r>
      <w:r>
        <w:br/>
      </w:r>
      <w:r>
        <w:rPr>
          <w:rStyle w:val="NormalTok"/>
        </w:rPr>
        <w:t xml:space="preserve">    </w:t>
      </w:r>
      <w:r>
        <w:rPr>
          <w:rStyle w:val="KeywordTok"/>
        </w:rPr>
        <w:t xml:space="preserve">pub</w:t>
      </w:r>
      <w:r>
        <w:rPr>
          <w:rStyle w:val="NormalTok"/>
        </w:rPr>
        <w:t xml:space="preserve"> quantities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QuantitySchema</w:t>
      </w:r>
      <w:r>
        <w:rPr>
          <w:rStyle w:val="OperatorTok"/>
        </w:rPr>
        <w:t xml:space="preserve">&gt;,</w:t>
      </w:r>
      <w:r>
        <w:br/>
      </w:r>
      <w:r>
        <w:rPr>
          <w:rStyle w:val="NormalTok"/>
        </w:rPr>
        <w:t xml:space="preserve">    </w:t>
      </w:r>
      <w:r>
        <w:rPr>
          <w:rStyle w:val="KeywordTok"/>
        </w:rPr>
        <w:t xml:space="preserve">pub</w:t>
      </w:r>
      <w:r>
        <w:rPr>
          <w:rStyle w:val="NormalTok"/>
        </w:rPr>
        <w:t xml:space="preserve"> invariants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Invariant</w:t>
      </w:r>
      <w:r>
        <w:rPr>
          <w:rStyle w:val="OperatorTok"/>
        </w:rPr>
        <w:t xml:space="preserve">&gt;,</w:t>
      </w:r>
      <w:r>
        <w:br/>
      </w:r>
      <w:r>
        <w:rPr>
          <w:rStyle w:val="NormalTok"/>
        </w:rPr>
        <w:t xml:space="preserve">    </w:t>
      </w:r>
      <w:r>
        <w:rPr>
          <w:rStyle w:val="KeywordTok"/>
        </w:rPr>
        <w:t xml:space="preserve">pub</w:t>
      </w:r>
      <w:r>
        <w:rPr>
          <w:rStyle w:val="NormalTok"/>
        </w:rPr>
        <w:t xml:space="preserve"> transitions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TransitionRule</w:t>
      </w:r>
      <w:r>
        <w:rPr>
          <w:rStyle w:val="OperatorTok"/>
        </w:rPr>
        <w:t xml:space="preserve">&gt;,</w:t>
      </w:r>
      <w:r>
        <w:br/>
      </w:r>
      <w:r>
        <w:rPr>
          <w:rStyle w:val="NormalTok"/>
        </w:rPr>
        <w:t xml:space="preserve">    </w:t>
      </w:r>
      <w:r>
        <w:rPr>
          <w:rStyle w:val="KeywordTok"/>
        </w:rPr>
        <w:t xml:space="preserve">pub</w:t>
      </w:r>
      <w:r>
        <w:rPr>
          <w:rStyle w:val="NormalTok"/>
        </w:rPr>
        <w:t xml:space="preserve"> proof_obligations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ProofObligation</w:t>
      </w:r>
      <w:r>
        <w:rPr>
          <w:rStyle w:val="OperatorTok"/>
        </w:rPr>
        <w:t xml:space="preserve">&gt;,</w:t>
      </w:r>
      <w:r>
        <w:br/>
      </w:r>
      <w:r>
        <w:rPr>
          <w:rStyle w:val="OperatorTok"/>
        </w:rPr>
        <w:t xml:space="preserve">}</w:t>
      </w:r>
    </w:p>
    <w:p>
      <w:pPr>
        <w:pStyle w:val="FirstParagraph"/>
      </w:pPr>
      <w:r>
        <w:t xml:space="preserve">Each field encodes a distinct aspect of domain semantics.</w:t>
      </w:r>
      <w:r>
        <w:t xml:space="preserve"> </w:t>
      </w:r>
      <w:r>
        <w:rPr>
          <w:rStyle w:val="VerbatimChar"/>
        </w:rPr>
        <w:t xml:space="preserve">entities</w:t>
      </w:r>
      <w:r>
        <w:t xml:space="preserve"> </w:t>
      </w:r>
      <w:r>
        <w:t xml:space="preserve">defines the kinds of objects that can appear in a claim (e.g.,</w:t>
      </w:r>
      <w:r>
        <w:t xml:space="preserve"> </w:t>
      </w:r>
      <w:r>
        <w:rPr>
          <w:rStyle w:val="VerbatimChar"/>
        </w:rPr>
        <w:t xml:space="preserve">Particle</w:t>
      </w:r>
      <w:r>
        <w:t xml:space="preserve">,</w:t>
      </w:r>
      <w:r>
        <w:t xml:space="preserve"> </w:t>
      </w:r>
      <w:r>
        <w:rPr>
          <w:rStyle w:val="VerbatimChar"/>
        </w:rPr>
        <w:t xml:space="preserve">Field</w:t>
      </w:r>
      <w:r>
        <w:t xml:space="preserve">,</w:t>
      </w:r>
      <w:r>
        <w:t xml:space="preserve"> </w:t>
      </w:r>
      <w:r>
        <w:rPr>
          <w:rStyle w:val="VerbatimChar"/>
        </w:rPr>
        <w:t xml:space="preserve">Wavefunction</w:t>
      </w:r>
      <w:r>
        <w:t xml:space="preserve">).</w:t>
      </w:r>
      <w:r>
        <w:t xml:space="preserve"> </w:t>
      </w:r>
      <w:r>
        <w:rPr>
          <w:rStyle w:val="VerbatimChar"/>
        </w:rPr>
        <w:t xml:space="preserve">relations</w:t>
      </w:r>
      <w:r>
        <w:t xml:space="preserve"> </w:t>
      </w:r>
      <w:r>
        <w:t xml:space="preserve">defines how entities may interact (e.g.,</w:t>
      </w:r>
      <w:r>
        <w:t xml:space="preserve"> </w:t>
      </w:r>
      <w:r>
        <w:rPr>
          <w:rStyle w:val="VerbatimChar"/>
        </w:rPr>
        <w:t xml:space="preserve">gravitates_to</w:t>
      </w:r>
      <w:r>
        <w:t xml:space="preserve">,</w:t>
      </w:r>
      <w:r>
        <w:t xml:space="preserve"> </w:t>
      </w:r>
      <w:r>
        <w:rPr>
          <w:rStyle w:val="VerbatimChar"/>
        </w:rPr>
        <w:t xml:space="preserve">interacts_with</w:t>
      </w:r>
      <w:r>
        <w:t xml:space="preserve">,</w:t>
      </w:r>
      <w:r>
        <w:t xml:space="preserve"> </w:t>
      </w:r>
      <w:r>
        <w:rPr>
          <w:rStyle w:val="VerbatimChar"/>
        </w:rPr>
        <w:t xml:space="preserve">decays_into</w:t>
      </w:r>
      <w:r>
        <w:t xml:space="preserve">).</w:t>
      </w:r>
      <w:r>
        <w:t xml:space="preserve"> </w:t>
      </w:r>
      <w:r>
        <w:rPr>
          <w:rStyle w:val="VerbatimChar"/>
        </w:rPr>
        <w:t xml:space="preserve">quantities</w:t>
      </w:r>
      <w:r>
        <w:t xml:space="preserve"> </w:t>
      </w:r>
      <w:r>
        <w:t xml:space="preserve">specifies the dimensional signatures of measurable attributes, expressed as exponent vectors over the seven SI base dimensions (mass, length, time, electric current, thermodynamic temperature, amount of substance, luminous intensity).</w:t>
      </w:r>
      <w:r>
        <w:t xml:space="preserve"> </w:t>
      </w:r>
      <w:r>
        <w:rPr>
          <w:rStyle w:val="VerbatimChar"/>
        </w:rPr>
        <w:t xml:space="preserve">invariants</w:t>
      </w:r>
      <w:r>
        <w:t xml:space="preserve"> </w:t>
      </w:r>
      <w:r>
        <w:t xml:space="preserve">are conservation laws or fixed-point conditions that every valid claim graph must preserve — for instance, conservation of energy-momentum or positivity of entropy production.</w:t>
      </w:r>
      <w:r>
        <w:t xml:space="preserve"> </w:t>
      </w:r>
      <w:r>
        <w:rPr>
          <w:rStyle w:val="VerbatimChar"/>
        </w:rPr>
        <w:t xml:space="preserve">transitions</w:t>
      </w:r>
      <w:r>
        <w:t xml:space="preserve"> </w:t>
      </w:r>
      <w:r>
        <w:t xml:space="preserve">defines admissible state-change rules, and</w:t>
      </w:r>
      <w:r>
        <w:t xml:space="preserve"> </w:t>
      </w:r>
      <w:r>
        <w:rPr>
          <w:rStyle w:val="VerbatimChar"/>
        </w:rPr>
        <w:t xml:space="preserve">proof_obligations</w:t>
      </w:r>
      <w:r>
        <w:t xml:space="preserve"> </w:t>
      </w:r>
      <w:r>
        <w:t xml:space="preserve">attaches formal verification targets to critical claims.</w:t>
      </w:r>
    </w:p>
    <w:p>
      <w:pPr>
        <w:pStyle w:val="BodyText"/>
      </w:pPr>
      <w:r>
        <w:t xml:space="preserve">A physics profile and a codebase profile differ only in the contents of these vectors, not in their structure. A physics profile might declare that</w:t>
      </w:r>
      <w:r>
        <w:t xml:space="preserve"> </w:t>
      </w:r>
      <w:r>
        <w:rPr>
          <w:rStyle w:val="VerbatimChar"/>
        </w:rPr>
        <w:t xml:space="preserve">velocity</w:t>
      </w:r>
      <w:r>
        <w:t xml:space="preserve"> </w:t>
      </w:r>
      <w:r>
        <w:t xml:space="preserve">has dimension</w:t>
      </w:r>
      <w:r>
        <w:t xml:space="preserve"> </w:t>
      </w:r>
      <m:oMath>
        <m:d>
          <m:dPr>
            <m:begChr m:val="["/>
            <m:endChr m:val="]"/>
            <m:sepChr m:val=""/>
            <m:grow/>
          </m:dPr>
          <m:e>
            <m:sSup>
              <m:e>
                <m:r>
                  <m:rPr>
                    <m:nor/>
                    <m:sty m:val="p"/>
                  </m:rPr>
                  <m:t>L</m:t>
                </m:r>
              </m:e>
              <m:sup>
                <m:r>
                  <m:t>1</m:t>
                </m:r>
              </m:sup>
            </m:sSup>
            <m:sSup>
              <m:e>
                <m:r>
                  <m:rPr>
                    <m:nor/>
                    <m:sty m:val="p"/>
                  </m:rPr>
                  <m:t>T</m:t>
                </m:r>
              </m:e>
              <m:sup>
                <m:r>
                  <m:rPr>
                    <m:sty m:val="p"/>
                  </m:rPr>
                  <m:t>−</m:t>
                </m:r>
                <m:r>
                  <m:t>1</m:t>
                </m:r>
              </m:sup>
            </m:sSup>
          </m:e>
        </m:d>
      </m:oMath>
      <w:r>
        <w:t xml:space="preserve">, that energy is conserved under transitions, and that the speed of light is an upper bound on any velocity quantity. A codebase profile might declare that</w:t>
      </w:r>
      <w:r>
        <w:t xml:space="preserve"> </w:t>
      </w:r>
      <w:r>
        <w:rPr>
          <w:rStyle w:val="VerbatimChar"/>
        </w:rPr>
        <w:t xml:space="preserve">Module</w:t>
      </w:r>
      <w:r>
        <w:t xml:space="preserve"> </w:t>
      </w:r>
      <w:r>
        <w:t xml:space="preserve">entities cannot participate in circular</w:t>
      </w:r>
      <w:r>
        <w:t xml:space="preserve"> </w:t>
      </w:r>
      <w:r>
        <w:rPr>
          <w:rStyle w:val="VerbatimChar"/>
        </w:rPr>
        <w:t xml:space="preserve">imports</w:t>
      </w:r>
      <w:r>
        <w:t xml:space="preserve"> </w:t>
      </w:r>
      <w:r>
        <w:t xml:space="preserve">relations, that every</w:t>
      </w:r>
      <w:r>
        <w:t xml:space="preserve"> </w:t>
      </w:r>
      <w:r>
        <w:rPr>
          <w:rStyle w:val="VerbatimChar"/>
        </w:rPr>
        <w:t xml:space="preserve">unsafe</w:t>
      </w:r>
      <w:r>
        <w:t xml:space="preserve"> </w:t>
      </w:r>
      <w:r>
        <w:t xml:space="preserve">block requires a proof obligation dispatched to Kani or Creusot, and that actor-isolation boundaries are transition invariants. The uniform structure enables a single validation engine to operate across domains.</w:t>
      </w:r>
    </w:p>
    <w:bookmarkEnd w:id="85"/>
    <w:bookmarkStart w:id="86" w:name="X0203823407dfa9b276f6e91f02706a340b0b142"/>
    <w:p>
      <w:pPr>
        <w:pStyle w:val="Heading3"/>
      </w:pPr>
      <w:r>
        <w:t xml:space="preserve">5.1.2 Real-Time Claim Extraction via Constrained Decoding</w:t>
      </w:r>
    </w:p>
    <w:p>
      <w:pPr>
        <w:pStyle w:val="FirstParagraph"/>
      </w:pPr>
      <w:r>
        <w:t xml:space="preserve">The profile is useless unless claims can be extracted from model outputs in real time. Token-level physics validation is too brittle: individual tokens carry no semantic structure, and enforcing physical constraints on token distributions is both computationally expensive and semantically vacuous. The correct granularity is the</w:t>
      </w:r>
      <w:r>
        <w:t xml:space="preserve"> </w:t>
      </w:r>
      <w:r>
        <w:rPr>
          <w:iCs/>
          <w:i/>
        </w:rPr>
        <w:t xml:space="preserve">claim</w:t>
      </w:r>
      <w:r>
        <w:t xml:space="preserve"> </w:t>
      </w:r>
      <w:r>
        <w:t xml:space="preserve">— an atomic unit of information that can be evaluated against context, typically a single predicate with subject, object, and quantified attributes</w:t>
      </w:r>
      <w:r>
        <w:t xml:space="preserve"> </w:t>
      </w:r>
      <w:fldSimple w:instr="NOTEREF _Ref_Footnote_21 \h \f">
        <w:r>
          <w:rPr>
            <w:vertAlign w:val="superscript"/>
          </w:rPr>
          <w:t>21</w:t>
        </w:r>
      </w:fldSimple>
      <w:r>
        <w:t xml:space="preserve">.</w:t>
      </w:r>
    </w:p>
    <w:p>
      <w:pPr>
        <w:pStyle w:val="BodyText"/>
      </w:pPr>
      <w:r>
        <w:t xml:space="preserve">Constrained decoding provides the fastest path from natural language output to typed claim structures. XGrammar divides the vocabulary into context-independent tokens (pre-checked against a grammar) and context-dependent tokens (checked at runtime via a persistent pushdown automaton), achieving up to</w:t>
      </w:r>
      <w:r>
        <w:t xml:space="preserve"> </w:t>
      </w:r>
      <m:oMath>
        <m:r>
          <m:t>100</m:t>
        </m:r>
        <m:r>
          <m:rPr>
            <m:sty m:val="p"/>
          </m:rPr>
          <m:t>×</m:t>
        </m:r>
      </m:oMath>
      <w:r>
        <w:t xml:space="preserve"> </w:t>
      </w:r>
      <w:r>
        <w:t xml:space="preserve">speedup over baseline constrained-decoding solutions with per-token overhead below</w:t>
      </w:r>
      <w:r>
        <w:t xml:space="preserve"> </w:t>
      </w:r>
      <m:oMath>
        <m:r>
          <m:t>40</m:t>
        </m:r>
        <m:r>
          <m:t> </m:t>
        </m:r>
        <m:r>
          <m:t>μ</m:t>
        </m:r>
        <m:r>
          <m:rPr>
            <m:nor/>
            <m:sty m:val="p"/>
          </m:rPr>
          <m:t>s</m:t>
        </m:r>
      </m:oMath>
      <w:r>
        <w:t xml:space="preserve"> </w:t>
      </w:r>
      <w:r>
        <w:t xml:space="preserve">for JSON Schema</w:t>
      </w:r>
      <w:r>
        <w:t xml:space="preserve"> </w:t>
      </w:r>
      <w:fldSimple w:instr="NOTEREF _Ref_Footnote_12 \h \f">
        <w:r>
          <w:rPr>
            <w:vertAlign w:val="superscript"/>
          </w:rPr>
          <w:t>12</w:t>
        </w:r>
      </w:fldSimple>
      <w:r>
        <w:t xml:space="preserve">. XGrammar 2 reduces this overhead further to</w:t>
      </w:r>
      <w:r>
        <w:t xml:space="preserve"> </w:t>
      </w:r>
      <m:oMath>
        <m:r>
          <m:t>30</m:t>
        </m:r>
      </m:oMath>
      <w:r>
        <w:t xml:space="preserve">–</w:t>
      </w:r>
      <m:oMath>
        <m:r>
          <m:t>80</m:t>
        </m:r>
        <m:r>
          <m:t> </m:t>
        </m:r>
        <m:r>
          <m:t>μ</m:t>
        </m:r>
        <m:r>
          <m:rPr>
            <m:nor/>
            <m:sty m:val="p"/>
          </m:rPr>
          <m:t>s</m:t>
        </m:r>
      </m:oMath>
      <w:r>
        <w:t xml:space="preserve"> </w:t>
      </w:r>
      <w:r>
        <w:t xml:space="preserve">per token — a latency budget small enough that structured generation adds less than</w:t>
      </w:r>
      <w:r>
        <w:t xml:space="preserve"> </w:t>
      </w:r>
      <m:oMath>
        <m:r>
          <m:t>6</m:t>
        </m:r>
        <m:r>
          <m:rPr>
            <m:sty m:val="p"/>
          </m:rPr>
          <m:t>%</m:t>
        </m:r>
      </m:oMath>
      <w:r>
        <w:t xml:space="preserve"> </w:t>
      </w:r>
      <w:r>
        <w:t xml:space="preserve">overhead to unconstrained decoding on an H100 GPU</w:t>
      </w:r>
      <w:r>
        <w:t xml:space="preserve"> </w:t>
      </w:r>
      <w:fldSimple w:instr="NOTEREF _Ref_Footnote_13 \h \f">
        <w:r>
          <w:rPr>
            <w:vertAlign w:val="superscript"/>
          </w:rPr>
          <w:t>13</w:t>
        </w:r>
      </w:fldSimple>
      <w:r>
        <w:t xml:space="preserve">.</w:t>
      </w:r>
    </w:p>
    <w:p>
      <w:pPr>
        <w:pStyle w:val="BodyText"/>
      </w:pPr>
      <w:r>
        <w:t xml:space="preserve">The</w:t>
      </w:r>
      <w:r>
        <w:t xml:space="preserve"> </w:t>
      </w:r>
      <w:r>
        <w:t xml:space="preserve">“</w:t>
      </w:r>
      <w:r>
        <w:t xml:space="preserve">In-Writing</w:t>
      </w:r>
      <w:r>
        <w:t xml:space="preserve">”</w:t>
      </w:r>
      <w:r>
        <w:t xml:space="preserve"> </w:t>
      </w:r>
      <w:r>
        <w:t xml:space="preserve">unified decoding pattern provides the interaction model: the LLM first generates an unconstrained reasoning trace, then switches to structured generation once a trigger token is emitted</w:t>
      </w:r>
      <w:r>
        <w:t xml:space="preserve"> </w:t>
      </w:r>
      <w:r>
        <w:rPr>
          <w:vertAlign w:val="superscript"/>
        </w:rPr>
        <w:footnoteReference w:id="66"/>
      </w:r>
      <w:r>
        <w:t xml:space="preserve">. This preserves reasoning quality while guaranteeing that the final output adheres to a grammar defining the six claim types. The output is not merely JSON — it is a</w:t>
      </w:r>
      <w:r>
        <w:t xml:space="preserve"> </w:t>
      </w:r>
      <w:r>
        <w:rPr>
          <w:iCs/>
          <w:i/>
        </w:rPr>
        <w:t xml:space="preserve">claim graph</w:t>
      </w:r>
      <w:r>
        <w:t xml:space="preserve"> </w:t>
      </w:r>
      <w:r>
        <w:t xml:space="preserve">with nodes (claims) and edges (dependency, support, contradiction) that the constraint engine can traverse and validate.</w:t>
      </w:r>
    </w:p>
    <w:bookmarkEnd w:id="86"/>
    <w:bookmarkStart w:id="87" w:name="claim-graph-extraction"/>
    <w:p>
      <w:pPr>
        <w:pStyle w:val="Heading3"/>
      </w:pPr>
      <w:r>
        <w:t xml:space="preserve">5.1.3 Claim Graph Extraction</w:t>
      </w:r>
    </w:p>
    <w:p>
      <w:pPr>
        <w:pStyle w:val="FirstParagraph"/>
      </w:pPr>
      <w:r>
        <w:t xml:space="preserve">Once structured, LLM prose is converted into a graph of typed claims. The taxonomy distinguishes six kinds, each with distinct validation semantics: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Claim Kind</w:t>
            </w:r>
          </w:p>
        </w:tc>
        <w:tc>
          <w:tcPr/>
          <w:p>
            <w:pPr>
              <w:pStyle w:val="Compact"/>
              <w:jc w:val="left"/>
            </w:pPr>
            <w:r>
              <w:t xml:space="preserve">Structure</w:t>
            </w:r>
          </w:p>
        </w:tc>
        <w:tc>
          <w:tcPr/>
          <w:p>
            <w:pPr>
              <w:pStyle w:val="Compact"/>
              <w:jc w:val="left"/>
            </w:pPr>
            <w:r>
              <w:t xml:space="preserve">Validation Target</w:t>
            </w:r>
          </w:p>
        </w:tc>
        <w:tc>
          <w:tcPr/>
          <w:p>
            <w:pPr>
              <w:pStyle w:val="Compact"/>
              <w:jc w:val="left"/>
            </w:pPr>
            <w:r>
              <w:t xml:space="preserve">Example</w:t>
            </w:r>
          </w:p>
        </w:tc>
      </w:tr>
      <w:tr>
        <w:tc>
          <w:tcPr/>
          <w:p>
            <w:pPr>
              <w:pStyle w:val="Compact"/>
              <w:jc w:val="left"/>
            </w:pPr>
            <w:r>
              <w:rPr>
                <w:bCs/>
                <w:b/>
              </w:rPr>
              <w:t xml:space="preserve">Equation</w:t>
            </w:r>
          </w:p>
        </w:tc>
        <w:tc>
          <w:tcPr/>
          <w:p>
            <w:pPr>
              <w:pStyle w:val="Compact"/>
              <w:jc w:val="left"/>
            </w:pPr>
            <w:r>
              <w:rPr>
                <w:rStyle w:val="VerbatimChar"/>
              </w:rPr>
              <w:t xml:space="preserve">lhs: Expr</w:t>
            </w:r>
            <w:r>
              <w:t xml:space="preserve">,</w:t>
            </w:r>
            <w:r>
              <w:t xml:space="preserve"> </w:t>
            </w:r>
            <w:r>
              <w:rPr>
                <w:rStyle w:val="VerbatimChar"/>
              </w:rPr>
              <w:t xml:space="preserve">rhs: Expr</w:t>
            </w:r>
          </w:p>
        </w:tc>
        <w:tc>
          <w:tcPr/>
          <w:p>
            <w:pPr>
              <w:pStyle w:val="Compact"/>
              <w:jc w:val="left"/>
            </w:pPr>
            <w:r>
              <w:t xml:space="preserve">Symbolic equality, dimensional consistency, bound checking</w:t>
            </w:r>
          </w:p>
        </w:tc>
        <w:tc>
          <w:tcPr/>
          <w:p>
            <w:pPr>
              <w:pStyle w:val="Compact"/>
              <w:jc w:val="left"/>
            </w:pPr>
            <m:oMath>
              <m:r>
                <m:t>E</m:t>
              </m:r>
              <m:r>
                <m:rPr>
                  <m:sty m:val="p"/>
                </m:rPr>
                <m:t>=</m:t>
              </m:r>
              <m:r>
                <m:t>γ</m:t>
              </m:r>
              <m:r>
                <m:t>m</m:t>
              </m:r>
              <m:sSup>
                <m:e>
                  <m:r>
                    <m:t>c</m:t>
                  </m:r>
                </m:e>
                <m:sup>
                  <m:r>
                    <m:t>2</m:t>
                  </m:r>
                </m:sup>
              </m:sSup>
            </m:oMath>
          </w:p>
        </w:tc>
      </w:tr>
      <w:tr>
        <w:tc>
          <w:tcPr/>
          <w:p>
            <w:pPr>
              <w:pStyle w:val="Compact"/>
              <w:jc w:val="left"/>
            </w:pPr>
            <w:r>
              <w:rPr>
                <w:bCs/>
                <w:b/>
              </w:rPr>
              <w:t xml:space="preserve">Inequality</w:t>
            </w:r>
          </w:p>
        </w:tc>
        <w:tc>
          <w:tcPr/>
          <w:p>
            <w:pPr>
              <w:pStyle w:val="Compact"/>
              <w:jc w:val="left"/>
            </w:pPr>
            <w:r>
              <w:rPr>
                <w:rStyle w:val="VerbatimChar"/>
              </w:rPr>
              <w:t xml:space="preserve">lhs: Expr</w:t>
            </w:r>
            <w:r>
              <w:t xml:space="preserve">,</w:t>
            </w:r>
            <w:r>
              <w:t xml:space="preserve"> </w:t>
            </w:r>
            <w:r>
              <w:rPr>
                <w:rStyle w:val="VerbatimChar"/>
              </w:rPr>
              <w:t xml:space="preserve">op: OrderingOp</w:t>
            </w:r>
            <w:r>
              <w:t xml:space="preserve">,</w:t>
            </w:r>
            <w:r>
              <w:t xml:space="preserve"> </w:t>
            </w:r>
            <w:r>
              <w:rPr>
                <w:rStyle w:val="VerbatimChar"/>
              </w:rPr>
              <w:t xml:space="preserve">rhs: Expr</w:t>
            </w:r>
          </w:p>
        </w:tc>
        <w:tc>
          <w:tcPr/>
          <w:p>
            <w:pPr>
              <w:pStyle w:val="Compact"/>
              <w:jc w:val="left"/>
            </w:pPr>
            <w:r>
              <w:t xml:space="preserve">Range consistency, monotonicity, physical limit adherence</w:t>
            </w:r>
          </w:p>
        </w:tc>
        <w:tc>
          <w:tcPr/>
          <w:p>
            <w:pPr>
              <w:pStyle w:val="Compact"/>
              <w:jc w:val="left"/>
            </w:pPr>
            <m:oMath>
              <m:r>
                <m:t>v</m:t>
              </m:r>
              <m:r>
                <m:rPr>
                  <m:sty m:val="p"/>
                </m:rPr>
                <m:t>&lt;</m:t>
              </m:r>
              <m:r>
                <m:t>c</m:t>
              </m:r>
            </m:oMath>
          </w:p>
        </w:tc>
      </w:tr>
      <w:tr>
        <w:tc>
          <w:tcPr/>
          <w:p>
            <w:pPr>
              <w:pStyle w:val="Compact"/>
              <w:jc w:val="left"/>
            </w:pPr>
            <w:r>
              <w:rPr>
                <w:bCs/>
                <w:b/>
              </w:rPr>
              <w:t xml:space="preserve">Causal</w:t>
            </w:r>
          </w:p>
        </w:tc>
        <w:tc>
          <w:tcPr/>
          <w:p>
            <w:pPr>
              <w:pStyle w:val="Compact"/>
              <w:jc w:val="left"/>
            </w:pPr>
            <w:r>
              <w:rPr>
                <w:rStyle w:val="VerbatimChar"/>
              </w:rPr>
              <w:t xml:space="preserve">cause: EntityId</w:t>
            </w:r>
            <w:r>
              <w:t xml:space="preserve">,</w:t>
            </w:r>
            <w:r>
              <w:t xml:space="preserve"> </w:t>
            </w:r>
            <w:r>
              <w:rPr>
                <w:rStyle w:val="VerbatimChar"/>
              </w:rPr>
              <w:t xml:space="preserve">effect: EntityId</w:t>
            </w:r>
          </w:p>
        </w:tc>
        <w:tc>
          <w:tcPr/>
          <w:p>
            <w:pPr>
              <w:pStyle w:val="Compact"/>
              <w:jc w:val="left"/>
            </w:pPr>
            <w:r>
              <w:t xml:space="preserve">Graph reachability, cycle detection, temporal ordering</w:t>
            </w:r>
          </w:p>
        </w:tc>
        <w:tc>
          <w:tcPr/>
          <w:p>
            <w:pPr>
              <w:pStyle w:val="Compact"/>
              <w:jc w:val="left"/>
            </w:pPr>
            <w:r>
              <w:t xml:space="preserve">“</w:t>
            </w:r>
            <w:r>
              <w:t xml:space="preserve">Force causes acceleration</w:t>
            </w:r>
            <w:r>
              <w:t xml:space="preserve">”</w:t>
            </w:r>
          </w:p>
        </w:tc>
      </w:tr>
      <w:tr>
        <w:tc>
          <w:tcPr/>
          <w:p>
            <w:pPr>
              <w:pStyle w:val="Compact"/>
              <w:jc w:val="left"/>
            </w:pPr>
            <w:r>
              <w:rPr>
                <w:bCs/>
                <w:b/>
              </w:rPr>
              <w:t xml:space="preserve">Definition</w:t>
            </w:r>
          </w:p>
        </w:tc>
        <w:tc>
          <w:tcPr/>
          <w:p>
            <w:pPr>
              <w:pStyle w:val="Compact"/>
              <w:jc w:val="left"/>
            </w:pPr>
            <w:r>
              <w:rPr>
                <w:rStyle w:val="VerbatimChar"/>
              </w:rPr>
              <w:t xml:space="preserve">symbol: String</w:t>
            </w:r>
            <w:r>
              <w:t xml:space="preserve">,</w:t>
            </w:r>
            <w:r>
              <w:t xml:space="preserve"> </w:t>
            </w:r>
            <w:r>
              <w:rPr>
                <w:rStyle w:val="VerbatimChar"/>
              </w:rPr>
              <w:t xml:space="preserve">meaning: String</w:t>
            </w:r>
          </w:p>
        </w:tc>
        <w:tc>
          <w:tcPr/>
          <w:p>
            <w:pPr>
              <w:pStyle w:val="Compact"/>
              <w:jc w:val="left"/>
            </w:pPr>
            <w:r>
              <w:t xml:space="preserve">Non-circularity, symbol uniqueness, type consistency</w:t>
            </w:r>
          </w:p>
        </w:tc>
        <w:tc>
          <w:tcPr/>
          <w:p>
            <w:pPr>
              <w:pStyle w:val="Compact"/>
              <w:jc w:val="left"/>
            </w:pPr>
            <w:r>
              <w:t xml:space="preserve">“</w:t>
            </w:r>
            <w:r>
              <w:t xml:space="preserve">Let</w:t>
            </w:r>
            <w:r>
              <w:t xml:space="preserve"> </w:t>
            </w:r>
            <m:oMath>
              <m:r>
                <m:t>γ</m:t>
              </m:r>
              <m:r>
                <m:rPr>
                  <m:sty m:val="p"/>
                </m:rPr>
                <m:t>=</m:t>
              </m:r>
              <m:sSup>
                <m:e>
                  <m:d>
                    <m:dPr>
                      <m:begChr m:val="("/>
                      <m:endChr m:val=")"/>
                      <m:sepChr m:val=""/>
                      <m:grow/>
                    </m:dPr>
                    <m:e>
                      <m:r>
                        <m:t>1</m:t>
                      </m:r>
                      <m:r>
                        <m:rPr>
                          <m:sty m:val="p"/>
                        </m:rPr>
                        <m:t>−</m:t>
                      </m:r>
                      <m:sSup>
                        <m:e>
                          <m:r>
                            <m:t>v</m:t>
                          </m:r>
                        </m:e>
                        <m:sup>
                          <m:r>
                            <m:t>2</m:t>
                          </m:r>
                        </m:sup>
                      </m:sSup>
                      <m:r>
                        <m:rPr>
                          <m:sty m:val="p"/>
                        </m:rPr>
                        <m:t>/</m:t>
                      </m:r>
                      <m:sSup>
                        <m:e>
                          <m:r>
                            <m:t>c</m:t>
                          </m:r>
                        </m:e>
                        <m:sup>
                          <m:r>
                            <m:t>2</m:t>
                          </m:r>
                        </m:sup>
                      </m:sSup>
                    </m:e>
                  </m:d>
                </m:e>
                <m:sup>
                  <m:r>
                    <m:rPr>
                      <m:sty m:val="p"/>
                    </m:rPr>
                    <m:t>−</m:t>
                  </m:r>
                  <m:r>
                    <m:t>1</m:t>
                  </m:r>
                  <m:r>
                    <m:rPr>
                      <m:sty m:val="p"/>
                    </m:rPr>
                    <m:t>/</m:t>
                  </m:r>
                  <m:r>
                    <m:t>2</m:t>
                  </m:r>
                </m:sup>
              </m:sSup>
            </m:oMath>
            <w:r>
              <w:t xml:space="preserve">”</w:t>
            </w:r>
          </w:p>
        </w:tc>
      </w:tr>
      <w:tr>
        <w:tc>
          <w:tcPr/>
          <w:p>
            <w:pPr>
              <w:pStyle w:val="Compact"/>
              <w:jc w:val="left"/>
            </w:pPr>
            <w:r>
              <w:rPr>
                <w:bCs/>
                <w:b/>
              </w:rPr>
              <w:t xml:space="preserve">Empirical</w:t>
            </w:r>
          </w:p>
        </w:tc>
        <w:tc>
          <w:tcPr/>
          <w:p>
            <w:pPr>
              <w:pStyle w:val="Compact"/>
              <w:jc w:val="left"/>
            </w:pPr>
            <w:r>
              <w:rPr>
                <w:rStyle w:val="VerbatimChar"/>
              </w:rPr>
              <w:t xml:space="preserve">statement: String</w:t>
            </w:r>
            <w:r>
              <w:t xml:space="preserve">,</w:t>
            </w:r>
            <w:r>
              <w:t xml:space="preserve"> </w:t>
            </w:r>
            <w:r>
              <w:rPr>
                <w:rStyle w:val="VerbatimChar"/>
              </w:rPr>
              <w:t xml:space="preserve">evidence: Vec&lt;EvidenceId&gt;</w:t>
            </w:r>
          </w:p>
        </w:tc>
        <w:tc>
          <w:tcPr/>
          <w:p>
            <w:pPr>
              <w:pStyle w:val="Compact"/>
              <w:jc w:val="left"/>
            </w:pPr>
            <w:r>
              <w:t xml:space="preserve">Evidence sufficiency, replication history, source reliability</w:t>
            </w:r>
          </w:p>
        </w:tc>
        <w:tc>
          <w:tcPr/>
          <w:p>
            <w:pPr>
              <w:pStyle w:val="Compact"/>
              <w:jc w:val="left"/>
            </w:pPr>
            <w:r>
              <w:t xml:space="preserve">“</w:t>
            </w:r>
            <w:r>
              <w:t xml:space="preserve">Supernova 1987A neutrinos arrived 3h before light</w:t>
            </w:r>
            <w:r>
              <w:t xml:space="preserve">”</w:t>
            </w:r>
          </w:p>
        </w:tc>
      </w:tr>
      <w:tr>
        <w:tc>
          <w:tcPr/>
          <w:p>
            <w:pPr>
              <w:pStyle w:val="Compact"/>
              <w:jc w:val="left"/>
            </w:pPr>
            <w:r>
              <w:rPr>
                <w:bCs/>
                <w:b/>
              </w:rPr>
              <w:t xml:space="preserve">CodeInvariant</w:t>
            </w:r>
          </w:p>
        </w:tc>
        <w:tc>
          <w:tcPr/>
          <w:p>
            <w:pPr>
              <w:pStyle w:val="Compact"/>
              <w:jc w:val="left"/>
            </w:pPr>
            <w:r>
              <w:rPr>
                <w:rStyle w:val="VerbatimChar"/>
              </w:rPr>
              <w:t xml:space="preserve">module: String</w:t>
            </w:r>
            <w:r>
              <w:t xml:space="preserve">,</w:t>
            </w:r>
            <w:r>
              <w:t xml:space="preserve"> </w:t>
            </w:r>
            <w:r>
              <w:rPr>
                <w:rStyle w:val="VerbatimChar"/>
              </w:rPr>
              <w:t xml:space="preserve">invariant: String</w:t>
            </w:r>
          </w:p>
        </w:tc>
        <w:tc>
          <w:tcPr/>
          <w:p>
            <w:pPr>
              <w:pStyle w:val="Compact"/>
              <w:jc w:val="left"/>
            </w:pPr>
            <w:r>
              <w:t xml:space="preserve">Static analysis, formal verification, dynamic invariant detection</w:t>
            </w:r>
          </w:p>
        </w:tc>
        <w:tc>
          <w:tcPr/>
          <w:p>
            <w:pPr>
              <w:pStyle w:val="Compact"/>
              <w:jc w:val="left"/>
            </w:pPr>
            <w:r>
              <w:t xml:space="preserve">“</w:t>
            </w:r>
            <w:r>
              <w:rPr>
                <w:rStyle w:val="VerbatimChar"/>
              </w:rPr>
              <w:t xml:space="preserve">buffer.len() &gt; 0</w:t>
            </w:r>
            <w:r>
              <w:t xml:space="preserve"> </w:t>
            </w:r>
            <w:r>
              <w:t xml:space="preserve">before</w:t>
            </w:r>
            <w:r>
              <w:t xml:space="preserve"> </w:t>
            </w:r>
            <w:r>
              <w:rPr>
                <w:rStyle w:val="VerbatimChar"/>
              </w:rPr>
              <w:t xml:space="preserve">pop()</w:t>
            </w:r>
            <w:r>
              <w:t xml:space="preserve">”</w:t>
            </w:r>
          </w:p>
        </w:tc>
      </w:tr>
    </w:tbl>
    <w:p>
      <w:pPr>
        <w:pStyle w:val="BodyText"/>
      </w:pPr>
      <w:r>
        <w:t xml:space="preserve">The table encodes a key design decision: different claim kinds require different validators. An</w:t>
      </w:r>
      <w:r>
        <w:t xml:space="preserve"> </w:t>
      </w:r>
      <w:r>
        <w:rPr>
          <w:rStyle w:val="VerbatimChar"/>
        </w:rPr>
        <w:t xml:space="preserve">Equation</w:t>
      </w:r>
      <w:r>
        <w:t xml:space="preserve"> </w:t>
      </w:r>
      <w:r>
        <w:t xml:space="preserve">is checked by symbolic algebra and dimensional analysis; an</w:t>
      </w:r>
      <w:r>
        <w:t xml:space="preserve"> </w:t>
      </w:r>
      <w:r>
        <w:rPr>
          <w:rStyle w:val="VerbatimChar"/>
        </w:rPr>
        <w:t xml:space="preserve">Empirical</w:t>
      </w:r>
      <w:r>
        <w:t xml:space="preserve"> </w:t>
      </w:r>
      <w:r>
        <w:t xml:space="preserve">claim is checked by evidence sufficiency scoring and source reliability propagation; a</w:t>
      </w:r>
      <w:r>
        <w:t xml:space="preserve"> </w:t>
      </w:r>
      <w:r>
        <w:rPr>
          <w:rStyle w:val="VerbatimChar"/>
        </w:rPr>
        <w:t xml:space="preserve">CodeInvariant</w:t>
      </w:r>
      <w:r>
        <w:t xml:space="preserve"> </w:t>
      </w:r>
      <w:r>
        <w:t xml:space="preserve">is checked by dynamic invariant detection (Daikon-style trace analysis)</w:t>
      </w:r>
      <w:r>
        <w:t xml:space="preserve"> </w:t>
      </w:r>
      <w:r>
        <w:rPr>
          <w:vertAlign w:val="superscript"/>
        </w:rPr>
        <w:footnoteReference w:id="67"/>
      </w:r>
      <w:r>
        <w:t xml:space="preserve">or static verification via abstract interpretation</w:t>
      </w:r>
      <w:r>
        <w:t xml:space="preserve"> </w:t>
      </w:r>
      <w:r>
        <w:rPr>
          <w:vertAlign w:val="superscript"/>
        </w:rPr>
        <w:footnoteReference w:id="68"/>
      </w:r>
      <w:r>
        <w:t xml:space="preserve">. The claim graph edges capture logical dependencies — an</w:t>
      </w:r>
      <w:r>
        <w:t xml:space="preserve"> </w:t>
      </w:r>
      <w:r>
        <w:rPr>
          <w:rStyle w:val="VerbatimChar"/>
        </w:rPr>
        <w:t xml:space="preserve">Equation</w:t>
      </w:r>
      <w:r>
        <w:t xml:space="preserve"> </w:t>
      </w:r>
      <w:r>
        <w:t xml:space="preserve">may depend on a</w:t>
      </w:r>
      <w:r>
        <w:t xml:space="preserve"> </w:t>
      </w:r>
      <w:r>
        <w:rPr>
          <w:rStyle w:val="VerbatimChar"/>
        </w:rPr>
        <w:t xml:space="preserve">Definition</w:t>
      </w:r>
      <w:r>
        <w:t xml:space="preserve">, a</w:t>
      </w:r>
      <w:r>
        <w:t xml:space="preserve"> </w:t>
      </w:r>
      <w:r>
        <w:rPr>
          <w:rStyle w:val="VerbatimChar"/>
        </w:rPr>
        <w:t xml:space="preserve">Causal</w:t>
      </w:r>
      <w:r>
        <w:t xml:space="preserve"> </w:t>
      </w:r>
      <w:r>
        <w:t xml:space="preserve">claim may be supported by multiple</w:t>
      </w:r>
      <w:r>
        <w:t xml:space="preserve"> </w:t>
      </w:r>
      <w:r>
        <w:rPr>
          <w:rStyle w:val="VerbatimChar"/>
        </w:rPr>
        <w:t xml:space="preserve">Empirical</w:t>
      </w:r>
      <w:r>
        <w:t xml:space="preserve"> </w:t>
      </w:r>
      <w:r>
        <w:t xml:space="preserve">observations — enabling the engine to propagate confidence and detect contradictions across the graph.</w:t>
      </w:r>
    </w:p>
    <w:p>
      <w:pPr>
        <w:pStyle w:val="BodyText"/>
      </w:pPr>
      <w:r>
        <w:t xml:space="preserve">Circuit-based Reasoning Verification (CRV), developed at Meta FAIR, provides a complementary signal. CRV treats attribution graphs of chain-of-thought steps as execution traces of latent reasoning circuits and trains a classifier on structural graph features to predict reasoning errors before claim extraction occurs</w:t>
      </w:r>
      <w:r>
        <w:t xml:space="preserve"> </w:t>
      </w:r>
      <w:r>
        <w:rPr>
          <w:vertAlign w:val="superscript"/>
        </w:rPr>
        <w:footnoteReference w:id="69"/>
      </w:r>
      <w:r>
        <w:t xml:space="preserve">. When CRV flags a reasoning trace as structurally anomalous, the claim graph is marked with elevated uncertainty even before domain-specific validation begins.</w:t>
      </w:r>
    </w:p>
    <w:bookmarkEnd w:id="87"/>
    <w:bookmarkEnd w:id="88"/>
    <w:bookmarkStart w:id="92" w:name="physics-as-type-constraints"/>
    <w:p>
      <w:pPr>
        <w:pStyle w:val="Heading2"/>
      </w:pPr>
      <w:r>
        <w:t xml:space="preserve">5.2 Physics as Type Constraints</w:t>
      </w:r>
    </w:p>
    <w:bookmarkStart w:id="89" w:name="compile-time-dimensional-analysis"/>
    <w:p>
      <w:pPr>
        <w:pStyle w:val="Heading3"/>
      </w:pPr>
      <w:r>
        <w:t xml:space="preserve">5.2.1 Compile-Time Dimensional Analysis</w:t>
      </w:r>
    </w:p>
    <w:p>
      <w:pPr>
        <w:pStyle w:val="FirstParagraph"/>
      </w:pPr>
      <w:r>
        <w:t xml:space="preserve">The most immediate way to make physical law executable is to embed it in the type system. The International System of Quantities (ISQ) defines physical dimensions as exponent vectors over seven base quantities: mass (</w:t>
      </w:r>
      <m:oMath>
        <m:r>
          <m:rPr>
            <m:nor/>
            <m:sty m:val="p"/>
          </m:rPr>
          <m:t>M</m:t>
        </m:r>
      </m:oMath>
      <w:r>
        <w:t xml:space="preserve">), length (</w:t>
      </w:r>
      <m:oMath>
        <m:r>
          <m:rPr>
            <m:nor/>
            <m:sty m:val="p"/>
          </m:rPr>
          <m:t>L</m:t>
        </m:r>
      </m:oMath>
      <w:r>
        <w:t xml:space="preserve">), time (</w:t>
      </w:r>
      <m:oMath>
        <m:r>
          <m:rPr>
            <m:nor/>
            <m:sty m:val="p"/>
          </m:rPr>
          <m:t>T</m:t>
        </m:r>
      </m:oMath>
      <w:r>
        <w:t xml:space="preserve">), electric current (</w:t>
      </w:r>
      <m:oMath>
        <m:r>
          <m:rPr>
            <m:nor/>
            <m:sty m:val="p"/>
          </m:rPr>
          <m:t>I</m:t>
        </m:r>
      </m:oMath>
      <w:r>
        <w:t xml:space="preserve">), thermodynamic temperature (</w:t>
      </w:r>
      <m:oMath>
        <m:r>
          <m:t>Θ</m:t>
        </m:r>
      </m:oMath>
      <w:r>
        <w:t xml:space="preserve">), amount of substance (</w:t>
      </w:r>
      <m:oMath>
        <m:r>
          <m:rPr>
            <m:nor/>
            <m:sty m:val="p"/>
          </m:rPr>
          <m:t>N</m:t>
        </m:r>
      </m:oMath>
      <w:r>
        <w:t xml:space="preserve">), and luminous intensity (</w:t>
      </w:r>
      <m:oMath>
        <m:r>
          <m:rPr>
            <m:nor/>
            <m:sty m:val="p"/>
          </m:rPr>
          <m:t>J</m:t>
        </m:r>
      </m:oMath>
      <w:r>
        <w:t xml:space="preserve">). Any derived quantity — velocity, force, energy, pressure — is a product of these base dimensions with integer exponents. In a type-safe programming language, these exponents can be encoded at the type level, making dimensional mismatch a</w:t>
      </w:r>
      <w:r>
        <w:t xml:space="preserve"> </w:t>
      </w:r>
      <w:r>
        <w:rPr>
          <w:iCs/>
          <w:i/>
        </w:rPr>
        <w:t xml:space="preserve">compile error</w:t>
      </w:r>
      <w:r>
        <w:t xml:space="preserve"> </w:t>
      </w:r>
      <w:r>
        <w:t xml:space="preserve">rather than a runtime exception.</w:t>
      </w:r>
    </w:p>
    <w:p>
      <w:pPr>
        <w:pStyle w:val="BodyText"/>
      </w:pPr>
      <w:r>
        <w:t xml:space="preserve">The Rust</w:t>
      </w:r>
      <w:r>
        <w:t xml:space="preserve"> </w:t>
      </w:r>
      <w:r>
        <w:rPr>
          <w:rStyle w:val="VerbatimChar"/>
        </w:rPr>
        <w:t xml:space="preserve">uom</w:t>
      </w:r>
      <w:r>
        <w:t xml:space="preserve"> </w:t>
      </w:r>
      <w:r>
        <w:t xml:space="preserve">crate (Units of Measurement) provides automatic type-safe zero-cost dimensional analysis based on the ISQ, with over 7.8 million downloads and</w:t>
      </w:r>
      <w:r>
        <w:t xml:space="preserve"> </w:t>
      </w:r>
      <w:r>
        <w:rPr>
          <w:rStyle w:val="VerbatimChar"/>
        </w:rPr>
        <w:t xml:space="preserve">no_std</w:t>
      </w:r>
      <w:r>
        <w:t xml:space="preserve"> </w:t>
      </w:r>
      <w:r>
        <w:t xml:space="preserve">compatibility</w:t>
      </w:r>
      <w:r>
        <w:t xml:space="preserve"> </w:t>
      </w:r>
      <w:fldSimple w:instr="NOTEREF _Ref_Footnote_27 \h \f">
        <w:r>
          <w:rPr>
            <w:vertAlign w:val="superscript"/>
          </w:rPr>
          <w:t>27</w:t>
        </w:r>
      </w:fldSimple>
      <w:r>
        <w:t xml:space="preserve">. The</w:t>
      </w:r>
      <w:r>
        <w:t xml:space="preserve"> </w:t>
      </w:r>
      <w:r>
        <w:rPr>
          <w:rStyle w:val="VerbatimChar"/>
        </w:rPr>
        <w:t xml:space="preserve">dimensioned</w:t>
      </w:r>
      <w:r>
        <w:t xml:space="preserve"> </w:t>
      </w:r>
      <w:r>
        <w:t xml:space="preserve">crate performs equivalent analysis using the</w:t>
      </w:r>
      <w:r>
        <w:t xml:space="preserve"> </w:t>
      </w:r>
      <w:r>
        <w:rPr>
          <w:rStyle w:val="VerbatimChar"/>
        </w:rPr>
        <w:t xml:space="preserve">typenum</w:t>
      </w:r>
      <w:r>
        <w:t xml:space="preserve"> </w:t>
      </w:r>
      <w:r>
        <w:t xml:space="preserve">library for type-level integer arithmetic on unit exponents</w:t>
      </w:r>
      <w:r>
        <w:t xml:space="preserve"> </w:t>
      </w:r>
      <w:fldSimple w:instr="NOTEREF _Ref_Footnote_3 \h \f">
        <w:r>
          <w:rPr>
            <w:vertAlign w:val="superscript"/>
          </w:rPr>
          <w:t>3</w:t>
        </w:r>
      </w:fldSimple>
      <w:r>
        <w:t xml:space="preserve">. Both crates exploit Rust’s monomorphization: dimension types are fully erased at compile time, leaving no runtime metadata and no measurable overhead compared to raw numeric code</w:t>
      </w:r>
      <w:r>
        <w:t xml:space="preserve"> </w:t>
      </w:r>
      <w:r>
        <w:rPr>
          <w:vertAlign w:val="superscript"/>
        </w:rPr>
        <w:footnoteReference w:id="70"/>
      </w:r>
      <w:r>
        <w:t xml:space="preserve">. A Stanford CS231n project demonstrated that const-generic shape-safe deep learning in Rust passes</w:t>
      </w:r>
      <w:r>
        <w:t xml:space="preserve"> </w:t>
      </w:r>
      <w:r>
        <w:t xml:space="preserve">“</w:t>
      </w:r>
      <w:r>
        <w:t xml:space="preserve">raw pointers and integer literals to the backend, so there is no measurable overhead compared to a handwritten C loop</w:t>
      </w:r>
      <w:r>
        <w:t xml:space="preserve">”</w:t>
      </w:r>
      <w:r>
        <w:t xml:space="preserve"> </w:t>
      </w:r>
      <w:fldSimple w:instr="NOTEREF _Ref_Footnote_16 \h \f">
        <w:r>
          <w:rPr>
            <w:vertAlign w:val="superscript"/>
          </w:rPr>
          <w:t>16</w:t>
        </w:r>
      </w:fldSimple>
      <w:r>
        <w:t xml:space="preserve">.</w:t>
      </w:r>
    </w:p>
    <w:p>
      <w:pPr>
        <w:pStyle w:val="BodyText"/>
      </w:pPr>
      <w:r>
        <w:t xml:space="preserve">For Rex, the relevant capability is not merely unit conversion — it is</w:t>
      </w:r>
      <w:r>
        <w:t xml:space="preserve"> </w:t>
      </w:r>
      <w:r>
        <w:rPr>
          <w:iCs/>
          <w:i/>
        </w:rPr>
        <w:t xml:space="preserve">dimensional consistency as a logical firewall</w:t>
      </w:r>
      <w:r>
        <w:t xml:space="preserve">. When a language model proposes an equation, that equation is parsed into a claim graph where every quantity carries a</w:t>
      </w:r>
      <w:r>
        <w:t xml:space="preserve"> </w:t>
      </w:r>
      <w:r>
        <w:rPr>
          <w:rStyle w:val="VerbatimChar"/>
        </w:rPr>
        <w:t xml:space="preserve">Dimension</w:t>
      </w:r>
      <w:r>
        <w:t xml:space="preserve">. The constraint engine checks that both sides of an equation share the same exponent vector. The operation is not a heuristic; it is a formal property enforced by the type system.</w:t>
      </w:r>
    </w:p>
    <w:bookmarkEnd w:id="89"/>
    <w:bookmarkStart w:id="90" w:name="X048efd482559b3d94a84d3bf8bbb8123aea7807"/>
    <w:p>
      <w:pPr>
        <w:pStyle w:val="Heading3"/>
      </w:pPr>
      <w:r>
        <w:t xml:space="preserve">5.2.2 The</w:t>
      </w:r>
      <w:r>
        <w:t xml:space="preserve"> </w:t>
      </w:r>
      <w:r>
        <w:rPr>
          <w:rStyle w:val="VerbatimChar"/>
        </w:rPr>
        <w:t xml:space="preserve">Quantity</w:t>
      </w:r>
      <w:r>
        <w:t xml:space="preserve"> </w:t>
      </w:r>
      <w:r>
        <w:t xml:space="preserve">Type and Runtime Enforcement</w:t>
      </w:r>
    </w:p>
    <w:p>
      <w:pPr>
        <w:pStyle w:val="FirstParagraph"/>
      </w:pPr>
      <w:r>
        <w:t xml:space="preserve">While</w:t>
      </w:r>
      <w:r>
        <w:t xml:space="preserve"> </w:t>
      </w:r>
      <w:r>
        <w:rPr>
          <w:rStyle w:val="VerbatimChar"/>
        </w:rPr>
        <w:t xml:space="preserve">uom</w:t>
      </w:r>
      <w:r>
        <w:t xml:space="preserve"> </w:t>
      </w:r>
      <w:r>
        <w:t xml:space="preserve">and</w:t>
      </w:r>
      <w:r>
        <w:t xml:space="preserve"> </w:t>
      </w:r>
      <w:r>
        <w:rPr>
          <w:rStyle w:val="VerbatimChar"/>
        </w:rPr>
        <w:t xml:space="preserve">dimensioned</w:t>
      </w:r>
      <w:r>
        <w:t xml:space="preserve"> </w:t>
      </w:r>
      <w:r>
        <w:t xml:space="preserve">provide the foundation, Rex needs a</w:t>
      </w:r>
      <w:r>
        <w:t xml:space="preserve"> </w:t>
      </w:r>
      <w:r>
        <w:rPr>
          <w:rStyle w:val="VerbatimChar"/>
        </w:rPr>
        <w:t xml:space="preserve">Quantity</w:t>
      </w:r>
      <w:r>
        <w:t xml:space="preserve"> </w:t>
      </w:r>
      <w:r>
        <w:t xml:space="preserve">abstraction that bridges compile-time types with runtime claim validation — since model outputs arrive at runtime and must be checked dynamically. The implementation uses a seven-element exponent array and enforces dimension matching on every arithmetic operation:</w:t>
      </w:r>
    </w:p>
    <w:p>
      <w:pPr>
        <w:pStyle w:val="SourceCode"/>
      </w:pPr>
      <w:r>
        <w:rPr>
          <w:rStyle w:val="AttributeTok"/>
        </w:rPr>
        <w:t xml:space="preserve">#[</w:t>
      </w:r>
      <w:r>
        <w:rPr>
          <w:rStyle w:val="NormalTok"/>
        </w:rPr>
        <w:t xml:space="preserve">derive</w:t>
      </w:r>
      <w:r>
        <w:rPr>
          <w:rStyle w:val="AttributeTok"/>
        </w:rPr>
        <w:t xml:space="preserve">(</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Debug</w:t>
      </w:r>
      <w:r>
        <w:rPr>
          <w:rStyle w:val="OperatorTok"/>
        </w:rPr>
        <w:t xml:space="preserve">,</w:t>
      </w:r>
      <w:r>
        <w:rPr>
          <w:rStyle w:val="NormalTok"/>
        </w:rPr>
        <w:t xml:space="preserve"> </w:t>
      </w:r>
      <w:r>
        <w:rPr>
          <w:rStyle w:val="BuiltInTok"/>
        </w:rPr>
        <w:t xml:space="preserve">PartialEq</w:t>
      </w:r>
      <w:r>
        <w:rPr>
          <w:rStyle w:val="OperatorTok"/>
        </w:rPr>
        <w:t xml:space="preserve">,</w:t>
      </w:r>
      <w:r>
        <w:rPr>
          <w:rStyle w:val="NormalTok"/>
        </w:rPr>
        <w:t xml:space="preserve"> </w:t>
      </w:r>
      <w:r>
        <w:rPr>
          <w:rStyle w:val="BuiltInTok"/>
        </w:rPr>
        <w:t xml:space="preserve">Eq</w:t>
      </w:r>
      <w:r>
        <w:rPr>
          <w:rStyle w:val="OperatorTok"/>
        </w:rPr>
        <w:t xml:space="preserve">,</w:t>
      </w:r>
      <w:r>
        <w:rPr>
          <w:rStyle w:val="NormalTok"/>
        </w:rPr>
        <w:t xml:space="preserve"> </w:t>
      </w:r>
      <w:r>
        <w:rPr>
          <w:rStyle w:val="BuiltInTok"/>
        </w:rPr>
        <w:t xml:space="preserve">Hash</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Dimension </w:t>
      </w:r>
      <w:r>
        <w:rPr>
          <w:rStyle w:val="OperatorTok"/>
        </w:rPr>
        <w:t xml:space="preserve">{</w:t>
      </w:r>
      <w:r>
        <w:br/>
      </w:r>
      <w:r>
        <w:rPr>
          <w:rStyle w:val="NormalTok"/>
        </w:rPr>
        <w:t xml:space="preserve">    </w:t>
      </w:r>
      <w:r>
        <w:rPr>
          <w:rStyle w:val="CommentTok"/>
        </w:rPr>
        <w:t xml:space="preserve">// M, L, T, I, Θ, N, J</w:t>
      </w:r>
      <w:r>
        <w:br/>
      </w:r>
      <w:r>
        <w:rPr>
          <w:rStyle w:val="NormalTok"/>
        </w:rPr>
        <w:t xml:space="preserve">    </w:t>
      </w:r>
      <w:r>
        <w:rPr>
          <w:rStyle w:val="KeywordTok"/>
        </w:rPr>
        <w:t xml:space="preserve">pub</w:t>
      </w:r>
      <w:r>
        <w:rPr>
          <w:rStyle w:val="NormalTok"/>
        </w:rPr>
        <w:t xml:space="preserve"> exponents</w:t>
      </w:r>
      <w:r>
        <w:rPr>
          <w:rStyle w:val="OperatorTok"/>
        </w:rPr>
        <w:t xml:space="preserve">:</w:t>
      </w:r>
      <w:r>
        <w:rPr>
          <w:rStyle w:val="NormalTok"/>
        </w:rPr>
        <w:t xml:space="preserve"> [</w:t>
      </w:r>
      <w:r>
        <w:rPr>
          <w:rStyle w:val="DataTypeTok"/>
        </w:rPr>
        <w:t xml:space="preserve">i8</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OperatorTok"/>
        </w:rPr>
        <w:t xml:space="preserve">}</w:t>
      </w:r>
      <w:r>
        <w:br/>
      </w:r>
      <w:r>
        <w:rPr>
          <w:rStyle w:val="KeywordTok"/>
        </w:rPr>
        <w:t xml:space="preserve">impl</w:t>
      </w:r>
      <w:r>
        <w:rPr>
          <w:rStyle w:val="NormalTok"/>
        </w:rPr>
        <w:t xml:space="preserve"> Dimension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SCALAR</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LENGTH</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TIME</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MASS</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VELOCITY</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const</w:t>
      </w:r>
      <w:r>
        <w:rPr>
          <w:rStyle w:val="NormalTok"/>
        </w:rPr>
        <w:t xml:space="preserve"> FORCE</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mul(</w:t>
      </w:r>
      <w:r>
        <w:rPr>
          <w:rStyle w:val="KeywordTok"/>
        </w:rPr>
        <w:t xml:space="preserve">self</w:t>
      </w:r>
      <w:r>
        <w:rPr>
          <w:rStyle w:val="OperatorTok"/>
        </w:rPr>
        <w:t xml:space="preserve">,</w:t>
      </w:r>
      <w:r>
        <w:rPr>
          <w:rStyle w:val="NormalTok"/>
        </w:rPr>
        <w:t xml:space="preserve"> rhs</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out </w:t>
      </w:r>
      <w:r>
        <w:rPr>
          <w:rStyle w:val="OperatorTok"/>
        </w:rPr>
        <w:t xml:space="preserve">=</w:t>
      </w:r>
      <w:r>
        <w:rPr>
          <w:rStyle w:val="NormalTok"/>
        </w:rPr>
        <w:t xml:space="preserve"> [</w:t>
      </w:r>
      <w:r>
        <w:rPr>
          <w:rStyle w:val="DecValTok"/>
        </w:rPr>
        <w:t xml:space="preserve">0i8</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out[i]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exponents[i] </w:t>
      </w:r>
      <w:r>
        <w:rPr>
          <w:rStyle w:val="OperatorTok"/>
        </w:rPr>
        <w:t xml:space="preserve">+</w:t>
      </w:r>
      <w:r>
        <w:rPr>
          <w:rStyle w:val="NormalTok"/>
        </w:rPr>
        <w:t xml:space="preserve"> rhs</w:t>
      </w:r>
      <w:r>
        <w:rPr>
          <w:rStyle w:val="OperatorTok"/>
        </w:rPr>
        <w:t xml:space="preserve">.</w:t>
      </w:r>
      <w:r>
        <w:rPr>
          <w:rStyle w:val="NormalTok"/>
        </w:rPr>
        <w:t xml:space="preserve">exponents[i]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out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div(</w:t>
      </w:r>
      <w:r>
        <w:rPr>
          <w:rStyle w:val="KeywordTok"/>
        </w:rPr>
        <w:t xml:space="preserve">self</w:t>
      </w:r>
      <w:r>
        <w:rPr>
          <w:rStyle w:val="OperatorTok"/>
        </w:rPr>
        <w:t xml:space="preserve">,</w:t>
      </w:r>
      <w:r>
        <w:rPr>
          <w:rStyle w:val="NormalTok"/>
        </w:rPr>
        <w:t xml:space="preserve"> rhs</w:t>
      </w:r>
      <w:r>
        <w:rPr>
          <w:rStyle w:val="OperatorTok"/>
        </w:rPr>
        <w:t xml:space="preserve">:</w:t>
      </w:r>
      <w:r>
        <w:rPr>
          <w:rStyle w:val="NormalTok"/>
        </w:rPr>
        <w:t xml:space="preserve"> </w:t>
      </w:r>
      <w:r>
        <w:rPr>
          <w:rStyle w:val="DataType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out </w:t>
      </w:r>
      <w:r>
        <w:rPr>
          <w:rStyle w:val="OperatorTok"/>
        </w:rPr>
        <w:t xml:space="preserve">=</w:t>
      </w:r>
      <w:r>
        <w:rPr>
          <w:rStyle w:val="NormalTok"/>
        </w:rPr>
        <w:t xml:space="preserve"> [</w:t>
      </w:r>
      <w:r>
        <w:rPr>
          <w:rStyle w:val="DecValTok"/>
        </w:rPr>
        <w:t xml:space="preserve">0i8</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out[i]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exponents[i] </w:t>
      </w:r>
      <w:r>
        <w:rPr>
          <w:rStyle w:val="OperatorTok"/>
        </w:rPr>
        <w:t xml:space="preserve">-</w:t>
      </w:r>
      <w:r>
        <w:rPr>
          <w:rStyle w:val="NormalTok"/>
        </w:rPr>
        <w:t xml:space="preserve"> rhs</w:t>
      </w:r>
      <w:r>
        <w:rPr>
          <w:rStyle w:val="OperatorTok"/>
        </w:rPr>
        <w:t xml:space="preserve">.</w:t>
      </w:r>
      <w:r>
        <w:rPr>
          <w:rStyle w:val="NormalTok"/>
        </w:rPr>
        <w:t xml:space="preserve">exponents[i]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rPr>
          <w:rStyle w:val="NormalTok"/>
        </w:rPr>
        <w:t xml:space="preserve"> exponents</w:t>
      </w:r>
      <w:r>
        <w:rPr>
          <w:rStyle w:val="OperatorTok"/>
        </w:rPr>
        <w:t xml:space="preserve">:</w:t>
      </w:r>
      <w:r>
        <w:rPr>
          <w:rStyle w:val="NormalTok"/>
        </w:rPr>
        <w:t xml:space="preserve"> out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Quantity </w:t>
      </w:r>
      <w:r>
        <w:rPr>
          <w:rStyle w:val="OperatorTok"/>
        </w:rPr>
        <w:t xml:space="preserve">{</w:t>
      </w:r>
      <w:r>
        <w:br/>
      </w:r>
      <w:r>
        <w:rPr>
          <w:rStyle w:val="NormalTok"/>
        </w:rPr>
        <w:t xml:space="preserve">    </w:t>
      </w:r>
      <w:r>
        <w:rPr>
          <w:rStyle w:val="KeywordTok"/>
        </w:rPr>
        <w:t xml:space="preserve">pub</w:t>
      </w:r>
      <w:r>
        <w:rPr>
          <w:rStyle w:val="NormalTok"/>
        </w:rPr>
        <w:t xml:space="preserve"> value</w:t>
      </w:r>
      <w:r>
        <w:rPr>
          <w:rStyle w:val="OperatorTok"/>
        </w:rPr>
        <w:t xml:space="preserve">:</w:t>
      </w:r>
      <w:r>
        <w:rPr>
          <w:rStyle w:val="NormalTok"/>
        </w:rPr>
        <w:t xml:space="preserve"> </w:t>
      </w:r>
      <w:r>
        <w:rPr>
          <w:rStyle w:val="DataTypeTok"/>
        </w:rPr>
        <w:t xml:space="preserve">f64</w:t>
      </w:r>
      <w:r>
        <w:rPr>
          <w:rStyle w:val="OperatorTok"/>
        </w:rPr>
        <w:t xml:space="preserve">,</w:t>
      </w:r>
      <w:r>
        <w:br/>
      </w:r>
      <w:r>
        <w:rPr>
          <w:rStyle w:val="NormalTok"/>
        </w:rPr>
        <w:t xml:space="preserve">    </w:t>
      </w:r>
      <w:r>
        <w:rPr>
          <w:rStyle w:val="KeywordTok"/>
        </w:rPr>
        <w:t xml:space="preserve">pub</w:t>
      </w:r>
      <w:r>
        <w:rPr>
          <w:rStyle w:val="NormalTok"/>
        </w:rPr>
        <w:t xml:space="preserve"> dim</w:t>
      </w:r>
      <w:r>
        <w:rPr>
          <w:rStyle w:val="OperatorTok"/>
        </w:rPr>
        <w:t xml:space="preserve">:</w:t>
      </w:r>
      <w:r>
        <w:rPr>
          <w:rStyle w:val="NormalTok"/>
        </w:rPr>
        <w:t xml:space="preserve"> Dimension</w:t>
      </w:r>
      <w:r>
        <w:rPr>
          <w:rStyle w:val="OperatorTok"/>
        </w:rPr>
        <w:t xml:space="preserve">,</w:t>
      </w:r>
      <w:r>
        <w:br/>
      </w:r>
      <w:r>
        <w:rPr>
          <w:rStyle w:val="NormalTok"/>
        </w:rPr>
        <w:t xml:space="preserve">    </w:t>
      </w:r>
      <w:r>
        <w:rPr>
          <w:rStyle w:val="KeywordTok"/>
        </w:rPr>
        <w:t xml:space="preserve">pub</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add(a</w:t>
      </w:r>
      <w:r>
        <w:rPr>
          <w:rStyle w:val="OperatorTok"/>
        </w:rPr>
        <w:t xml:space="preserve">:</w:t>
      </w:r>
      <w:r>
        <w:rPr>
          <w:rStyle w:val="NormalTok"/>
        </w:rPr>
        <w:t xml:space="preserve"> </w:t>
      </w:r>
      <w:r>
        <w:rPr>
          <w:rStyle w:val="OperatorTok"/>
        </w:rPr>
        <w:t xml:space="preserve">&amp;</w:t>
      </w:r>
      <w:r>
        <w:rPr>
          <w:rStyle w:val="NormalTok"/>
        </w:rPr>
        <w:t xml:space="preserve">Quantity</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&amp;</w:t>
      </w:r>
      <w:r>
        <w:rPr>
          <w:rStyle w:val="NormalTok"/>
        </w:rPr>
        <w:t xml:space="preserve">Quantity)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Quantity</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dim </w:t>
      </w:r>
      <w:r>
        <w:rPr>
          <w:rStyle w:val="OperatorTok"/>
        </w:rPr>
        <w:t xml:space="preserve">!=</w:t>
      </w:r>
      <w:r>
        <w:rPr>
          <w:rStyle w:val="NormalTok"/>
        </w:rPr>
        <w:t xml:space="preserve"> b</w:t>
      </w:r>
      <w:r>
        <w:rPr>
          <w:rStyle w:val="OperatorTok"/>
        </w:rPr>
        <w:t xml:space="preserve">.</w:t>
      </w:r>
      <w:r>
        <w:rPr>
          <w:rStyle w:val="NormalTok"/>
        </w:rPr>
        <w:t xml:space="preserve">dim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format!</w:t>
      </w:r>
      <w:r>
        <w:rPr>
          <w:rStyle w:val="NormalTok"/>
        </w:rPr>
        <w:t xml:space="preserve">(</w:t>
      </w:r>
      <w:r>
        <w:br/>
      </w:r>
      <w:r>
        <w:rPr>
          <w:rStyle w:val="NormalTok"/>
        </w:rPr>
        <w:t xml:space="preserve">            </w:t>
      </w:r>
      <w:r>
        <w:rPr>
          <w:rStyle w:val="StringTok"/>
        </w:rPr>
        <w:t xml:space="preserve">"dimension mismatch: cannot add {:?} to {:?}"</w:t>
      </w:r>
      <w:r>
        <w:rPr>
          <w:rStyle w:val="OperatorTok"/>
        </w:rPr>
        <w:t xml:space="preserve">,</w:t>
      </w:r>
      <w:r>
        <w:br/>
      </w:r>
      <w:r>
        <w:rPr>
          <w:rStyle w:val="NormalTok"/>
        </w:rPr>
        <w:t xml:space="preserve">            a</w:t>
      </w:r>
      <w:r>
        <w:rPr>
          <w:rStyle w:val="OperatorTok"/>
        </w:rPr>
        <w:t xml:space="preserve">.</w:t>
      </w:r>
      <w:r>
        <w:rPr>
          <w:rStyle w:val="NormalTok"/>
        </w:rPr>
        <w:t xml:space="preserve">dim</w:t>
      </w:r>
      <w:r>
        <w:rPr>
          <w:rStyle w:val="OperatorTok"/>
        </w:rPr>
        <w:t xml:space="preserve">.</w:t>
      </w:r>
      <w:r>
        <w:rPr>
          <w:rStyle w:val="NormalTok"/>
        </w:rPr>
        <w:t xml:space="preserve">exponents</w:t>
      </w:r>
      <w:r>
        <w:rPr>
          <w:rStyle w:val="OperatorTok"/>
        </w:rPr>
        <w:t xml:space="preserve">,</w:t>
      </w:r>
      <w:r>
        <w:rPr>
          <w:rStyle w:val="NormalTok"/>
        </w:rPr>
        <w:t xml:space="preserve"> b</w:t>
      </w:r>
      <w:r>
        <w:rPr>
          <w:rStyle w:val="OperatorTok"/>
        </w:rPr>
        <w:t xml:space="preserve">.</w:t>
      </w:r>
      <w:r>
        <w:rPr>
          <w:rStyle w:val="NormalTok"/>
        </w:rPr>
        <w:t xml:space="preserve">dim</w:t>
      </w:r>
      <w:r>
        <w:rPr>
          <w:rStyle w:val="OperatorTok"/>
        </w:rPr>
        <w:t xml:space="preserve">.</w:t>
      </w:r>
      <w:r>
        <w:rPr>
          <w:rStyle w:val="NormalTok"/>
        </w:rPr>
        <w:t xml:space="preserve">exponents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(Quantity </w:t>
      </w:r>
      <w:r>
        <w:rPr>
          <w:rStyle w:val="OperatorTok"/>
        </w:rPr>
        <w:t xml:space="preserve">{</w:t>
      </w:r>
      <w:r>
        <w:br/>
      </w:r>
      <w:r>
        <w:rPr>
          <w:rStyle w:val="NormalTok"/>
        </w:rPr>
        <w:t xml:space="preserve">        value</w:t>
      </w:r>
      <w:r>
        <w:rPr>
          <w:rStyle w:val="OperatorTok"/>
        </w:rPr>
        <w:t xml:space="preserve">:</w:t>
      </w:r>
      <w:r>
        <w:rPr>
          <w:rStyle w:val="NormalTok"/>
        </w:rPr>
        <w:t xml:space="preserve"> a</w:t>
      </w:r>
      <w:r>
        <w:rPr>
          <w:rStyle w:val="OperatorTok"/>
        </w:rPr>
        <w:t xml:space="preserve">.</w:t>
      </w:r>
      <w:r>
        <w:rPr>
          <w:rStyle w:val="NormalTok"/>
        </w:rPr>
        <w:t xml:space="preserve">value </w:t>
      </w:r>
      <w:r>
        <w:rPr>
          <w:rStyle w:val="OperatorTok"/>
        </w:rPr>
        <w:t xml:space="preserve">+</w:t>
      </w:r>
      <w:r>
        <w:rPr>
          <w:rStyle w:val="NormalTok"/>
        </w:rPr>
        <w:t xml:space="preserve"> b</w:t>
      </w:r>
      <w:r>
        <w:rPr>
          <w:rStyle w:val="OperatorTok"/>
        </w:rPr>
        <w:t xml:space="preserve">.</w:t>
      </w:r>
      <w:r>
        <w:rPr>
          <w:rStyle w:val="NormalTok"/>
        </w:rPr>
        <w:t xml:space="preserve">value</w:t>
      </w:r>
      <w:r>
        <w:rPr>
          <w:rStyle w:val="OperatorTok"/>
        </w:rPr>
        <w:t xml:space="preserve">,</w:t>
      </w:r>
      <w:r>
        <w:br/>
      </w:r>
      <w:r>
        <w:rPr>
          <w:rStyle w:val="NormalTok"/>
        </w:rPr>
        <w:t xml:space="preserve">        dim</w:t>
      </w:r>
      <w:r>
        <w:rPr>
          <w:rStyle w:val="OperatorTok"/>
        </w:rPr>
        <w:t xml:space="preserve">:</w:t>
      </w:r>
      <w:r>
        <w:rPr>
          <w:rStyle w:val="NormalTok"/>
        </w:rPr>
        <w:t xml:space="preserve"> a</w:t>
      </w:r>
      <w:r>
        <w:rPr>
          <w:rStyle w:val="OperatorTok"/>
        </w:rPr>
        <w:t xml:space="preserve">.</w:t>
      </w:r>
      <w:r>
        <w:rPr>
          <w:rStyle w:val="NormalTok"/>
        </w:rPr>
        <w:t xml:space="preserve">dim</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label</w:t>
      </w:r>
      <w:r>
        <w:rPr>
          <w:rStyle w:val="OperatorTok"/>
        </w:rPr>
        <w:t xml:space="preserve">,</w:t>
      </w:r>
      <w:r>
        <w:rPr>
          <w:rStyle w:val="NormalTok"/>
        </w:rPr>
        <w:t xml:space="preserve"> b</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p>
    <w:p>
      <w:pPr>
        <w:pStyle w:val="FirstParagraph"/>
      </w:pPr>
      <w:r>
        <w:t xml:space="preserve">The</w:t>
      </w:r>
      <w:r>
        <w:t xml:space="preserve"> </w:t>
      </w:r>
      <w:r>
        <w:rPr>
          <w:rStyle w:val="VerbatimChar"/>
        </w:rPr>
        <w:t xml:space="preserve">add</w:t>
      </w:r>
      <w:r>
        <w:t xml:space="preserve"> </w:t>
      </w:r>
      <w:r>
        <w:t xml:space="preserve">function is the critical gate: it is impossible to add meters to seconds, or energy to force, without triggering a typed error. When the model outputs a claim like</w:t>
      </w:r>
      <w:r>
        <w:t xml:space="preserve"> </w:t>
      </w:r>
      <w:r>
        <w:t xml:space="preserve">“</w:t>
      </w:r>
      <w:r>
        <w:t xml:space="preserve">the kinetic energy is</w:t>
      </w:r>
      <w:r>
        <w:t xml:space="preserve"> </w:t>
      </w:r>
      <m:oMath>
        <m:r>
          <m:t>10</m:t>
        </m:r>
        <m:r>
          <m:t> </m:t>
        </m:r>
        <m:r>
          <m:rPr>
            <m:nor/>
            <m:sty m:val="p"/>
          </m:rPr>
          <m:t>kg</m:t>
        </m:r>
        <m:r>
          <m:rPr>
            <m:sty m:val="p"/>
          </m:rPr>
          <m:t>+</m:t>
        </m:r>
        <m:r>
          <m:t>5</m:t>
        </m:r>
        <m:r>
          <m:t> </m:t>
        </m:r>
        <m:r>
          <m:rPr>
            <m:nor/>
            <m:sty m:val="p"/>
          </m:rPr>
          <m:t>m/s</m:t>
        </m:r>
      </m:oMath>
      <w:r>
        <w:t xml:space="preserve">,</w:t>
      </w:r>
      <w:r>
        <w:t xml:space="preserve">”</w:t>
      </w:r>
      <w:r>
        <w:t xml:space="preserve"> </w:t>
      </w:r>
      <w:r>
        <w:t xml:space="preserve">the claim extractor parses the quantities, constructs</w:t>
      </w:r>
      <w:r>
        <w:t xml:space="preserve"> </w:t>
      </w:r>
      <w:r>
        <w:rPr>
          <w:rStyle w:val="VerbatimChar"/>
        </w:rPr>
        <w:t xml:space="preserve">Quantity</w:t>
      </w:r>
      <w:r>
        <w:t xml:space="preserve"> </w:t>
      </w:r>
      <w:r>
        <w:t xml:space="preserve">objects, and the constraint engine calls</w:t>
      </w:r>
      <w:r>
        <w:t xml:space="preserve"> </w:t>
      </w:r>
      <w:r>
        <w:rPr>
          <w:rStyle w:val="VerbatimChar"/>
        </w:rPr>
        <w:t xml:space="preserve">add</w:t>
      </w:r>
      <w:r>
        <w:t xml:space="preserve">. The mismatch is caught and logged as a violation before the claim ever reaches the user. This is the operational meaning of</w:t>
      </w:r>
      <w:r>
        <w:t xml:space="preserve"> </w:t>
      </w:r>
      <w:r>
        <w:t xml:space="preserve">“</w:t>
      </w:r>
      <w:r>
        <w:t xml:space="preserve">physics as a type system</w:t>
      </w:r>
      <w:r>
        <w:t xml:space="preserve">”</w:t>
      </w:r>
      <w:r>
        <w:t xml:space="preserve">: dimensional analysis is not a post-hoc check performed by a human reviewer, but a compiler-enforced invariant on the reasoning substrate itself.</w:t>
      </w:r>
    </w:p>
    <w:p>
      <w:pPr>
        <w:pStyle w:val="BodyText"/>
      </w:pPr>
      <w:r>
        <w:t xml:space="preserve">Rust’s type system has been described as a</w:t>
      </w:r>
      <w:r>
        <w:t xml:space="preserve"> </w:t>
      </w:r>
      <w:r>
        <w:t xml:space="preserve">“</w:t>
      </w:r>
      <w:r>
        <w:t xml:space="preserve">hallucination defense layer</w:t>
      </w:r>
      <w:r>
        <w:t xml:space="preserve">”</w:t>
      </w:r>
      <w:r>
        <w:t xml:space="preserve"> </w:t>
      </w:r>
      <w:r>
        <w:t xml:space="preserve">for AI-generated code: when coding agents produce incorrect APIs or mismatched types, the compiler catches the error before execution</w:t>
      </w:r>
      <w:r>
        <w:t xml:space="preserve"> </w:t>
      </w:r>
      <w:fldSimple w:instr="NOTEREF _Ref_Footnote_54 \h \f">
        <w:r>
          <w:rPr>
            <w:vertAlign w:val="superscript"/>
          </w:rPr>
          <w:t>54</w:t>
        </w:r>
      </w:fldSimple>
      <w:r>
        <w:t xml:space="preserve">. The same principle extends to physical reasoning. A local 7B model wrapped in this system stops making a whole class of mistakes — unit errors, dimensional inconsistencies, physically impossible combinations — that much larger unconstrained models still produce.</w:t>
      </w:r>
    </w:p>
    <w:bookmarkEnd w:id="90"/>
    <w:bookmarkStart w:id="91" w:name="physicsreward-a-six-component-signal"/>
    <w:p>
      <w:pPr>
        <w:pStyle w:val="Heading3"/>
      </w:pPr>
      <w:r>
        <w:t xml:space="preserve">5.2.3 PhysicsReward: A Six-Component Signal</w:t>
      </w:r>
    </w:p>
    <w:p>
      <w:pPr>
        <w:pStyle w:val="FirstParagraph"/>
      </w:pPr>
      <w:r>
        <w:t xml:space="preserve">Validation must be more than boolean pass/fail. The</w:t>
      </w:r>
      <w:r>
        <w:t xml:space="preserve"> </w:t>
      </w:r>
      <w:r>
        <w:rPr>
          <w:rStyle w:val="VerbatimChar"/>
        </w:rPr>
        <w:t xml:space="preserve">PhysicsReward</w:t>
      </w:r>
      <w:r>
        <w:t xml:space="preserve"> </w:t>
      </w:r>
      <w:r>
        <w:t xml:space="preserve">signal provides a six-dimensional scalar feedback vector that guides both the repair loop (Chapter 8) and, through GRPO (Group Relative Policy Optimization), the training of the proposal model itself. Each component corresponds to a distinct epistemic criterion: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Mathematical Form</w:t>
            </w:r>
          </w:p>
        </w:tc>
        <w:tc>
          <w:tcPr/>
          <w:p>
            <w:pPr>
              <w:pStyle w:val="Compact"/>
              <w:jc w:val="left"/>
            </w:pPr>
            <w:r>
              <w:t xml:space="preserve">Enforcement Mechanism</w:t>
            </w:r>
          </w:p>
        </w:tc>
      </w:tr>
      <w:tr>
        <w:tc>
          <w:tcPr/>
          <w:p>
            <w:pPr>
              <w:pStyle w:val="Compact"/>
              <w:jc w:val="left"/>
            </w:pPr>
            <w:r>
              <w:rPr>
                <w:bCs/>
                <w:b/>
              </w:rPr>
              <w:t xml:space="preserve">data_fidelity</w:t>
            </w:r>
          </w:p>
        </w:tc>
        <w:tc>
          <w:tcPr/>
          <w:p>
            <w:pPr>
              <w:pStyle w:val="Compact"/>
              <w:jc w:val="left"/>
            </w:pPr>
            <m:oMath>
              <m:r>
                <m:rPr>
                  <m:sty m:val="p"/>
                </m:rPr>
                <m:t>∥</m:t>
              </m:r>
              <m:acc>
                <m:accPr>
                  <m:chr m:val="̂"/>
                </m:accPr>
                <m:e>
                  <m:r>
                    <m:t>y</m:t>
                  </m:r>
                </m:e>
              </m:acc>
              <m:r>
                <m:rPr>
                  <m:sty m:val="p"/>
                </m:rPr>
                <m:t>−</m:t>
              </m:r>
              <m:sSub>
                <m:e>
                  <m:r>
                    <m:t>y</m:t>
                  </m:r>
                </m:e>
                <m:sub>
                  <m:r>
                    <m:rPr>
                      <m:nor/>
                      <m:sty m:val="p"/>
                    </m:rPr>
                    <m:t>obs</m:t>
                  </m:r>
                </m:sub>
              </m:sSub>
              <m:sSub>
                <m:e>
                  <m:r>
                    <m:rPr>
                      <m:sty m:val="p"/>
                    </m:rPr>
                    <m:t>∥</m:t>
                  </m:r>
                </m:e>
                <m:sub>
                  <m:r>
                    <m:t>2</m:t>
                  </m:r>
                </m:sub>
              </m:sSub>
              <m:r>
                <m:rPr>
                  <m:sty m:val="p"/>
                </m:rPr>
                <m:t>/</m:t>
              </m:r>
              <m:sSub>
                <m:e>
                  <m:r>
                    <m:t>σ</m:t>
                  </m:r>
                </m:e>
                <m:sub>
                  <m:r>
                    <m:rPr>
                      <m:nor/>
                      <m:sty m:val="p"/>
                    </m:rPr>
                    <m:t>obs</m:t>
                  </m:r>
                </m:sub>
              </m:sSub>
            </m:oMath>
          </w:p>
        </w:tc>
        <w:tc>
          <w:tcPr/>
          <w:p>
            <w:pPr>
              <w:pStyle w:val="Compact"/>
              <w:jc w:val="left"/>
            </w:pPr>
            <w:r>
              <w:t xml:space="preserve">Statistical comparison against empirical observations</w:t>
            </w:r>
          </w:p>
        </w:tc>
      </w:tr>
      <w:tr>
        <w:tc>
          <w:tcPr/>
          <w:p>
            <w:pPr>
              <w:pStyle w:val="Compact"/>
              <w:jc w:val="left"/>
            </w:pPr>
            <w:r>
              <w:rPr>
                <w:bCs/>
                <w:b/>
              </w:rPr>
              <w:t xml:space="preserve">physical_consistency</w:t>
            </w:r>
          </w:p>
        </w:tc>
        <w:tc>
          <w:tcPr/>
          <w:p>
            <w:pPr>
              <w:pStyle w:val="Compact"/>
              <w:jc w:val="left"/>
            </w:pPr>
            <m:oMath>
              <m:r>
                <m:rPr>
                  <m:sty m:val="p"/>
                </m:rPr>
                <m:t>∥</m:t>
              </m:r>
              <m:r>
                <m:rPr>
                  <m:sty m:val="p"/>
                  <m:scr m:val="script"/>
                </m:rPr>
                <m:t>R</m:t>
              </m:r>
              <m:d>
                <m:dPr>
                  <m:begChr m:val="["/>
                  <m:endChr m:val="]"/>
                  <m:sepChr m:val=""/>
                  <m:grow/>
                </m:dPr>
                <m:e>
                  <m:acc>
                    <m:accPr>
                      <m:chr m:val="̂"/>
                    </m:accPr>
                    <m:e>
                      <m:r>
                        <m:t>u</m:t>
                      </m:r>
                    </m:e>
                  </m:acc>
                </m:e>
              </m:d>
              <m:sSub>
                <m:e>
                  <m:r>
                    <m:rPr>
                      <m:sty m:val="p"/>
                    </m:rPr>
                    <m:t>∥</m:t>
                  </m:r>
                </m:e>
                <m:sub>
                  <m:r>
                    <m:t>2</m:t>
                  </m:r>
                </m:sub>
              </m:sSub>
            </m:oMath>
            <w:r>
              <w:t xml:space="preserve"> </w:t>
            </w:r>
            <w:r>
              <w:t xml:space="preserve">where</w:t>
            </w:r>
            <w:r>
              <w:t xml:space="preserve"> </w:t>
            </w:r>
            <m:oMath>
              <m:r>
                <m:rPr>
                  <m:sty m:val="p"/>
                  <m:scr m:val="script"/>
                </m:rPr>
                <m:t>R</m:t>
              </m:r>
            </m:oMath>
            <w:r>
              <w:t xml:space="preserve"> </w:t>
            </w:r>
            <w:r>
              <w:t xml:space="preserve">is PDE residual</w:t>
            </w:r>
          </w:p>
        </w:tc>
        <w:tc>
          <w:tcPr/>
          <w:p>
            <w:pPr>
              <w:pStyle w:val="Compact"/>
              <w:jc w:val="left"/>
            </w:pPr>
            <w:r>
              <w:t xml:space="preserve">PINN/FNO surrogate evaluation of PDE satisfaction</w:t>
            </w:r>
          </w:p>
        </w:tc>
      </w:tr>
      <w:tr>
        <w:tc>
          <w:tcPr/>
          <w:p>
            <w:pPr>
              <w:pStyle w:val="Compact"/>
              <w:jc w:val="left"/>
            </w:pPr>
            <w:r>
              <w:rPr>
                <w:bCs/>
                <w:b/>
              </w:rPr>
              <w:t xml:space="preserve">novelty</w:t>
            </w:r>
          </w:p>
        </w:tc>
        <w:tc>
          <w:tcPr/>
          <w:p>
            <w:pPr>
              <w:pStyle w:val="Compact"/>
              <w:jc w:val="left"/>
            </w:pPr>
            <m:oMath>
              <m:r>
                <m:t>1</m:t>
              </m:r>
              <m:r>
                <m:rPr>
                  <m:sty m:val="p"/>
                </m:rPr>
                <m:t>−</m:t>
              </m:r>
              <m:r>
                <m:rPr>
                  <m:sty m:val="p"/>
                </m:rPr>
                <m:t>cos</m:t>
              </m:r>
              <m:d>
                <m:dPr>
                  <m:begChr m:val="("/>
                  <m:endChr m:val=")"/>
                  <m:sepChr m:val=""/>
                  <m:grow/>
                </m:dPr>
                <m:e>
                  <m:acc>
                    <m:accPr>
                      <m:chr m:val="̂"/>
                    </m:accPr>
                    <m:e>
                      <m:r>
                        <m:t>y</m:t>
                      </m:r>
                    </m:e>
                  </m:acc>
                  <m:r>
                    <m:rPr>
                      <m:sty m:val="p"/>
                    </m:rPr>
                    <m:t>,</m:t>
                  </m:r>
                  <m:sSub>
                    <m:e>
                      <m:r>
                        <m:rPr>
                          <m:sty m:val="p"/>
                          <m:scr m:val="script"/>
                        </m:rPr>
                        <m:t>M</m:t>
                      </m:r>
                    </m:e>
                    <m:sub>
                      <m:r>
                        <m:rPr>
                          <m:nor/>
                          <m:sty m:val="p"/>
                        </m:rPr>
                        <m:t>train</m:t>
                      </m:r>
                    </m:sub>
                  </m:sSub>
                </m:e>
              </m:d>
            </m:oMath>
          </w:p>
        </w:tc>
        <w:tc>
          <w:tcPr/>
          <w:p>
            <w:pPr>
              <w:pStyle w:val="Compact"/>
              <w:jc w:val="left"/>
            </w:pPr>
            <w:r>
              <w:t xml:space="preserve">Divergence from training-set manifold</w:t>
            </w:r>
          </w:p>
        </w:tc>
      </w:tr>
      <w:tr>
        <w:tc>
          <w:tcPr/>
          <w:p>
            <w:pPr>
              <w:pStyle w:val="Compact"/>
              <w:jc w:val="left"/>
            </w:pPr>
            <w:r>
              <w:rPr>
                <w:bCs/>
                <w:b/>
              </w:rPr>
              <w:t xml:space="preserve">falsifiability</w:t>
            </w:r>
          </w:p>
        </w:tc>
        <w:tc>
          <w:tcPr/>
          <w:p>
            <w:pPr>
              <w:pStyle w:val="Compact"/>
              <w:jc w:val="left"/>
            </w:pPr>
            <m:oMath>
              <m:r>
                <m:rPr>
                  <m:sty m:val="p"/>
                </m:rPr>
                <m:t>−</m:t>
              </m:r>
              <m:r>
                <m:rPr>
                  <m:sty m:val="p"/>
                </m:rPr>
                <m:t>log</m:t>
              </m:r>
              <m:r>
                <m:t>p</m:t>
              </m:r>
              <m:d>
                <m:dPr>
                  <m:begChr m:val="("/>
                  <m:endChr m:val=")"/>
                  <m:sepChr m:val=""/>
                  <m:grow/>
                </m:dPr>
                <m:e>
                  <m:r>
                    <m:rPr>
                      <m:nor/>
                      <m:sty m:val="p"/>
                    </m:rPr>
                    <m:t>counterexample found</m:t>
                  </m:r>
                </m:e>
              </m:d>
            </m:oMath>
          </w:p>
        </w:tc>
        <w:tc>
          <w:tcPr/>
          <w:p>
            <w:pPr>
              <w:pStyle w:val="Compact"/>
              <w:jc w:val="left"/>
            </w:pPr>
            <w:r>
              <w:t xml:space="preserve">Property-directed falsification search</w:t>
            </w:r>
          </w:p>
        </w:tc>
      </w:tr>
      <w:tr>
        <w:tc>
          <w:tcPr/>
          <w:p>
            <w:pPr>
              <w:pStyle w:val="Compact"/>
              <w:jc w:val="left"/>
            </w:pPr>
            <w:r>
              <w:rPr>
                <w:bCs/>
                <w:b/>
              </w:rPr>
              <w:t xml:space="preserve">parsimony</w:t>
            </w:r>
          </w:p>
        </w:tc>
        <w:tc>
          <w:tcPr/>
          <w:p>
            <w:pPr>
              <w:pStyle w:val="Compact"/>
              <w:jc w:val="left"/>
            </w:pPr>
            <m:oMath>
              <m:r>
                <m:rPr>
                  <m:sty m:val="p"/>
                </m:rPr>
                <m:t>∥</m:t>
              </m:r>
              <m:r>
                <m:t>θ</m:t>
              </m:r>
              <m:sSub>
                <m:e>
                  <m:r>
                    <m:rPr>
                      <m:sty m:val="p"/>
                    </m:rPr>
                    <m:t>∥</m:t>
                  </m:r>
                </m:e>
                <m:sub>
                  <m:r>
                    <m:t>0</m:t>
                  </m:r>
                </m:sub>
              </m:sSub>
              <m:r>
                <m:rPr>
                  <m:sty m:val="p"/>
                </m:rPr>
                <m:t>/</m:t>
              </m:r>
              <m:r>
                <m:rPr>
                  <m:sty m:val="p"/>
                </m:rPr>
                <m:t>∥</m:t>
              </m:r>
              <m:r>
                <m:t>θ</m:t>
              </m:r>
              <m:sSub>
                <m:e>
                  <m:r>
                    <m:rPr>
                      <m:sty m:val="p"/>
                    </m:rPr>
                    <m:t>∥</m:t>
                  </m:r>
                </m:e>
                <m:sub>
                  <m:r>
                    <m:rPr>
                      <m:nor/>
                      <m:sty m:val="p"/>
                    </m:rPr>
                    <m:t>max</m:t>
                  </m:r>
                </m:sub>
              </m:sSub>
            </m:oMath>
          </w:p>
        </w:tc>
        <w:tc>
          <w:tcPr/>
          <w:p>
            <w:pPr>
              <w:pStyle w:val="Compact"/>
              <w:jc w:val="left"/>
            </w:pPr>
            <w:r>
              <w:t xml:space="preserve">Sparsity of learned Lagrangian or equation structure</w:t>
            </w:r>
          </w:p>
        </w:tc>
      </w:tr>
      <w:tr>
        <w:tc>
          <w:tcPr/>
          <w:p>
            <w:pPr>
              <w:pStyle w:val="Compact"/>
              <w:jc w:val="left"/>
            </w:pPr>
            <w:r>
              <w:rPr>
                <w:bCs/>
                <w:b/>
              </w:rPr>
              <w:t xml:space="preserve">unit_consistency</w:t>
            </w:r>
          </w:p>
        </w:tc>
        <w:tc>
          <w:tcPr/>
          <w:p>
            <w:pPr>
              <w:pStyle w:val="Compact"/>
              <w:jc w:val="left"/>
            </w:pPr>
            <m:oMath>
              <m:r>
                <m:t>δ</m:t>
              </m:r>
              <m:d>
                <m:dPr>
                  <m:begChr m:val="("/>
                  <m:endChr m:val=")"/>
                  <m:sepChr m:val=""/>
                  <m:grow/>
                </m:dPr>
                <m:e>
                  <m:r>
                    <m:rPr>
                      <m:nor/>
                      <m:sty m:val="p"/>
                    </m:rPr>
                    <m:t>dim</m:t>
                  </m:r>
                  <m:d>
                    <m:dPr>
                      <m:begChr m:val="("/>
                      <m:endChr m:val=")"/>
                      <m:sepChr m:val=""/>
                      <m:grow/>
                    </m:dPr>
                    <m:e>
                      <m:r>
                        <m:rPr>
                          <m:nor/>
                          <m:sty m:val="p"/>
                        </m:rPr>
                        <m:t>lhs</m:t>
                      </m:r>
                    </m:e>
                  </m:d>
                  <m:r>
                    <m:rPr>
                      <m:sty m:val="p"/>
                    </m:rPr>
                    <m:t>,</m:t>
                  </m:r>
                  <m:r>
                    <m:rPr>
                      <m:nor/>
                      <m:sty m:val="p"/>
                    </m:rPr>
                    <m:t>dim</m:t>
                  </m:r>
                  <m:d>
                    <m:dPr>
                      <m:begChr m:val="("/>
                      <m:endChr m:val=")"/>
                      <m:sepChr m:val=""/>
                      <m:grow/>
                    </m:dPr>
                    <m:e>
                      <m:r>
                        <m:rPr>
                          <m:nor/>
                          <m:sty m:val="p"/>
                        </m:rPr>
                        <m:t>rhs</m:t>
                      </m:r>
                    </m:e>
                  </m:d>
                </m:e>
              </m:d>
            </m:oMath>
          </w:p>
        </w:tc>
        <w:tc>
          <w:tcPr/>
          <w:p>
            <w:pPr>
              <w:pStyle w:val="Compact"/>
              <w:jc w:val="left"/>
            </w:pPr>
            <w:r>
              <w:t xml:space="preserve">Dimensional type-checking via</w:t>
            </w:r>
            <w:r>
              <w:t xml:space="preserve"> </w:t>
            </w:r>
            <w:r>
              <w:rPr>
                <w:rStyle w:val="VerbatimChar"/>
              </w:rPr>
              <w:t xml:space="preserve">Quantity.add()</w:t>
            </w:r>
          </w:p>
        </w:tc>
      </w:tr>
    </w:tbl>
    <w:p>
      <w:pPr>
        <w:pStyle w:val="BodyText"/>
      </w:pPr>
      <w:r>
        <w:t xml:space="preserve">The</w:t>
      </w:r>
      <w:r>
        <w:t xml:space="preserve"> </w:t>
      </w:r>
      <w:r>
        <w:rPr>
          <w:rStyle w:val="VerbatimChar"/>
        </w:rPr>
        <w:t xml:space="preserve">physical_consistency</w:t>
      </w:r>
      <w:r>
        <w:t xml:space="preserve"> </w:t>
      </w:r>
      <w:r>
        <w:t xml:space="preserve">component is where physics-informed architectures enter the training loop. Rather than evaluating PDE residuals with traditional solvers (hours for Navier-Stokes), Rex uses a Fourier Neural Operator (FNO) surrogate that evaluates the residual in milliseconds. FNO achieves a</w:t>
      </w:r>
      <w:r>
        <w:t xml:space="preserve"> </w:t>
      </w:r>
      <m:oMath>
        <m:r>
          <m:rPr>
            <m:sty m:val="p"/>
          </m:rPr>
          <m:t>∼</m:t>
        </m:r>
        <m:r>
          <m:t>440</m:t>
        </m:r>
        <m:r>
          <m:rPr>
            <m:sty m:val="p"/>
          </m:rPr>
          <m:t>×</m:t>
        </m:r>
      </m:oMath>
      <w:r>
        <w:t xml:space="preserve"> </w:t>
      </w:r>
      <w:r>
        <w:t xml:space="preserve">inference speedup over pseudo-spectral methods on a</w:t>
      </w:r>
      <w:r>
        <w:t xml:space="preserve"> </w:t>
      </w:r>
      <m:oMath>
        <m:r>
          <m:t>256</m:t>
        </m:r>
        <m:r>
          <m:rPr>
            <m:sty m:val="p"/>
          </m:rPr>
          <m:t>×</m:t>
        </m:r>
        <m:r>
          <m:t>256</m:t>
        </m:r>
      </m:oMath>
      <w:r>
        <w:t xml:space="preserve"> </w:t>
      </w:r>
      <w:r>
        <w:t xml:space="preserve">grid</w:t>
      </w:r>
      <w:r>
        <w:t xml:space="preserve"> </w:t>
      </w:r>
      <w:fldSimple w:instr="NOTEREF _Ref_Footnote_17 \h \f">
        <w:r>
          <w:rPr>
            <w:vertAlign w:val="superscript"/>
          </w:rPr>
          <w:t>17</w:t>
        </w:r>
      </w:fldSimple>
      <w:r>
        <w:t xml:space="preserve">, making it feasible to incorporate PDE-residual reward into GRPO’s rule-based reward function without a critic model. The reward becomes:</w:t>
      </w:r>
    </w:p>
    <w:p>
      <w:pPr>
        <w:pStyle w:val="BodyText"/>
      </w:pPr>
      <m:oMathPara>
        <m:oMathParaPr>
          <m:jc m:val="center"/>
        </m:oMathParaPr>
        <m:oMath>
          <m:r>
            <m:t>R</m:t>
          </m:r>
          <m:r>
            <m:rPr>
              <m:sty m:val="p"/>
            </m:rPr>
            <m:t>=</m:t>
          </m:r>
          <m:sSub>
            <m:e>
              <m:r>
                <m:t>R</m:t>
              </m:r>
            </m:e>
            <m:sub>
              <m:r>
                <m:rPr>
                  <m:nor/>
                  <m:sty m:val="p"/>
                </m:rPr>
                <m:t>correctness</m:t>
              </m:r>
            </m:sub>
          </m:sSub>
          <m:r>
            <m:rPr>
              <m:sty m:val="p"/>
            </m:rPr>
            <m:t>+</m:t>
          </m:r>
          <m:r>
            <m:t>λ</m:t>
          </m:r>
          <m:r>
            <m:rPr>
              <m:sty m:val="p"/>
            </m:rPr>
            <m:t>⋅</m:t>
          </m:r>
          <m:sSub>
            <m:e>
              <m:r>
                <m:t>R</m:t>
              </m:r>
            </m:e>
            <m:sub>
              <m:r>
                <m:rPr>
                  <m:nor/>
                  <m:sty m:val="p"/>
                </m:rPr>
                <m:t>FNO residual</m:t>
              </m:r>
            </m:sub>
          </m:sSub>
          <m:r>
            <m:rPr>
              <m:sty m:val="p"/>
            </m:rPr>
            <m:t>+</m:t>
          </m:r>
          <m:r>
            <m:t>μ</m:t>
          </m:r>
          <m:r>
            <m:rPr>
              <m:sty m:val="p"/>
            </m:rPr>
            <m:t>⋅</m:t>
          </m:r>
          <m:sSub>
            <m:e>
              <m:r>
                <m:t>R</m:t>
              </m:r>
            </m:e>
            <m:sub>
              <m:r>
                <m:rPr>
                  <m:nor/>
                  <m:sty m:val="p"/>
                </m:rPr>
                <m:t>unit consistency</m:t>
              </m:r>
            </m:sub>
          </m:sSub>
        </m:oMath>
      </m:oMathPara>
    </w:p>
    <w:p>
      <w:pPr>
        <w:pStyle w:val="FirstParagraph"/>
      </w:pPr>
      <w:r>
        <w:t xml:space="preserve">This is differentiable physics-informed reinforcement learning: the model learns to generate physically consistent solutions not because it has memorized physical law, but because the reward landscape penalizes inconsistency at the speed of neural inference.</w:t>
      </w:r>
    </w:p>
    <w:bookmarkEnd w:id="91"/>
    <w:bookmarkEnd w:id="92"/>
    <w:bookmarkStart w:id="96" w:name="the-dual-compile-target"/>
    <w:p>
      <w:pPr>
        <w:pStyle w:val="Heading2"/>
      </w:pPr>
      <w:r>
        <w:t xml:space="preserve">5.3 The Dual Compile Target</w:t>
      </w:r>
    </w:p>
    <w:bookmarkStart w:id="93" w:name="X3d87a20fbb4aa8ac68c19497df99e0a1b8debf8"/>
    <w:p>
      <w:pPr>
        <w:pStyle w:val="Heading3"/>
      </w:pPr>
      <w:r>
        <w:t xml:space="preserve">5.3.1 From Ontology to Rust Traits and NN Constraints</w:t>
      </w:r>
    </w:p>
    <w:p>
      <w:pPr>
        <w:pStyle w:val="FirstParagraph"/>
      </w:pPr>
      <w:r>
        <w:t xml:space="preserve">The central architectural insight of this chapter — Insight 13 in the cross-dimensional synthesis — is that an ontological profile compiles to</w:t>
      </w:r>
      <w:r>
        <w:t xml:space="preserve"> </w:t>
      </w:r>
      <w:r>
        <w:rPr>
          <w:iCs/>
          <w:i/>
        </w:rPr>
        <w:t xml:space="preserve">two</w:t>
      </w:r>
      <w:r>
        <w:t xml:space="preserve"> </w:t>
      </w:r>
      <w:r>
        <w:t xml:space="preserve">enforcement targets simultaneously:</w:t>
      </w:r>
    </w:p>
    <w:p>
      <w:pPr>
        <w:numPr>
          <w:ilvl w:val="0"/>
          <w:numId w:val="1002"/>
        </w:numPr>
        <w:pStyle w:val="Compact"/>
      </w:pPr>
      <w:r>
        <w:rPr>
          <w:bCs/>
          <w:b/>
        </w:rPr>
        <w:t xml:space="preserve">Rust traits</w:t>
      </w:r>
      <w:r>
        <w:t xml:space="preserve"> </w:t>
      </w:r>
      <w:r>
        <w:t xml:space="preserve">for runtime claim validation: zero-cost structural and dimensional checks via monomorphization, typestate patterns for protocol enforcement</w:t>
      </w:r>
      <w:r>
        <w:t xml:space="preserve"> </w:t>
      </w:r>
      <w:fldSimple w:instr="NOTEREF _Ref_Footnote_26 \h \f">
        <w:r>
          <w:rPr>
            <w:vertAlign w:val="superscript"/>
          </w:rPr>
          <w:t>26</w:t>
        </w:r>
      </w:fldSimple>
      <w:r>
        <w:t xml:space="preserve">, and linear ghost permissions for formal verification via Verus</w:t>
      </w:r>
      <w:r>
        <w:t xml:space="preserve"> </w:t>
      </w:r>
      <w:fldSimple w:instr="NOTEREF _Ref_Footnote_57 \h \f">
        <w:r>
          <w:rPr>
            <w:vertAlign w:val="superscript"/>
          </w:rPr>
          <w:t>57</w:t>
        </w:r>
      </w:fldSimple>
      <w:r>
        <w:t xml:space="preserve">.</w:t>
      </w:r>
    </w:p>
    <w:p>
      <w:pPr>
        <w:numPr>
          <w:ilvl w:val="0"/>
          <w:numId w:val="1002"/>
        </w:numPr>
        <w:pStyle w:val="Compact"/>
      </w:pPr>
      <w:r>
        <w:rPr>
          <w:bCs/>
          <w:b/>
        </w:rPr>
        <w:t xml:space="preserve">Neural network architecture constraints</w:t>
      </w:r>
      <w:r>
        <w:t xml:space="preserve"> </w:t>
      </w:r>
      <w:r>
        <w:t xml:space="preserve">for structural inductive bias: Hamiltonian and Lagrangian network structures that make conservation laws physically impossible to violate by construction, rather than penalizing violations in a loss function.</w:t>
      </w:r>
    </w:p>
    <w:p>
      <w:pPr>
        <w:pStyle w:val="FirstParagraph"/>
      </w:pPr>
      <w:r>
        <w:t xml:space="preserve">The compilation is isomorphic: the same conservation law expressed in an</w:t>
      </w:r>
      <w:r>
        <w:t xml:space="preserve"> </w:t>
      </w:r>
      <w:r>
        <w:rPr>
          <w:rStyle w:val="VerbatimChar"/>
        </w:rPr>
        <w:t xml:space="preserve">OntologicalProfile.invariants</w:t>
      </w:r>
      <w:r>
        <w:t xml:space="preserve"> </w:t>
      </w:r>
      <w:r>
        <w:t xml:space="preserve">entry becomes both a Rust trait bound (</w:t>
      </w:r>
      <w:r>
        <w:rPr>
          <w:rStyle w:val="VerbatimChar"/>
        </w:rPr>
        <w:t xml:space="preserve">trait ConservesEnergy: Dynamics { ... }</w:t>
      </w:r>
      <w:r>
        <w:t xml:space="preserve">) and a Hamiltonian network layer structure. Changes to the ontology propagate to both targets automatically, preventing the specification drift that occurs when runtime checks and model architecture evolve independently.</w:t>
      </w:r>
    </w:p>
    <w:bookmarkEnd w:id="93"/>
    <w:bookmarkStart w:id="94" w:name="X294a17681dd7dd75039e4be1fa6c382df58aeef"/>
    <w:p>
      <w:pPr>
        <w:pStyle w:val="Heading3"/>
      </w:pPr>
      <w:r>
        <w:t xml:space="preserve">5.3.2 Hamiltonian and Lagrangian Neural Networks</w:t>
      </w:r>
    </w:p>
    <w:p>
      <w:pPr>
        <w:pStyle w:val="FirstParagraph"/>
      </w:pPr>
      <w:r>
        <w:t xml:space="preserve">Hamiltonian Neural Networks (HNNs) learn a scalar energy function</w:t>
      </w:r>
      <w:r>
        <w:t xml:space="preserve"> </w:t>
      </w:r>
      <m:oMath>
        <m:sSub>
          <m:e>
            <m:r>
              <m:t>H</m:t>
            </m:r>
          </m:e>
          <m:sub>
            <m:r>
              <m:t>θ</m:t>
            </m:r>
          </m:sub>
        </m:sSub>
        <m:d>
          <m:dPr>
            <m:begChr m:val="("/>
            <m:endChr m:val=")"/>
            <m:sepChr m:val=""/>
            <m:grow/>
          </m:dPr>
          <m:e>
            <m:r>
              <m:t>q</m:t>
            </m:r>
            <m:r>
              <m:rPr>
                <m:sty m:val="p"/>
              </m:rPr>
              <m:t>,</m:t>
            </m:r>
            <m:r>
              <m:t>p</m:t>
            </m:r>
          </m:e>
        </m:d>
      </m:oMath>
      <w:r>
        <w:t xml:space="preserve"> </w:t>
      </w:r>
      <w:r>
        <w:t xml:space="preserve">from trajectory data and recover dynamics via Hamilton’s equations</w:t>
      </w:r>
      <w:r>
        <w:t xml:space="preserve"> </w:t>
      </w:r>
      <w:fldSimple w:instr="NOTEREF _Ref_Footnote_63 \h \f">
        <w:r>
          <w:rPr>
            <w:vertAlign w:val="superscript"/>
          </w:rPr>
          <w:t>63</w:t>
        </w:r>
      </w:fldSimple>
      <w:r>
        <w:t xml:space="preserve">:</w:t>
      </w:r>
    </w:p>
    <w:p>
      <w:pPr>
        <w:pStyle w:val="BodyText"/>
      </w:pPr>
      <m:oMathPara>
        <m:oMathParaPr>
          <m:jc m:val="center"/>
        </m:oMathParaPr>
        <m:oMath>
          <m:acc>
            <m:accPr>
              <m:chr m:val="̇"/>
            </m:accPr>
            <m:e>
              <m:r>
                <m:t>q</m:t>
              </m:r>
            </m:e>
          </m:acc>
          <m:r>
            <m:rPr>
              <m:sty m:val="p"/>
            </m:rPr>
            <m:t>=</m:t>
          </m:r>
          <m:f>
            <m:fPr>
              <m:type m:val="bar"/>
            </m:fPr>
            <m:num>
              <m:r>
                <m:rPr>
                  <m:sty m:val="p"/>
                </m:rPr>
                <m:t>∂</m:t>
              </m:r>
              <m:sSub>
                <m:e>
                  <m:r>
                    <m:t>H</m:t>
                  </m:r>
                </m:e>
                <m:sub>
                  <m:r>
                    <m:t>θ</m:t>
                  </m:r>
                </m:sub>
              </m:sSub>
            </m:num>
            <m:den>
              <m:r>
                <m:rPr>
                  <m:sty m:val="p"/>
                </m:rPr>
                <m:t>∂</m:t>
              </m:r>
              <m:r>
                <m:t>p</m:t>
              </m:r>
            </m:den>
          </m:f>
          <m:r>
            <m:rPr>
              <m:sty m:val="p"/>
            </m:rPr>
            <m:t>,</m:t>
          </m:r>
          <m:r>
            <m:t> </m:t>
          </m:r>
          <m:acc>
            <m:accPr>
              <m:chr m:val="̇"/>
            </m:accPr>
            <m:e>
              <m:r>
                <m:t>p</m:t>
              </m:r>
            </m:e>
          </m:acc>
          <m:r>
            <m:rPr>
              <m:sty m:val="p"/>
            </m:rPr>
            <m:t>=</m:t>
          </m:r>
          <m:r>
            <m:rPr>
              <m:sty m:val="p"/>
            </m:rPr>
            <m:t>−</m:t>
          </m:r>
          <m:f>
            <m:fPr>
              <m:type m:val="bar"/>
            </m:fPr>
            <m:num>
              <m:r>
                <m:rPr>
                  <m:sty m:val="p"/>
                </m:rPr>
                <m:t>∂</m:t>
              </m:r>
              <m:sSub>
                <m:e>
                  <m:r>
                    <m:t>H</m:t>
                  </m:r>
                </m:e>
                <m:sub>
                  <m:r>
                    <m:t>θ</m:t>
                  </m:r>
                </m:sub>
              </m:sSub>
            </m:num>
            <m:den>
              <m:r>
                <m:rPr>
                  <m:sty m:val="p"/>
                </m:rPr>
                <m:t>∂</m:t>
              </m:r>
              <m:r>
                <m:t>q</m:t>
              </m:r>
            </m:den>
          </m:f>
        </m:oMath>
      </m:oMathPara>
    </w:p>
    <w:p>
      <w:pPr>
        <w:pStyle w:val="FirstParagraph"/>
      </w:pPr>
      <w:r>
        <w:t xml:space="preserve">Because the network is not trained to predict</w:t>
      </w:r>
      <w:r>
        <w:t xml:space="preserve"> </w:t>
      </w:r>
      <m:oMath>
        <m:acc>
          <m:accPr>
            <m:chr m:val="̇"/>
          </m:accPr>
          <m:e>
            <m:r>
              <m:t>q</m:t>
            </m:r>
          </m:e>
        </m:acc>
      </m:oMath>
      <w:r>
        <w:t xml:space="preserve"> </w:t>
      </w:r>
      <w:r>
        <w:t xml:space="preserve">and</w:t>
      </w:r>
      <w:r>
        <w:t xml:space="preserve"> </w:t>
      </w:r>
      <m:oMath>
        <m:acc>
          <m:accPr>
            <m:chr m:val="̇"/>
          </m:accPr>
          <m:e>
            <m:r>
              <m:t>p</m:t>
            </m:r>
          </m:e>
        </m:acc>
      </m:oMath>
      <w:r>
        <w:t xml:space="preserve"> </w:t>
      </w:r>
      <w:r>
        <w:t xml:space="preserve">directly, but rather to predict the Hamiltonian whose symplectic gradient</w:t>
      </w:r>
      <w:r>
        <w:t xml:space="preserve"> </w:t>
      </w:r>
      <w:r>
        <w:rPr>
          <w:iCs/>
          <w:i/>
        </w:rPr>
        <w:t xml:space="preserve">yields</w:t>
      </w:r>
      <w:r>
        <w:t xml:space="preserve"> </w:t>
      </w:r>
      <w:r>
        <w:t xml:space="preserve">the dynamics, the learned quantity</w:t>
      </w:r>
      <w:r>
        <w:t xml:space="preserve"> </w:t>
      </w:r>
      <m:oMath>
        <m:sSub>
          <m:e>
            <m:r>
              <m:t>H</m:t>
            </m:r>
          </m:e>
          <m:sub>
            <m:r>
              <m:t>θ</m:t>
            </m:r>
          </m:sub>
        </m:sSub>
      </m:oMath>
      <w:r>
        <w:t xml:space="preserve"> </w:t>
      </w:r>
      <w:r>
        <w:t xml:space="preserve">is conserved by construction over much longer integration horizons than baseline neural networks</w:t>
      </w:r>
      <w:r>
        <w:t xml:space="preserve"> </w:t>
      </w:r>
      <w:fldSimple w:instr="NOTEREF _Ref_Footnote_63 \h \f">
        <w:r>
          <w:rPr>
            <w:vertAlign w:val="superscript"/>
          </w:rPr>
          <w:t>63</w:t>
        </w:r>
      </w:fldSimple>
      <w:r>
        <w:t xml:space="preserve">. The architecture</w:t>
      </w:r>
      <w:r>
        <w:t xml:space="preserve"> </w:t>
      </w:r>
      <w:r>
        <w:rPr>
          <w:iCs/>
          <w:i/>
        </w:rPr>
        <w:t xml:space="preserve">engraves</w:t>
      </w:r>
      <w:r>
        <w:t xml:space="preserve"> </w:t>
      </w:r>
      <w:r>
        <w:t xml:space="preserve">Hamilton’s equations into the network structure, making energy violation physically impossible at inference time — not merely unlikely due to loss-function penalties.</w:t>
      </w:r>
    </w:p>
    <w:p>
      <w:pPr>
        <w:pStyle w:val="BodyText"/>
      </w:pPr>
      <w:r>
        <w:t xml:space="preserve">Lagrangian Neural Networks (LNNs) extend this to systems where canonical coordinates are unknown or inconvenient. By parameterizing arbitrary Lagrangians</w:t>
      </w:r>
      <w:r>
        <w:t xml:space="preserve"> </w:t>
      </w:r>
      <m:oMath>
        <m:sSub>
          <m:e>
            <m:r>
              <m:t>L</m:t>
            </m:r>
          </m:e>
          <m:sub>
            <m:r>
              <m:t>θ</m:t>
            </m:r>
          </m:sub>
        </m:sSub>
        <m:d>
          <m:dPr>
            <m:begChr m:val="("/>
            <m:endChr m:val=")"/>
            <m:sepChr m:val=""/>
            <m:grow/>
          </m:dPr>
          <m:e>
            <m:r>
              <m:t>q</m:t>
            </m:r>
            <m:r>
              <m:rPr>
                <m:sty m:val="p"/>
              </m:rPr>
              <m:t>,</m:t>
            </m:r>
            <m:acc>
              <m:accPr>
                <m:chr m:val="̇"/>
              </m:accPr>
              <m:e>
                <m:r>
                  <m:t>q</m:t>
                </m:r>
              </m:e>
            </m:acc>
          </m:e>
        </m:d>
      </m:oMath>
      <w:r>
        <w:t xml:space="preserve"> </w:t>
      </w:r>
      <w:r>
        <w:t xml:space="preserve">and deriving dynamics through the Euler-Lagrange equation, LNNs handle relativistic particles, non-conservative constraints, and coordinate choices where Hamiltonian approaches fail</w:t>
      </w:r>
      <w:r>
        <w:t xml:space="preserve"> </w:t>
      </w:r>
      <w:fldSimple w:instr="NOTEREF _Ref_Footnote_18 \h \f">
        <w:r>
          <w:rPr>
            <w:vertAlign w:val="superscript"/>
          </w:rPr>
          <w:t>18</w:t>
        </w:r>
      </w:fldSimple>
      <w:r>
        <w:t xml:space="preserve">. The choice between HNN and LNN compilation depends on the ontological profile: if the domain specifies canonical coordinates and energy conservation, the compiler emits an HNN structure; if it specifies generalized coordinates with holonomic constraints, it emits an LNN structure.</w:t>
      </w:r>
    </w:p>
    <w:bookmarkEnd w:id="94"/>
    <w:bookmarkStart w:id="95" w:name="X47c88b6f87f252568ea71170d0e1608713131bb"/>
    <w:p>
      <w:pPr>
        <w:pStyle w:val="Heading3"/>
      </w:pPr>
      <w:r>
        <w:t xml:space="preserve">5.3.3 SymDLNN: Auto-Discovering Conservation Laws</w:t>
      </w:r>
    </w:p>
    <w:p>
      <w:pPr>
        <w:pStyle w:val="FirstParagraph"/>
      </w:pPr>
      <w:r>
        <w:t xml:space="preserve">The limitation of HNNs and LNNs is that they require the conservation law to be known a priori — the architecture assumes energy is conserved, but it does not discover</w:t>
      </w:r>
      <w:r>
        <w:t xml:space="preserve"> </w:t>
      </w:r>
      <w:r>
        <w:rPr>
          <w:iCs/>
          <w:i/>
        </w:rPr>
        <w:t xml:space="preserve">which</w:t>
      </w:r>
      <w:r>
        <w:t xml:space="preserve"> </w:t>
      </w:r>
      <w:r>
        <w:t xml:space="preserve">symmetries are present in an arbitrary system. SymDLNN (Discrete Lagrangian Neural Networks with Automatic Symmetry Discovery) closes this gap</w:t>
      </w:r>
      <w:r>
        <w:t xml:space="preserve"> </w:t>
      </w:r>
      <w:fldSimple w:instr="NOTEREF _Ref_Footnote_23 \h \f">
        <w:r>
          <w:rPr>
            <w:vertAlign w:val="superscript"/>
          </w:rPr>
          <w:t>23</w:t>
        </w:r>
      </w:fldSimple>
      <w:r>
        <w:t xml:space="preserve">. It learns a discrete Lagrangian</w:t>
      </w:r>
      <w:r>
        <w:t xml:space="preserve"> </w:t>
      </w:r>
      <m:oMath>
        <m:sSub>
          <m:e>
            <m:r>
              <m:t>L</m:t>
            </m:r>
          </m:e>
          <m:sub>
            <m:r>
              <m:t>d</m:t>
            </m:r>
          </m:sub>
        </m:sSub>
        <m:d>
          <m:dPr>
            <m:begChr m:val="("/>
            <m:endChr m:val=")"/>
            <m:sepChr m:val=""/>
            <m:grow/>
          </m:dPr>
          <m:e>
            <m:sSub>
              <m:e>
                <m:r>
                  <m:t>q</m:t>
                </m:r>
              </m:e>
              <m:sub>
                <m:r>
                  <m:t>k</m:t>
                </m:r>
              </m:sub>
            </m:sSub>
            <m:r>
              <m:rPr>
                <m:sty m:val="p"/>
              </m:rPr>
              <m:t>,</m:t>
            </m:r>
            <m:sSub>
              <m:e>
                <m:r>
                  <m:t>q</m:t>
                </m:r>
              </m:e>
              <m:sub>
                <m:r>
                  <m:t>k</m:t>
                </m:r>
                <m:r>
                  <m:rPr>
                    <m:sty m:val="p"/>
                  </m:rPr>
                  <m:t>+</m:t>
                </m:r>
                <m:r>
                  <m:t>1</m:t>
                </m:r>
              </m:sub>
            </m:sSub>
          </m:e>
        </m:d>
      </m:oMath>
      <w:r>
        <w:t xml:space="preserve"> </w:t>
      </w:r>
      <w:r>
        <w:t xml:space="preserve">from trajectory data, then automatically identifies subgroups of affine transformations</w:t>
      </w:r>
      <w:r>
        <w:t xml:space="preserve"> </w:t>
      </w:r>
      <m:oMath>
        <m:d>
          <m:dPr>
            <m:begChr m:val="("/>
            <m:endChr m:val=")"/>
            <m:sepChr m:val=""/>
            <m:grow/>
          </m:dPr>
          <m:e>
            <m:r>
              <m:t>M</m:t>
            </m:r>
            <m:r>
              <m:rPr>
                <m:sty m:val="p"/>
              </m:rPr>
              <m:t>,</m:t>
            </m:r>
            <m:r>
              <m:t>w</m:t>
            </m:r>
          </m:e>
        </m:d>
      </m:oMath>
      <w:r>
        <w:t xml:space="preserve"> </w:t>
      </w:r>
      <w:r>
        <w:t xml:space="preserve">under which</w:t>
      </w:r>
      <w:r>
        <w:t xml:space="preserve"> </w:t>
      </w:r>
      <m:oMath>
        <m:sSub>
          <m:e>
            <m:r>
              <m:t>L</m:t>
            </m:r>
          </m:e>
          <m:sub>
            <m:r>
              <m:t>d</m:t>
            </m:r>
          </m:sub>
        </m:sSub>
      </m:oMath>
      <w:r>
        <w:t xml:space="preserve"> </w:t>
      </w:r>
      <w:r>
        <w:t xml:space="preserve">is invariant. Applying discrete Noether’s theorem yields the conserved quantity:</w:t>
      </w:r>
    </w:p>
    <w:p>
      <w:pPr>
        <w:pStyle w:val="BodyText"/>
      </w:pPr>
      <m:oMathPara>
        <m:oMathParaPr>
          <m:jc m:val="center"/>
        </m:oMathParaPr>
        <m:oMath>
          <m:r>
            <m:t>I</m:t>
          </m:r>
          <m:d>
            <m:dPr>
              <m:begChr m:val="("/>
              <m:endChr m:val=")"/>
              <m:sepChr m:val=""/>
              <m:grow/>
            </m:dPr>
            <m:e>
              <m:sSub>
                <m:e>
                  <m:r>
                    <m:t>q</m:t>
                  </m:r>
                </m:e>
                <m:sub>
                  <m:r>
                    <m:t>k</m:t>
                  </m:r>
                </m:sub>
              </m:sSub>
              <m:r>
                <m:rPr>
                  <m:sty m:val="p"/>
                </m:rPr>
                <m:t>,</m:t>
              </m:r>
              <m:sSub>
                <m:e>
                  <m:r>
                    <m:t>q</m:t>
                  </m:r>
                </m:e>
                <m:sub>
                  <m:r>
                    <m:t>k</m:t>
                  </m:r>
                  <m:r>
                    <m:rPr>
                      <m:sty m:val="p"/>
                    </m:rPr>
                    <m:t>+</m:t>
                  </m:r>
                  <m:r>
                    <m:t>1</m:t>
                  </m:r>
                </m:sub>
              </m:sSub>
            </m:e>
          </m:d>
          <m:r>
            <m:rPr>
              <m:sty m:val="p"/>
            </m:rPr>
            <m:t>=</m:t>
          </m:r>
          <m:r>
            <m:rPr>
              <m:sty m:val="p"/>
            </m:rPr>
            <m:t>−</m:t>
          </m:r>
          <m:sSup>
            <m:e>
              <m:d>
                <m:dPr>
                  <m:begChr m:val="("/>
                  <m:endChr m:val=")"/>
                  <m:sepChr m:val=""/>
                  <m:grow/>
                </m:dPr>
                <m:e>
                  <m:r>
                    <m:t>M</m:t>
                  </m:r>
                  <m:sSub>
                    <m:e>
                      <m:r>
                        <m:t>q</m:t>
                      </m:r>
                    </m:e>
                    <m:sub>
                      <m:r>
                        <m:t>k</m:t>
                      </m:r>
                    </m:sub>
                  </m:sSub>
                  <m:r>
                    <m:rPr>
                      <m:sty m:val="p"/>
                    </m:rPr>
                    <m:t>+</m:t>
                  </m:r>
                  <m:r>
                    <m:t>w</m:t>
                  </m:r>
                </m:e>
              </m:d>
            </m:e>
            <m:sup>
              <m:r>
                <m:t>T</m:t>
              </m:r>
            </m:sup>
          </m:sSup>
          <m:sSub>
            <m:e>
              <m:r>
                <m:rPr>
                  <m:sty m:val="p"/>
                </m:rPr>
                <m:t>∇</m:t>
              </m:r>
            </m:e>
            <m:sub>
              <m:sSub>
                <m:e>
                  <m:r>
                    <m:t>q</m:t>
                  </m:r>
                </m:e>
                <m:sub>
                  <m:r>
                    <m:t>k</m:t>
                  </m:r>
                </m:sub>
              </m:sSub>
            </m:sub>
          </m:sSub>
          <m:sSub>
            <m:e>
              <m:r>
                <m:t>L</m:t>
              </m:r>
            </m:e>
            <m:sub>
              <m:r>
                <m:t>d</m:t>
              </m:r>
            </m:sub>
          </m:sSub>
          <m:d>
            <m:dPr>
              <m:begChr m:val="("/>
              <m:endChr m:val=")"/>
              <m:sepChr m:val=""/>
              <m:grow/>
            </m:dPr>
            <m:e>
              <m:sSub>
                <m:e>
                  <m:r>
                    <m:t>q</m:t>
                  </m:r>
                </m:e>
                <m:sub>
                  <m:r>
                    <m:t>k</m:t>
                  </m:r>
                </m:sub>
              </m:sSub>
              <m:r>
                <m:rPr>
                  <m:sty m:val="p"/>
                </m:rPr>
                <m:t>,</m:t>
              </m:r>
              <m:sSub>
                <m:e>
                  <m:r>
                    <m:t>q</m:t>
                  </m:r>
                </m:e>
                <m:sub>
                  <m:r>
                    <m:t>k</m:t>
                  </m:r>
                  <m:r>
                    <m:rPr>
                      <m:sty m:val="p"/>
                    </m:rPr>
                    <m:t>+</m:t>
                  </m:r>
                  <m:r>
                    <m:t>1</m:t>
                  </m:r>
                </m:sub>
              </m:sSub>
            </m:e>
          </m:d>
        </m:oMath>
      </m:oMathPara>
    </w:p>
    <w:p>
      <w:pPr>
        <w:pStyle w:val="FirstParagraph"/>
      </w:pPr>
      <w:r>
        <w:t xml:space="preserve">The significance for Rex is profound: a system observing trajectory data can auto-discover conservation laws without human guidance, add them to its</w:t>
      </w:r>
      <w:r>
        <w:t xml:space="preserve"> </w:t>
      </w:r>
      <w:r>
        <w:rPr>
          <w:rStyle w:val="VerbatimChar"/>
        </w:rPr>
        <w:t xml:space="preserve">OntologicalProfile.invariants</w:t>
      </w:r>
      <w:r>
        <w:t xml:space="preserve">, and recompile the dual target so that both the Rust constraint engine and the neural architecture enforce the newly discovered law. This creates a closed loop of</w:t>
      </w:r>
      <w:r>
        <w:t xml:space="preserve"> </w:t>
      </w:r>
      <w:r>
        <w:rPr>
          <w:iCs/>
          <w:i/>
        </w:rPr>
        <w:t xml:space="preserve">structure discovery → ontology update → compile-target propagation → enforced consistency</w:t>
      </w:r>
      <w:r>
        <w:t xml:space="preserve"> </w:t>
      </w:r>
      <w:r>
        <w:t xml:space="preserve">— a form of machine-driven theory formation where the output is not merely a predictive model but a formally typed conservation law.</w:t>
      </w:r>
    </w:p>
    <w:bookmarkEnd w:id="95"/>
    <w:bookmarkEnd w:id="96"/>
    <w:bookmarkStart w:id="100" w:name="falsifiability-and-evidence-evaluation"/>
    <w:p>
      <w:pPr>
        <w:pStyle w:val="Heading2"/>
      </w:pPr>
      <w:r>
        <w:t xml:space="preserve">5.4 Falsifiability and Evidence Evaluation</w:t>
      </w:r>
    </w:p>
    <w:bookmarkStart w:id="97" w:name="the-bewa-framework"/>
    <w:p>
      <w:pPr>
        <w:pStyle w:val="Heading3"/>
      </w:pPr>
      <w:r>
        <w:t xml:space="preserve">5.4.1 The BEWA Framework</w:t>
      </w:r>
    </w:p>
    <w:p>
      <w:pPr>
        <w:pStyle w:val="FirstParagraph"/>
      </w:pPr>
      <w:r>
        <w:t xml:space="preserve">A deterministic superintelligence substrate must evaluate claims not only for internal consistency but for epistemic robustness. The BEWA (Bayesian Epistemology-Weighted Architecture) framework formalizes belief as a probabilistic relation over structured claims, indexed to authors, contexts, and replication history</w:t>
      </w:r>
      <w:r>
        <w:t xml:space="preserve"> </w:t>
      </w:r>
      <w:fldSimple w:instr="NOTEREF _Ref_Footnote_6 \h \f">
        <w:r>
          <w:rPr>
            <w:vertAlign w:val="superscript"/>
          </w:rPr>
          <w:t>6</w:t>
        </w:r>
      </w:fldSimple>
      <w:r>
        <w:t xml:space="preserve">. It integrates five design principles:</w:t>
      </w:r>
    </w:p>
    <w:p>
      <w:pPr>
        <w:numPr>
          <w:ilvl w:val="0"/>
          <w:numId w:val="1003"/>
        </w:numPr>
        <w:pStyle w:val="Compact"/>
      </w:pPr>
      <w:r>
        <w:rPr>
          <w:bCs/>
          <w:b/>
        </w:rPr>
        <w:t xml:space="preserve">Compositional Modularity</w:t>
      </w:r>
      <w:r>
        <w:t xml:space="preserve">: each claim is evaluated independently, then combined via Bayesian belief networks.</w:t>
      </w:r>
    </w:p>
    <w:p>
      <w:pPr>
        <w:numPr>
          <w:ilvl w:val="0"/>
          <w:numId w:val="1003"/>
        </w:numPr>
        <w:pStyle w:val="Compact"/>
      </w:pPr>
      <w:r>
        <w:rPr>
          <w:bCs/>
          <w:b/>
        </w:rPr>
        <w:t xml:space="preserve">Evidential Locality</w:t>
      </w:r>
      <w:r>
        <w:t xml:space="preserve">: evidence sufficiency is assessed per-claim, not per-document.</w:t>
      </w:r>
    </w:p>
    <w:p>
      <w:pPr>
        <w:numPr>
          <w:ilvl w:val="0"/>
          <w:numId w:val="1003"/>
        </w:numPr>
        <w:pStyle w:val="Compact"/>
      </w:pPr>
      <w:r>
        <w:rPr>
          <w:bCs/>
          <w:b/>
        </w:rPr>
        <w:t xml:space="preserve">Non-Monotonic Reversibility</w:t>
      </w:r>
      <w:r>
        <w:t xml:space="preserve">: new evidence can reduce belief, not merely accumulate it.</w:t>
      </w:r>
    </w:p>
    <w:p>
      <w:pPr>
        <w:numPr>
          <w:ilvl w:val="0"/>
          <w:numId w:val="1003"/>
        </w:numPr>
        <w:pStyle w:val="Compact"/>
      </w:pPr>
      <w:r>
        <w:rPr>
          <w:bCs/>
          <w:b/>
        </w:rPr>
        <w:t xml:space="preserve">Temporal Sensitivity</w:t>
      </w:r>
      <w:r>
        <w:t xml:space="preserve">: belief decays with time since last replication, with half-lives configurable per domain.</w:t>
      </w:r>
    </w:p>
    <w:p>
      <w:pPr>
        <w:numPr>
          <w:ilvl w:val="0"/>
          <w:numId w:val="1003"/>
        </w:numPr>
        <w:pStyle w:val="Compact"/>
      </w:pPr>
      <w:r>
        <w:rPr>
          <w:bCs/>
          <w:b/>
        </w:rPr>
        <w:t xml:space="preserve">Proof-Carrying Claims</w:t>
      </w:r>
      <w:r>
        <w:t xml:space="preserve">: every claim object carries a formal trace of its derivation, inspired by Necula’s Proof-Carrying Code (PCC) architecture</w:t>
      </w:r>
      <w:r>
        <w:t xml:space="preserve"> </w:t>
      </w:r>
      <w:fldSimple w:instr="NOTEREF _Ref_Footnote_49 \h \f">
        <w:r>
          <w:rPr>
            <w:vertAlign w:val="superscript"/>
          </w:rPr>
          <w:t>49</w:t>
        </w:r>
      </w:fldSimple>
      <w:r>
        <w:t xml:space="preserve">.</w:t>
      </w:r>
    </w:p>
    <w:p>
      <w:pPr>
        <w:pStyle w:val="FirstParagraph"/>
      </w:pPr>
      <w:r>
        <w:t xml:space="preserve">The fifth principle is the critical bridge to Rex. Necula’s original PCC required code fragments to carry proofs of safety-policy satisfaction, with validation times of</w:t>
      </w:r>
      <w:r>
        <w:t xml:space="preserve"> </w:t>
      </w:r>
      <m:oMath>
        <m:r>
          <m:t>0.3</m:t>
        </m:r>
      </m:oMath>
      <w:r>
        <w:t xml:space="preserve">–</w:t>
      </w:r>
      <m:oMath>
        <m:r>
          <m:t>1.3</m:t>
        </m:r>
        <m:r>
          <m:t> </m:t>
        </m:r>
        <m:r>
          <m:rPr>
            <m:nor/>
            <m:sty m:val="p"/>
          </m:rPr>
          <m:t>ms</m:t>
        </m:r>
      </m:oMath>
      <w:r>
        <w:t xml:space="preserve"> </w:t>
      </w:r>
      <w:r>
        <w:t xml:space="preserve">and proof sizes of</w:t>
      </w:r>
      <w:r>
        <w:t xml:space="preserve"> </w:t>
      </w:r>
      <m:oMath>
        <m:r>
          <m:t>300</m:t>
        </m:r>
      </m:oMath>
      <w:r>
        <w:t xml:space="preserve">–</w:t>
      </w:r>
      <m:oMath>
        <m:r>
          <m:t>900</m:t>
        </m:r>
      </m:oMath>
      <w:r>
        <w:t xml:space="preserve"> </w:t>
      </w:r>
      <w:r>
        <w:t xml:space="preserve">bytes</w:t>
      </w:r>
      <w:r>
        <w:t xml:space="preserve"> </w:t>
      </w:r>
      <w:fldSimple w:instr="NOTEREF _Ref_Footnote_49 \h \f">
        <w:r>
          <w:rPr>
            <w:vertAlign w:val="superscript"/>
          </w:rPr>
          <w:t>49</w:t>
        </w:r>
      </w:fldSimple>
      <w:r>
        <w:t xml:space="preserve">. BEWA adapts this to epistemic claims: every claim in the graph carries a derivation trace (how it was extracted, which model generated it, which validators checked it, which assumptions it depends on). A downstream consumer — human or agent — can verify the chain without re-executing the full extraction and validation pipeline.</w:t>
      </w:r>
    </w:p>
    <w:bookmarkEnd w:id="97"/>
    <w:bookmarkStart w:id="98" w:name="Xcb210c2f5ea7ffad8252b754a4cd942dd364d8f"/>
    <w:p>
      <w:pPr>
        <w:pStyle w:val="Heading3"/>
      </w:pPr>
      <w:r>
        <w:t xml:space="preserve">5.4.2 Property-Directed Neural Network Falsification</w:t>
      </w:r>
    </w:p>
    <w:p>
      <w:pPr>
        <w:pStyle w:val="FirstParagraph"/>
      </w:pPr>
      <w:r>
        <w:t xml:space="preserve">Verification — proving a claim correct for all possible inputs — is computationally intractable for neural networks of production scale. Alpha-beta-CROWN, the state-of-the-art neural network verifier, handles networks with millions of parameters but cannot scale to transformer architectures. Falsification, by contrast, searches for</w:t>
      </w:r>
      <w:r>
        <w:t xml:space="preserve"> </w:t>
      </w:r>
      <w:r>
        <w:rPr>
          <w:iCs/>
          <w:i/>
        </w:rPr>
        <w:t xml:space="preserve">counterexamples</w:t>
      </w:r>
      <w:r>
        <w:t xml:space="preserve"> </w:t>
      </w:r>
      <w:r>
        <w:t xml:space="preserve">that disprove a claim, and is orders of magnitude faster.</w:t>
      </w:r>
    </w:p>
    <w:p>
      <w:pPr>
        <w:pStyle w:val="BodyText"/>
      </w:pPr>
      <w:r>
        <w:t xml:space="preserve">Das and Mohalik’s property-directed falsification algorithm directs counterexample search using derivative-free sampling-based optimization guided by safety property specifications</w:t>
      </w:r>
      <w:r>
        <w:t xml:space="preserve"> </w:t>
      </w:r>
      <w:fldSimple w:instr="NOTEREF _Ref_Footnote_64 \h \f">
        <w:r>
          <w:rPr>
            <w:vertAlign w:val="superscript"/>
          </w:rPr>
          <w:t>64</w:t>
        </w:r>
      </w:fldSimple>
      <w:r>
        <w:t xml:space="preserve">. On the ACAS Xu airborne collision avoidance benchmarks against ten safety properties, the falsification procedure detects all unsafe instances that verification tools also flag, and identifies most of them</w:t>
      </w:r>
      <w:r>
        <w:t xml:space="preserve"> </w:t>
      </w:r>
      <w:r>
        <w:t xml:space="preserve">“</w:t>
      </w:r>
      <w:r>
        <w:t xml:space="preserve">by orders of magnitude</w:t>
      </w:r>
      <w:r>
        <w:t xml:space="preserve">”</w:t>
      </w:r>
      <w:r>
        <w:t xml:space="preserve"> </w:t>
      </w:r>
      <w:r>
        <w:t xml:space="preserve">faster than state-of-the-art verifiers (NNENUM, Neurify)</w:t>
      </w:r>
      <w:r>
        <w:t xml:space="preserve"> </w:t>
      </w:r>
      <w:fldSimple w:instr="NOTEREF _Ref_Footnote_64 \h \f">
        <w:r>
          <w:rPr>
            <w:vertAlign w:val="superscript"/>
          </w:rPr>
          <w:t>64</w:t>
        </w:r>
      </w:fldSimple>
      <w:r>
        <w:t xml:space="preserve">. The algorithm is sound but incomplete: when it terminates without finding a counterexample, safety cannot be guaranteed — but the absence of a falsifying input after extensive search provides a defeasible confidence signal.</w:t>
      </w:r>
    </w:p>
    <w:p>
      <w:pPr>
        <w:pStyle w:val="BodyText"/>
      </w:pPr>
      <w:r>
        <w:t xml:space="preserve">In Rex, falsification serves as a first-line filter in the</w:t>
      </w:r>
      <w:r>
        <w:t xml:space="preserve"> </w:t>
      </w:r>
      <w:r>
        <w:rPr>
          <w:rStyle w:val="VerbatimChar"/>
        </w:rPr>
        <w:t xml:space="preserve">falsifiability</w:t>
      </w:r>
      <w:r>
        <w:t xml:space="preserve"> </w:t>
      </w:r>
      <w:r>
        <w:t xml:space="preserve">component of</w:t>
      </w:r>
      <w:r>
        <w:t xml:space="preserve"> </w:t>
      </w:r>
      <w:r>
        <w:rPr>
          <w:rStyle w:val="VerbatimChar"/>
        </w:rPr>
        <w:t xml:space="preserve">PhysicsReward</w:t>
      </w:r>
      <w:r>
        <w:t xml:space="preserve">. A proposed equation or neural dynamics model is subjected to property-directed search before it is promoted to the verification tier. Claims that survive falsification are marked with elevated confidence; claims that are falsified are rejected immediately, with the counterexample fed back into the repair loop.</w:t>
      </w:r>
    </w:p>
    <w:bookmarkEnd w:id="98"/>
    <w:bookmarkStart w:id="99" w:name="Xfd1fa0d0887ee770becff0c64a8fdbb8320d85e"/>
    <w:p>
      <w:pPr>
        <w:pStyle w:val="Heading3"/>
      </w:pPr>
      <w:r>
        <w:t xml:space="preserve">5.4.3 Evidence Sufficiency and Information-Theoretic Bounds</w:t>
      </w:r>
    </w:p>
    <w:p>
      <w:pPr>
        <w:pStyle w:val="FirstParagraph"/>
      </w:pPr>
      <w:r>
        <w:t xml:space="preserve">The final gate in the evaluation pipeline is evidence sufficiency scoring. A claim that is internally consistent, dimensionally valid, and unfalsified may still be overconfident if the evidence supporting it is thin. BEWA addresses this through explicit evidence weighting, but Rex adds an information-theoretic bound: the Shannon entropy of the evidence distribution sets a lower bound on the uncertainty of the claim.</w:t>
      </w:r>
    </w:p>
    <w:p>
      <w:pPr>
        <w:pStyle w:val="BodyText"/>
      </w:pPr>
      <w:r>
        <w:t xml:space="preserve">The mechanism operates as follows. For an empirical claim supported by</w:t>
      </w:r>
      <w:r>
        <w:t xml:space="preserve"> </w:t>
      </w:r>
      <m:oMath>
        <m:r>
          <m:t>n</m:t>
        </m:r>
      </m:oMath>
      <w:r>
        <w:t xml:space="preserve"> </w:t>
      </w:r>
      <w:r>
        <w:t xml:space="preserve">independent observations, the evidence sufficiency score is:</w:t>
      </w:r>
    </w:p>
    <w:p>
      <w:pPr>
        <w:pStyle w:val="BodyText"/>
      </w:pPr>
      <m:oMathPara>
        <m:oMathParaPr>
          <m:jc m:val="center"/>
        </m:oMathParaPr>
        <m:oMath>
          <m:sSub>
            <m:e>
              <m:r>
                <m:t>S</m:t>
              </m:r>
            </m:e>
            <m:sub>
              <m:r>
                <m:rPr>
                  <m:nor/>
                  <m:sty m:val="p"/>
                </m:rPr>
                <m:t>evidence</m:t>
              </m:r>
            </m:sub>
          </m:sSub>
          <m:r>
            <m:rPr>
              <m:sty m:val="p"/>
            </m:rPr>
            <m:t>=</m:t>
          </m:r>
          <m:r>
            <m:t>1</m:t>
          </m:r>
          <m:r>
            <m:rPr>
              <m:sty m:val="p"/>
            </m:rPr>
            <m:t>−</m:t>
          </m:r>
          <m:f>
            <m:fPr>
              <m:type m:val="bar"/>
            </m:fPr>
            <m:num>
              <m:r>
                <m:t>H</m:t>
              </m:r>
              <m:d>
                <m:dPr>
                  <m:begChr m:val="("/>
                  <m:endChr m:val=")"/>
                  <m:sepChr m:val=""/>
                  <m:grow/>
                </m:dPr>
                <m:e>
                  <m:r>
                    <m:t>p</m:t>
                  </m:r>
                </m:e>
              </m:d>
            </m:num>
            <m:den>
              <m:sSub>
                <m:e>
                  <m:r>
                    <m:t>H</m:t>
                  </m:r>
                </m:e>
                <m:sub>
                  <m:r>
                    <m:rPr>
                      <m:nor/>
                      <m:sty m:val="p"/>
                    </m:rPr>
                    <m:t>max</m:t>
                  </m:r>
                </m:sub>
              </m:sSub>
            </m:den>
          </m:f>
          <m:r>
            <m:rPr>
              <m:sty m:val="p"/>
            </m:rPr>
            <m:t>=</m:t>
          </m:r>
          <m:r>
            <m:t>1</m:t>
          </m:r>
          <m:r>
            <m:rPr>
              <m:sty m:val="p"/>
            </m:rPr>
            <m:t>−</m:t>
          </m:r>
          <m:f>
            <m:fPr>
              <m:type m:val="bar"/>
            </m:fPr>
            <m:num>
              <m:r>
                <m:rPr>
                  <m:sty m:val="p"/>
                </m:rPr>
                <m:t>−</m:t>
              </m:r>
              <m:nary>
                <m:naryPr>
                  <m:chr m:val="∑"/>
                  <m:limLoc m:val="undOvr"/>
                  <m:subHide m:val="0"/>
                  <m:supHide m:val="1"/>
                </m:naryPr>
                <m:sub>
                  <m:r>
                    <m:t>i</m:t>
                  </m:r>
                </m:sub>
                <m:sup>
                  <m:r>
                    <m:t>​</m:t>
                  </m:r>
                </m:sup>
                <m:e>
                  <m:sSub>
                    <m:e>
                      <m:r>
                        <m:t>p</m:t>
                      </m:r>
                    </m:e>
                    <m:sub>
                      <m:r>
                        <m:t>i</m:t>
                      </m:r>
                    </m:sub>
                  </m:sSub>
                </m:e>
              </m:nary>
              <m:r>
                <m:rPr>
                  <m:sty m:val="p"/>
                </m:rPr>
                <m:t>log</m:t>
              </m:r>
              <m:sSub>
                <m:e>
                  <m:r>
                    <m:t>p</m:t>
                  </m:r>
                </m:e>
                <m:sub>
                  <m:r>
                    <m:t>i</m:t>
                  </m:r>
                </m:sub>
              </m:sSub>
            </m:num>
            <m:den>
              <m:r>
                <m:rPr>
                  <m:sty m:val="p"/>
                </m:rPr>
                <m:t>log</m:t>
              </m:r>
              <m:r>
                <m:t>n</m:t>
              </m:r>
            </m:den>
          </m:f>
        </m:oMath>
      </m:oMathPara>
    </w:p>
    <w:p>
      <w:pPr>
        <w:pStyle w:val="FirstParagraph"/>
      </w:pPr>
      <w:r>
        <w:t xml:space="preserve">where</w:t>
      </w:r>
      <w:r>
        <w:t xml:space="preserve"> </w:t>
      </w:r>
      <m:oMath>
        <m:sSub>
          <m:e>
            <m:r>
              <m:t>p</m:t>
            </m:r>
          </m:e>
          <m:sub>
            <m:r>
              <m:t>i</m:t>
            </m:r>
          </m:sub>
        </m:sSub>
      </m:oMath>
      <w:r>
        <w:t xml:space="preserve"> </w:t>
      </w:r>
      <w:r>
        <w:t xml:space="preserve">is the normalized reliability weight of the</w:t>
      </w:r>
      <w:r>
        <w:t xml:space="preserve"> </w:t>
      </w:r>
      <m:oMath>
        <m:r>
          <m:t>i</m:t>
        </m:r>
      </m:oMath>
      <w:r>
        <w:t xml:space="preserve">-th source. When evidence is concentrated in a single source (</w:t>
      </w:r>
      <m:oMath>
        <m:sSub>
          <m:e>
            <m:r>
              <m:t>p</m:t>
            </m:r>
          </m:e>
          <m:sub>
            <m:r>
              <m:t>1</m:t>
            </m:r>
          </m:sub>
        </m:sSub>
        <m:r>
          <m:rPr>
            <m:sty m:val="p"/>
          </m:rPr>
          <m:t>=</m:t>
        </m:r>
        <m:r>
          <m:t>1</m:t>
        </m:r>
      </m:oMath>
      <w:r>
        <w:t xml:space="preserve">), the score approaches zero — the claim is inadequately supported. When evidence is distributed across independent, high-reliability sources, the score approaches one. Claims with</w:t>
      </w:r>
      <w:r>
        <w:t xml:space="preserve"> </w:t>
      </w:r>
      <m:oMath>
        <m:sSub>
          <m:e>
            <m:r>
              <m:t>S</m:t>
            </m:r>
          </m:e>
          <m:sub>
            <m:r>
              <m:rPr>
                <m:nor/>
                <m:sty m:val="p"/>
              </m:rPr>
              <m:t>evidence</m:t>
            </m:r>
          </m:sub>
        </m:sSub>
        <m:r>
          <m:rPr>
            <m:sty m:val="p"/>
          </m:rPr>
          <m:t>&lt;</m:t>
        </m:r>
        <m:sSub>
          <m:e>
            <m:r>
              <m:t>θ</m:t>
            </m:r>
          </m:e>
          <m:sub>
            <m:r>
              <m:rPr>
                <m:nor/>
                <m:sty m:val="p"/>
              </m:rPr>
              <m:t>domain</m:t>
            </m:r>
          </m:sub>
        </m:sSub>
      </m:oMath>
      <w:r>
        <w:t xml:space="preserve"> </w:t>
      </w:r>
      <w:r>
        <w:t xml:space="preserve">are flagged as speculative and withheld from commitment unless the user explicitly overrides the threshold.</w:t>
      </w:r>
    </w:p>
    <w:p>
      <w:pPr>
        <w:pStyle w:val="BodyText"/>
      </w:pPr>
      <w:r>
        <w:t xml:space="preserve">This scoring prevents a failure mode common in both human and machine reasoning: the conflation of internal coherence with external warrant. A beautifully consistent physical theory built on a single unverified measurement receives a low sufficiency score, no matter how elegant its equations. The ontology runtime treats coherence as necessary but not sufficient — a claim must also carry adequate evidentiary mass before it is admitted to the knowledge graph.</w:t>
      </w:r>
    </w:p>
    <w:p>
      <w:r>
        <w:pict>
          <v:rect style="width:0;height:1.5pt" o:hralign="center" o:hrstd="t" o:hr="t"/>
        </w:pict>
      </w:r>
    </w:p>
    <w:p>
      <w:pPr>
        <w:pStyle w:val="FirstParagraph"/>
      </w:pPr>
      <w:r>
        <w:t xml:space="preserve">The executable ontology architecture described in this chapter transforms the relationship between AI systems and physical law. Physics is no longer a domain of knowledge that models may or may not have learned correctly; it is a compiler constraint that shapes both the software checking the model and the neural architecture generating proposals. The dual compile target — Rust traits for zero-cost validation and Hamiltonian/Lagrangian structures for conservation-by-construction — ensures that the same specification enforces correctness at both levels. When combined with real-time claim extraction via XGrammar, dimensional analysis via type-level SI units, falsification-driven confidence scoring, and information-theoretic evidence bounds, the result is a reasoning substrate where invalid physical claims are caught as early as type-checking catches invalid code: at the boundary between proposal and commitment.</w:t>
      </w:r>
    </w:p>
    <w:p>
      <w:r>
        <w:pict>
          <v:rect style="width:0;height:1.5pt" o:hralign="center" o:hrstd="t" o:hr="t"/>
        </w:pict>
      </w:r>
    </w:p>
    <w:bookmarkEnd w:id="99"/>
    <w:bookmarkEnd w:id="100"/>
    <w:bookmarkEnd w:id="101"/>
    <w:bookmarkStart w:id="117" w:name="X13be58ad4c470cec3dd333c5c89e41aa894f065"/>
    <w:p>
      <w:pPr>
        <w:pStyle w:val="Heading1"/>
      </w:pPr>
      <w:r>
        <w:t xml:space="preserve">6. The Repair Loop: Self-Correction, GRPO, and Active Inference</w:t>
      </w:r>
    </w:p>
    <w:p>
      <w:pPr>
        <w:pStyle w:val="FirstParagraph"/>
      </w:pPr>
      <w:r>
        <w:t xml:space="preserve">A deterministic substrate that claims superintelligence must do more than generate text—it must recognize its own errors, repair them, and converge on correct outputs through principled feedback. This chapter examines the empirical and theoretical foundations of iterative self-correction, the reinforcement learning methods that train models to reason, and the formal framework that tells us when to stop repairing and commit to an answer. The findings are sobering: intrinsic self-correction fails most of the time, but tool-augmented repair converges reliably within 1–3 iterations. Group Relative Policy Optimization (GRPO) eliminates the critic model, cutting memory consumption roughly in half while pushing mathematical reasoning benchmarks upward. And the Free Energy Principle provides a first-principles stopping criterion—repair continues only while the expected information gain from another iteration exceeds the pragmatic value of the current best answer.</w:t>
      </w:r>
    </w:p>
    <w:p>
      <w:pPr>
        <w:pStyle w:val="CaptionedFigure"/>
      </w:pPr>
      <w:r>
        <w:drawing>
          <wp:inline>
            <wp:extent cx="5334000" cy="2047989"/>
            <wp:effectExtent b="0" l="0" r="0" t="0"/>
            <wp:docPr descr="Figure 1: Left panel—GRPO eliminates the critic model, reducing memory footprint by ~25–50% relative to PPO. Right panel—empirical repair loop convergence curves show rapid gains in the first iteration followed by a plateau, consistent with single-exponential convergence models." title="" id="103" name="Picture"/>
            <a:graphic>
              <a:graphicData uri="http://schemas.openxmlformats.org/drawingml/2006/picture">
                <pic:pic>
                  <pic:nvPicPr>
                    <pic:cNvPr descr="/mnt/agents/output/fig_sec06_repair_grpo.png" id="104" name="Picture"/>
                    <pic:cNvPicPr>
                      <a:picLocks noChangeArrowheads="1" noChangeAspect="1"/>
                    </pic:cNvPicPr>
                  </pic:nvPicPr>
                  <pic:blipFill>
                    <a:blip r:embed="rId102"/>
                    <a:stretch>
                      <a:fillRect/>
                    </a:stretch>
                  </pic:blipFill>
                  <pic:spPr bwMode="auto">
                    <a:xfrm>
                      <a:off x="0" y="0"/>
                      <a:ext cx="5334000" cy="2047989"/>
                    </a:xfrm>
                    <a:prstGeom prst="rect">
                      <a:avLst/>
                    </a:prstGeom>
                    <a:noFill/>
                    <a:ln w="9525">
                      <a:noFill/>
                      <a:headEnd/>
                      <a:tailEnd/>
                    </a:ln>
                  </pic:spPr>
                </pic:pic>
              </a:graphicData>
            </a:graphic>
          </wp:inline>
        </w:drawing>
      </w:r>
    </w:p>
    <w:p>
      <w:pPr>
        <w:pStyle w:val="ImageCaption"/>
      </w:pPr>
      <w:r>
        <w:t xml:space="preserve">Figure 1: Left panel—GRPO eliminates the critic model, reducing memory footprint by ~25–50% relative to PPO. Right panel—empirical repair loop convergence curves show rapid gains in the first iteration followed by a plateau, consistent with single-exponential convergence models.</w:t>
      </w:r>
    </w:p>
    <w:bookmarkStart w:id="108" w:name="X82261145afd5ea2b6e299f3a2136dde793e1dbd"/>
    <w:p>
      <w:pPr>
        <w:pStyle w:val="Heading2"/>
      </w:pPr>
      <w:r>
        <w:t xml:space="preserve">6.1 The Propose-Extract-Constrain-Verify-Repair-Commit Cycle</w:t>
      </w:r>
    </w:p>
    <w:bookmarkStart w:id="105" w:name="Xdccf9afd6a8dd6891ead946e6e2436e1132a3e2"/>
    <w:p>
      <w:pPr>
        <w:pStyle w:val="Heading3"/>
      </w:pPr>
      <w:r>
        <w:t xml:space="preserve">6.1.1 Structural Isomorphism to Active Inference</w:t>
      </w:r>
    </w:p>
    <w:p>
      <w:pPr>
        <w:pStyle w:val="FirstParagraph"/>
      </w:pPr>
      <w:r>
        <w:t xml:space="preserve">The Rex repair loop—Propose, Extract, Constrain, Verify, Repair, Commit—is not an ad hoc prompting pattern. It maps, stage by stage, onto the Active Inference formalism developed under the Free Energy Principle (FEP). Active Inference frames decision-making as minimization of Expected Free Energy (EFE), which decomposes into an epistemic term (expected information gain) and a pragmatic term (expected utility)</w:t>
      </w:r>
      <w:r>
        <w:t xml:space="preserve"> </w:t>
      </w:r>
      <w:fldSimple w:instr="NOTEREF _Ref_Footnote_6 \h \f">
        <w:r>
          <w:rPr>
            <w:vertAlign w:val="superscript"/>
          </w:rPr>
          <w:t>6</w:t>
        </w:r>
      </w:fldSimple>
      <w:r>
        <w:t xml:space="preserve">. Variational Free Energy (VFE) is minimized in relation to data already gathered (perception and inference), while EFE is minimized for selecting data that will best optimize beliefs (planning and action)</w:t>
      </w:r>
      <w:r>
        <w:t xml:space="preserve"> </w:t>
      </w:r>
      <w:fldSimple w:instr="NOTEREF _Ref_Footnote_50 \h \f">
        <w:r>
          <w:rPr>
            <w:vertAlign w:val="superscript"/>
          </w:rPr>
          <w:t>50</w:t>
        </w:r>
      </w:fldSimple>
      <w:r>
        <w:t xml:space="preserve">. This distinction between inference-about-observations and inference-about-actions provides the theoretical scaffolding for why a staged repair loop works, and where each stage belongs in the computational pipeline.</w:t>
      </w:r>
    </w:p>
    <w:p>
      <w:pPr>
        <w:pStyle w:val="BodyText"/>
      </w:pPr>
      <w:r>
        <w:t xml:space="preserve">Table 1 presents the explicit mapping between the Rex operational stages and their Active Inference counterparts. The isomorphism is structural: every Rex stage has a direct mathematical analogue in the FEP framework, suggesting that the repair loop is not merely an engineering convenience but an approximate implementation of variational inference over policies.</w:t>
      </w:r>
    </w:p>
    <w:tbl>
      <w:tblPr>
        <w:tblStyle w:val="Table"/>
        <w:tblW w:type="pct" w:w="5000"/>
        <w:tblLook w:firstRow="1" w:lastRow="0" w:firstColumn="0" w:lastColumn="0" w:noHBand="0" w:noVBand="0" w:val="0020"/>
      </w:tblPr>
      <w:tblGrid>
        <w:gridCol w:w="1102"/>
        <w:gridCol w:w="2706"/>
        <w:gridCol w:w="2406"/>
        <w:gridCol w:w="1704"/>
      </w:tblGrid>
      <w:tr>
        <w:trPr>
          <w:tblHeader w:val="true"/>
        </w:trPr>
        <w:tc>
          <w:tcPr/>
          <w:p>
            <w:pPr>
              <w:pStyle w:val="Compact"/>
              <w:jc w:val="left"/>
            </w:pPr>
            <w:r>
              <w:t xml:space="preserve">Rex Stage</w:t>
            </w:r>
          </w:p>
        </w:tc>
        <w:tc>
          <w:tcPr/>
          <w:p>
            <w:pPr>
              <w:pStyle w:val="Compact"/>
              <w:jc w:val="left"/>
            </w:pPr>
            <w:r>
              <w:t xml:space="preserve">Active Inference Equivalent</w:t>
            </w:r>
          </w:p>
        </w:tc>
        <w:tc>
          <w:tcPr/>
          <w:p>
            <w:pPr>
              <w:pStyle w:val="Compact"/>
              <w:jc w:val="left"/>
            </w:pPr>
            <w:r>
              <w:t xml:space="preserve">Mathematical Expression</w:t>
            </w:r>
          </w:p>
        </w:tc>
        <w:tc>
          <w:tcPr/>
          <w:p>
            <w:pPr>
              <w:pStyle w:val="Compact"/>
              <w:jc w:val="left"/>
            </w:pPr>
            <w:r>
              <w:t xml:space="preserve">Functional Role</w:t>
            </w:r>
          </w:p>
        </w:tc>
      </w:tr>
      <w:tr>
        <w:tc>
          <w:tcPr/>
          <w:p>
            <w:pPr>
              <w:pStyle w:val="Compact"/>
              <w:jc w:val="left"/>
            </w:pPr>
            <w:r>
              <w:rPr>
                <w:bCs/>
                <w:b/>
              </w:rPr>
              <w:t xml:space="preserve">Propose</w:t>
            </w:r>
          </w:p>
        </w:tc>
        <w:tc>
          <w:tcPr/>
          <w:p>
            <w:pPr>
              <w:pStyle w:val="Compact"/>
              <w:jc w:val="left"/>
            </w:pPr>
            <w:r>
              <w:t xml:space="preserve">Policy selection from prior preferences</w:t>
            </w:r>
          </w:p>
        </w:tc>
        <w:tc>
          <w:tcPr/>
          <w:p>
            <w:pPr>
              <w:pStyle w:val="Compact"/>
              <w:jc w:val="left"/>
            </w:pPr>
            <m:oMath>
              <m:r>
                <m:t>π</m:t>
              </m:r>
              <m:r>
                <m:rPr>
                  <m:sty m:val="p"/>
                </m:rPr>
                <m:t>=</m:t>
              </m:r>
              <m:r>
                <m:rPr>
                  <m:sty m:val="p"/>
                </m:rPr>
                <m:t>arg</m:t>
              </m:r>
              <m:sSub>
                <m:e>
                  <m:r>
                    <m:rPr>
                      <m:sty m:val="p"/>
                    </m:rPr>
                    <m:t>min</m:t>
                  </m:r>
                </m:e>
                <m:sub>
                  <m:r>
                    <m:t>π</m:t>
                  </m:r>
                </m:sub>
              </m:sSub>
              <m:r>
                <m:t>G</m:t>
              </m:r>
              <m:d>
                <m:dPr>
                  <m:begChr m:val="("/>
                  <m:endChr m:val=")"/>
                  <m:sepChr m:val=""/>
                  <m:grow/>
                </m:dPr>
                <m:e>
                  <m:r>
                    <m:t>π</m:t>
                  </m:r>
                </m:e>
              </m:d>
            </m:oMath>
          </w:p>
        </w:tc>
        <w:tc>
          <w:tcPr/>
          <w:p>
            <w:pPr>
              <w:pStyle w:val="Compact"/>
              <w:jc w:val="left"/>
            </w:pPr>
            <w:r>
              <w:t xml:space="preserve">Generate candidate outputs via policy model sampling</w:t>
            </w:r>
          </w:p>
        </w:tc>
      </w:tr>
      <w:tr>
        <w:tc>
          <w:tcPr/>
          <w:p>
            <w:pPr>
              <w:pStyle w:val="Compact"/>
              <w:jc w:val="left"/>
            </w:pPr>
            <w:r>
              <w:rPr>
                <w:bCs/>
                <w:b/>
              </w:rPr>
              <w:t xml:space="preserve">Extract</w:t>
            </w:r>
          </w:p>
        </w:tc>
        <w:tc>
          <w:tcPr/>
          <w:p>
            <w:pPr>
              <w:pStyle w:val="Compact"/>
              <w:jc w:val="left"/>
            </w:pPr>
            <w:r>
              <w:t xml:space="preserve">Observation generation (sampling from generative model)</w:t>
            </w:r>
          </w:p>
        </w:tc>
        <w:tc>
          <w:tcPr/>
          <w:p>
            <w:pPr>
              <w:pStyle w:val="Compact"/>
              <w:jc w:val="left"/>
            </w:pPr>
            <m:oMath>
              <m:r>
                <m:t>o</m:t>
              </m:r>
              <m:r>
                <m:rPr>
                  <m:sty m:val="p"/>
                </m:rPr>
                <m:t>∼</m:t>
              </m:r>
              <m:r>
                <m:t>p</m:t>
              </m:r>
              <m:d>
                <m:dPr>
                  <m:begChr m:val="("/>
                  <m:endChr m:val=")"/>
                  <m:sepChr m:val=""/>
                  <m:grow/>
                </m:dPr>
                <m:e>
                  <m:r>
                    <m:t>o</m:t>
                  </m:r>
                  <m:r>
                    <m:rPr>
                      <m:sty m:val="p"/>
                    </m:rPr>
                    <m:t>∣</m:t>
                  </m:r>
                  <m:r>
                    <m:t>s</m:t>
                  </m:r>
                  <m:r>
                    <m:rPr>
                      <m:sty m:val="p"/>
                    </m:rPr>
                    <m:t>,</m:t>
                  </m:r>
                  <m:r>
                    <m:t>π</m:t>
                  </m:r>
                </m:e>
              </m:d>
            </m:oMath>
          </w:p>
        </w:tc>
        <w:tc>
          <w:tcPr/>
          <w:p>
            <w:pPr>
              <w:pStyle w:val="Compact"/>
              <w:jc w:val="left"/>
            </w:pPr>
            <w:r>
              <w:t xml:space="preserve">Parse proposals into structured claims with citations</w:t>
            </w:r>
            <w:r>
              <w:t xml:space="preserve"> </w:t>
            </w:r>
            <w:fldSimple w:instr="NOTEREF _Ref_Footnote_51 \h \f">
              <w:r>
                <w:rPr>
                  <w:vertAlign w:val="superscript"/>
                </w:rPr>
                <w:t>51</w:t>
              </w:r>
            </w:fldSimple>
          </w:p>
        </w:tc>
      </w:tr>
      <w:tr>
        <w:tc>
          <w:tcPr/>
          <w:p>
            <w:pPr>
              <w:pStyle w:val="Compact"/>
              <w:jc w:val="left"/>
            </w:pPr>
            <w:r>
              <w:rPr>
                <w:bCs/>
                <w:b/>
              </w:rPr>
              <w:t xml:space="preserve">Constrain</w:t>
            </w:r>
          </w:p>
        </w:tc>
        <w:tc>
          <w:tcPr/>
          <w:p>
            <w:pPr>
              <w:pStyle w:val="Compact"/>
              <w:jc w:val="left"/>
            </w:pPr>
            <w:r>
              <w:t xml:space="preserve">Prior enforcement with infinite precision on violation</w:t>
            </w:r>
          </w:p>
        </w:tc>
        <w:tc>
          <w:tcPr/>
          <w:p>
            <w:pPr>
              <w:pStyle w:val="Compact"/>
              <w:jc w:val="left"/>
            </w:pPr>
            <m:oMath>
              <m:r>
                <m:t>p</m:t>
              </m:r>
              <m:d>
                <m:dPr>
                  <m:begChr m:val="("/>
                  <m:endChr m:val=")"/>
                  <m:sepChr m:val=""/>
                  <m:grow/>
                </m:dPr>
                <m:e>
                  <m:r>
                    <m:t>o</m:t>
                  </m:r>
                  <m:r>
                    <m:rPr>
                      <m:sty m:val="p"/>
                    </m:rPr>
                    <m:t>∣</m:t>
                  </m:r>
                  <m:r>
                    <m:t>C</m:t>
                  </m:r>
                </m:e>
              </m:d>
              <m:r>
                <m:rPr>
                  <m:sty m:val="p"/>
                </m:rPr>
                <m:t>=</m:t>
              </m:r>
              <m:r>
                <m:t>δ</m:t>
              </m:r>
              <m:d>
                <m:dPr>
                  <m:begChr m:val="("/>
                  <m:endChr m:val=")"/>
                  <m:sepChr m:val=""/>
                  <m:grow/>
                </m:dPr>
                <m:e>
                  <m:r>
                    <m:rPr>
                      <m:nor/>
                      <m:sty m:val="p"/>
                    </m:rPr>
                    <m:t>consistent</m:t>
                  </m:r>
                </m:e>
              </m:d>
            </m:oMath>
          </w:p>
        </w:tc>
        <w:tc>
          <w:tcPr/>
          <w:p>
            <w:pPr>
              <w:pStyle w:val="Compact"/>
              <w:jc w:val="left"/>
            </w:pPr>
            <w:r>
              <w:t xml:space="preserve">Apply ontological rules; hard constraints generate infinite prediction error on violation</w:t>
            </w:r>
          </w:p>
        </w:tc>
      </w:tr>
      <w:tr>
        <w:tc>
          <w:tcPr/>
          <w:p>
            <w:pPr>
              <w:pStyle w:val="Compact"/>
              <w:jc w:val="left"/>
            </w:pPr>
            <w:r>
              <w:rPr>
                <w:bCs/>
                <w:b/>
              </w:rPr>
              <w:t xml:space="preserve">Verify</w:t>
            </w:r>
          </w:p>
        </w:tc>
        <w:tc>
          <w:tcPr/>
          <w:p>
            <w:pPr>
              <w:pStyle w:val="Compact"/>
              <w:jc w:val="left"/>
            </w:pPr>
            <w:r>
              <w:t xml:space="preserve">Variational Free Energy minimization (perception)</w:t>
            </w:r>
          </w:p>
        </w:tc>
        <w:tc>
          <w:tcPr/>
          <w:p>
            <w:pPr>
              <w:pStyle w:val="Compact"/>
              <w:jc w:val="left"/>
            </w:pPr>
            <m:oMath>
              <m:r>
                <m:rPr>
                  <m:sty m:val="p"/>
                  <m:scr m:val="script"/>
                </m:rPr>
                <m:t>F</m:t>
              </m:r>
              <m:r>
                <m:rPr>
                  <m:sty m:val="p"/>
                </m:rPr>
                <m:t>=</m:t>
              </m:r>
              <m:sSub>
                <m:e>
                  <m:r>
                    <m:t>D</m:t>
                  </m:r>
                </m:e>
                <m:sub>
                  <m:r>
                    <m:t>K</m:t>
                  </m:r>
                  <m:r>
                    <m:t>L</m:t>
                  </m:r>
                </m:sub>
              </m:sSub>
              <m:d>
                <m:dPr>
                  <m:begChr m:val="["/>
                  <m:endChr m:val="]"/>
                  <m:sepChr m:val=""/>
                  <m:grow/>
                </m:dPr>
                <m:e>
                  <m:r>
                    <m:t>q</m:t>
                  </m:r>
                  <m:d>
                    <m:dPr>
                      <m:begChr m:val="("/>
                      <m:endChr m:val=")"/>
                      <m:sepChr m:val=""/>
                      <m:grow/>
                    </m:dPr>
                    <m:e>
                      <m:r>
                        <m:t>s</m:t>
                      </m:r>
                    </m:e>
                  </m:d>
                  <m:r>
                    <m:rPr>
                      <m:sty m:val="p"/>
                    </m:rPr>
                    <m:t>∥</m:t>
                  </m:r>
                  <m:r>
                    <m:t>p</m:t>
                  </m:r>
                  <m:d>
                    <m:dPr>
                      <m:begChr m:val="("/>
                      <m:endChr m:val=")"/>
                      <m:sepChr m:val=""/>
                      <m:grow/>
                    </m:dPr>
                    <m:e>
                      <m:r>
                        <m:t>s</m:t>
                      </m:r>
                      <m:r>
                        <m:rPr>
                          <m:sty m:val="p"/>
                        </m:rPr>
                        <m:t>∣</m:t>
                      </m:r>
                      <m:r>
                        <m:t>o</m:t>
                      </m:r>
                    </m:e>
                  </m:d>
                </m:e>
              </m:d>
            </m:oMath>
          </w:p>
        </w:tc>
        <w:tc>
          <w:tcPr/>
          <w:p>
            <w:pPr>
              <w:pStyle w:val="Compact"/>
              <w:jc w:val="left"/>
            </w:pPr>
            <w:r>
              <w:t xml:space="preserve">Compute surprise of observations against generative model; high VFE triggers repair</w:t>
            </w:r>
          </w:p>
        </w:tc>
      </w:tr>
      <w:tr>
        <w:tc>
          <w:tcPr/>
          <w:p>
            <w:pPr>
              <w:pStyle w:val="Compact"/>
              <w:jc w:val="left"/>
            </w:pPr>
            <w:r>
              <w:rPr>
                <w:bCs/>
                <w:b/>
              </w:rPr>
              <w:t xml:space="preserve">Repair</w:t>
            </w:r>
          </w:p>
        </w:tc>
        <w:tc>
          <w:tcPr/>
          <w:p>
            <w:pPr>
              <w:pStyle w:val="Compact"/>
              <w:jc w:val="left"/>
            </w:pPr>
            <w:r>
              <w:t xml:space="preserve">Epistemic foraging (information gain from new policies)</w:t>
            </w:r>
          </w:p>
        </w:tc>
        <w:tc>
          <w:tcPr/>
          <w:p>
            <w:pPr>
              <w:pStyle w:val="Compact"/>
              <w:jc w:val="left"/>
            </w:pPr>
            <m:oMath>
              <m:sSub>
                <m:e>
                  <m:r>
                    <m:rPr>
                      <m:nor/>
                      <m:sty m:val="p"/>
                    </m:rPr>
                    <m:t>EFE</m:t>
                  </m:r>
                </m:e>
                <m:sub>
                  <m:r>
                    <m:rPr>
                      <m:nor/>
                      <m:sty m:val="p"/>
                    </m:rPr>
                    <m:t>epistemic</m:t>
                  </m:r>
                </m:sub>
              </m:sSub>
              <m:r>
                <m:rPr>
                  <m:sty m:val="p"/>
                </m:rPr>
                <m:t>=</m:t>
              </m:r>
              <m:r>
                <m:rPr>
                  <m:sty m:val="p"/>
                </m:rPr>
                <m:t>−</m:t>
              </m:r>
              <m:r>
                <m:rPr>
                  <m:sty m:val="p"/>
                  <m:scr m:val="double-struck"/>
                </m:rPr>
                <m:t>E</m:t>
              </m:r>
              <m:d>
                <m:dPr>
                  <m:begChr m:val="["/>
                  <m:endChr m:val="]"/>
                  <m:sepChr m:val=""/>
                  <m:grow/>
                </m:dPr>
                <m:e>
                  <m:sSub>
                    <m:e>
                      <m:r>
                        <m:t>D</m:t>
                      </m:r>
                    </m:e>
                    <m:sub>
                      <m:r>
                        <m:t>K</m:t>
                      </m:r>
                      <m:r>
                        <m:t>L</m:t>
                      </m:r>
                    </m:sub>
                  </m:sSub>
                </m:e>
              </m:d>
            </m:oMath>
          </w:p>
        </w:tc>
        <w:tc>
          <w:tcPr/>
          <w:p>
            <w:pPr>
              <w:pStyle w:val="Compact"/>
              <w:jc w:val="left"/>
            </w:pPr>
            <w:r>
              <w:t xml:space="preserve">Select alternative policies expected to resolve uncertainty</w:t>
            </w:r>
          </w:p>
        </w:tc>
      </w:tr>
      <w:tr>
        <w:tc>
          <w:tcPr/>
          <w:p>
            <w:pPr>
              <w:pStyle w:val="Compact"/>
              <w:jc w:val="left"/>
            </w:pPr>
            <w:r>
              <w:rPr>
                <w:bCs/>
                <w:b/>
              </w:rPr>
              <w:t xml:space="preserve">Commit</w:t>
            </w:r>
          </w:p>
        </w:tc>
        <w:tc>
          <w:tcPr/>
          <w:p>
            <w:pPr>
              <w:pStyle w:val="Compact"/>
              <w:jc w:val="left"/>
            </w:pPr>
            <w:r>
              <w:t xml:space="preserve">Posterior belief update (state transition)</w:t>
            </w:r>
          </w:p>
        </w:tc>
        <w:tc>
          <w:tcPr/>
          <w:p>
            <w:pPr>
              <w:pStyle w:val="Compact"/>
              <w:jc w:val="left"/>
            </w:pPr>
            <m:oMath>
              <m:r>
                <m:t>q</m:t>
              </m:r>
              <m:r>
                <m:rPr>
                  <m:sty m:val="p"/>
                </m:rPr>
                <m:t>′</m:t>
              </m:r>
              <m:d>
                <m:dPr>
                  <m:begChr m:val="("/>
                  <m:endChr m:val=")"/>
                  <m:sepChr m:val=""/>
                  <m:grow/>
                </m:dPr>
                <m:e>
                  <m:r>
                    <m:t>s</m:t>
                  </m:r>
                </m:e>
              </m:d>
              <m:r>
                <m:rPr>
                  <m:sty m:val="p"/>
                </m:rPr>
                <m:t>=</m:t>
              </m:r>
              <m:r>
                <m:t>q</m:t>
              </m:r>
              <m:d>
                <m:dPr>
                  <m:begChr m:val="("/>
                  <m:endChr m:val=")"/>
                  <m:sepChr m:val=""/>
                  <m:grow/>
                </m:dPr>
                <m:e>
                  <m:r>
                    <m:t>s</m:t>
                  </m:r>
                  <m:r>
                    <m:rPr>
                      <m:sty m:val="p"/>
                    </m:rPr>
                    <m:t>∣</m:t>
                  </m:r>
                  <m:r>
                    <m:t>o</m:t>
                  </m:r>
                </m:e>
              </m:d>
            </m:oMath>
          </w:p>
        </w:tc>
        <w:tc>
          <w:tcPr/>
          <w:p>
            <w:pPr>
              <w:pStyle w:val="Compact"/>
              <w:jc w:val="left"/>
            </w:pPr>
            <w:r>
              <w:t xml:space="preserve">Fix repaired output as updated system state; persist to memory</w:t>
            </w:r>
          </w:p>
        </w:tc>
      </w:tr>
    </w:tbl>
    <w:p>
      <w:pPr>
        <w:pStyle w:val="BodyText"/>
      </w:pPr>
      <w:r>
        <w:t xml:space="preserve">The mathematical foundation for this mapping rests on the EFE objective for a policy</w:t>
      </w:r>
      <w:r>
        <w:t xml:space="preserve"> </w:t>
      </w:r>
      <m:oMath>
        <m:r>
          <m:t>π</m:t>
        </m:r>
      </m:oMath>
      <w:r>
        <w:t xml:space="preserve">:</w:t>
      </w:r>
    </w:p>
    <w:p>
      <w:pPr>
        <w:pStyle w:val="BodyText"/>
      </w:pPr>
      <m:oMathPara>
        <m:oMathParaPr>
          <m:jc m:val="center"/>
        </m:oMathParaPr>
        <m:oMath>
          <m:sSub>
            <m:e>
              <m:r>
                <m:t>G</m:t>
              </m:r>
            </m:e>
            <m:sub>
              <m:r>
                <m:t>π</m:t>
              </m:r>
            </m:sub>
          </m:sSub>
          <m:r>
            <m:rPr>
              <m:sty m:val="p"/>
            </m:rPr>
            <m:t>=</m:t>
          </m:r>
          <m:r>
            <m:rPr>
              <m:sty m:val="p"/>
            </m:rPr>
            <m:t>−</m:t>
          </m:r>
          <m:sSub>
            <m:e>
              <m:r>
                <m:rPr>
                  <m:sty m:val="p"/>
                  <m:scr m:val="double-struck"/>
                </m:rPr>
                <m:t>E</m:t>
              </m:r>
            </m:e>
            <m:sub>
              <m:r>
                <m:t>Q</m:t>
              </m:r>
            </m:sub>
          </m:sSub>
          <m:d>
            <m:dPr>
              <m:begChr m:val="["/>
              <m:endChr m:val="]"/>
              <m:sepChr m:val=""/>
              <m:grow/>
            </m:dPr>
            <m:e>
              <m:sSub>
                <m:e>
                  <m:r>
                    <m:t>D</m:t>
                  </m:r>
                </m:e>
                <m:sub>
                  <m:r>
                    <m:t>K</m:t>
                  </m:r>
                  <m:r>
                    <m:t>L</m:t>
                  </m:r>
                </m:sub>
              </m:sSub>
              <m:d>
                <m:dPr>
                  <m:begChr m:val="["/>
                  <m:endChr m:val="]"/>
                  <m:sepChr m:val=""/>
                  <m:grow/>
                </m:dPr>
                <m:e>
                  <m:r>
                    <m:t>Q</m:t>
                  </m:r>
                  <m:d>
                    <m:dPr>
                      <m:begChr m:val="("/>
                      <m:endChr m:val=")"/>
                      <m:sepChr m:val=""/>
                      <m:grow/>
                    </m:dPr>
                    <m:e>
                      <m:r>
                        <m:t>s</m:t>
                      </m:r>
                      <m:r>
                        <m:rPr>
                          <m:sty m:val="p"/>
                        </m:rPr>
                        <m:t>∣</m:t>
                      </m:r>
                      <m:r>
                        <m:t>o</m:t>
                      </m:r>
                      <m:r>
                        <m:rPr>
                          <m:sty m:val="p"/>
                        </m:rPr>
                        <m:t>,</m:t>
                      </m:r>
                      <m:r>
                        <m:t>π</m:t>
                      </m:r>
                    </m:e>
                  </m:d>
                  <m:r>
                    <m:rPr>
                      <m:sty m:val="p"/>
                    </m:rPr>
                    <m:t>∥</m:t>
                  </m:r>
                  <m:r>
                    <m:t>Q</m:t>
                  </m:r>
                  <m:d>
                    <m:dPr>
                      <m:begChr m:val="("/>
                      <m:endChr m:val=")"/>
                      <m:sepChr m:val=""/>
                      <m:grow/>
                    </m:dPr>
                    <m:e>
                      <m:r>
                        <m:t>s</m:t>
                      </m:r>
                      <m:r>
                        <m:rPr>
                          <m:sty m:val="p"/>
                        </m:rPr>
                        <m:t>∣</m:t>
                      </m:r>
                      <m:r>
                        <m:t>π</m:t>
                      </m:r>
                    </m:e>
                  </m:d>
                </m:e>
              </m:d>
            </m:e>
          </m:d>
          <m:r>
            <m:rPr>
              <m:sty m:val="p"/>
            </m:rPr>
            <m:t>−</m:t>
          </m:r>
          <m:sSub>
            <m:e>
              <m:r>
                <m:rPr>
                  <m:sty m:val="p"/>
                  <m:scr m:val="double-struck"/>
                </m:rPr>
                <m:t>E</m:t>
              </m:r>
            </m:e>
            <m:sub>
              <m:r>
                <m:t>Q</m:t>
              </m:r>
            </m:sub>
          </m:sSub>
          <m:d>
            <m:dPr>
              <m:begChr m:val="["/>
              <m:endChr m:val="]"/>
              <m:sepChr m:val=""/>
              <m:grow/>
            </m:dPr>
            <m:e>
              <m:r>
                <m:rPr>
                  <m:sty m:val="p"/>
                </m:rPr>
                <m:t>ln</m:t>
              </m:r>
              <m:r>
                <m:t>P</m:t>
              </m:r>
              <m:d>
                <m:dPr>
                  <m:begChr m:val="("/>
                  <m:endChr m:val=")"/>
                  <m:sepChr m:val=""/>
                  <m:grow/>
                </m:dPr>
                <m:e>
                  <m:r>
                    <m:t>o</m:t>
                  </m:r>
                  <m:r>
                    <m:rPr>
                      <m:sty m:val="p"/>
                    </m:rPr>
                    <m:t>∣</m:t>
                  </m:r>
                  <m:r>
                    <m:t>C</m:t>
                  </m:r>
                </m:e>
              </m:d>
            </m:e>
          </m:d>
        </m:oMath>
      </m:oMathPara>
    </w:p>
    <w:p>
      <w:pPr>
        <w:pStyle w:val="FirstParagraph"/>
      </w:pPr>
      <w:r>
        <w:t xml:space="preserve">The first term is epistemic value: the expected information gain from executing policy</w:t>
      </w:r>
      <w:r>
        <w:t xml:space="preserve"> </w:t>
      </w:r>
      <m:oMath>
        <m:r>
          <m:t>π</m:t>
        </m:r>
      </m:oMath>
      <w:r>
        <w:t xml:space="preserve"> </w:t>
      </w:r>
      <w:r>
        <w:t xml:space="preserve">and observing the outcome. The second term is pragmatic value: the log-probability of observations under the constraint prior</w:t>
      </w:r>
      <w:r>
        <w:t xml:space="preserve"> </w:t>
      </w:r>
      <m:oMath>
        <m:r>
          <m:t>C</m:t>
        </m:r>
      </m:oMath>
      <w:r>
        <w:t xml:space="preserve">. In Rex terms,</w:t>
      </w:r>
      <w:r>
        <w:t xml:space="preserve"> </w:t>
      </w:r>
      <w:r>
        <w:rPr>
          <w:bCs/>
          <w:b/>
        </w:rPr>
        <w:t xml:space="preserve">Propose</w:t>
      </w:r>
      <w:r>
        <w:t xml:space="preserve"> </w:t>
      </w:r>
      <w:r>
        <w:t xml:space="preserve">samples policies,</w:t>
      </w:r>
      <w:r>
        <w:t xml:space="preserve"> </w:t>
      </w:r>
      <w:r>
        <w:rPr>
          <w:bCs/>
          <w:b/>
        </w:rPr>
        <w:t xml:space="preserve">Constrain</w:t>
      </w:r>
      <w:r>
        <w:t xml:space="preserve"> </w:t>
      </w:r>
      <w:r>
        <w:t xml:space="preserve">encodes</w:t>
      </w:r>
      <w:r>
        <w:t xml:space="preserve"> </w:t>
      </w:r>
      <m:oMath>
        <m:r>
          <m:t>P</m:t>
        </m:r>
        <m:d>
          <m:dPr>
            <m:begChr m:val="("/>
            <m:endChr m:val=")"/>
            <m:sepChr m:val=""/>
            <m:grow/>
          </m:dPr>
          <m:e>
            <m:r>
              <m:t>o</m:t>
            </m:r>
            <m:r>
              <m:rPr>
                <m:sty m:val="p"/>
              </m:rPr>
              <m:t>∣</m:t>
            </m:r>
            <m:r>
              <m:t>C</m:t>
            </m:r>
          </m:e>
        </m:d>
      </m:oMath>
      <w:r>
        <w:t xml:space="preserve">,</w:t>
      </w:r>
      <w:r>
        <w:t xml:space="preserve"> </w:t>
      </w:r>
      <w:r>
        <w:rPr>
          <w:bCs/>
          <w:b/>
        </w:rPr>
        <w:t xml:space="preserve">Verify</w:t>
      </w:r>
      <w:r>
        <w:t xml:space="preserve"> </w:t>
      </w:r>
      <w:r>
        <w:t xml:space="preserve">evaluates</w:t>
      </w:r>
      <w:r>
        <w:t xml:space="preserve"> </w:t>
      </w:r>
      <m:oMath>
        <m:sSub>
          <m:e>
            <m:r>
              <m:t>D</m:t>
            </m:r>
          </m:e>
          <m:sub>
            <m:r>
              <m:t>K</m:t>
            </m:r>
            <m:r>
              <m:t>L</m:t>
            </m:r>
          </m:sub>
        </m:sSub>
      </m:oMath>
      <w:r>
        <w:t xml:space="preserve"> </w:t>
      </w:r>
      <w:r>
        <w:t xml:space="preserve">(surprise), and</w:t>
      </w:r>
      <w:r>
        <w:t xml:space="preserve"> </w:t>
      </w:r>
      <w:r>
        <w:rPr>
          <w:bCs/>
          <w:b/>
        </w:rPr>
        <w:t xml:space="preserve">Repair</w:t>
      </w:r>
      <w:r>
        <w:t xml:space="preserve"> </w:t>
      </w:r>
      <w:r>
        <w:t xml:space="preserve">selects policies with higher epistemic value when surprise remains high. Recent theoretical work has established that sufficient curiosity—weight on the epistemic term—simultaneously ensures Bayesian posterior consistency and bounded cumulative regret for EFE-minimizing agents</w:t>
      </w:r>
      <w:r>
        <w:t xml:space="preserve"> </w:t>
      </w:r>
      <w:fldSimple w:instr="NOTEREF _Ref_Footnote_20 \h \f">
        <w:r>
          <w:rPr>
            <w:vertAlign w:val="superscript"/>
          </w:rPr>
          <w:t>20</w:t>
        </w:r>
      </w:fldSimple>
      <w:r>
        <w:t xml:space="preserve">, providing the first formal convergence guarantee for repair-loop-like dynamics.</w:t>
      </w:r>
    </w:p>
    <w:p>
      <w:pPr>
        <w:pStyle w:val="BodyText"/>
      </w:pPr>
      <w:r>
        <w:t xml:space="preserve">The practical instantiation of this framework in LLM-based agents has been demonstrated experimentally: an Active Inference cognitive layer operating above multiple LLMs dynamically adjusts prompts and search strategies through principled information-seeking behavior, with action selection patterns revealing transitions from initial information-gathering to targeted prompt testing</w:t>
      </w:r>
      <w:r>
        <w:t xml:space="preserve"> </w:t>
      </w:r>
      <w:fldSimple w:instr="NOTEREF _Ref_Footnote_61 \h \f">
        <w:r>
          <w:rPr>
            <w:vertAlign w:val="superscript"/>
          </w:rPr>
          <w:t>61</w:t>
        </w:r>
      </w:fldSimple>
      <w:r>
        <w:t xml:space="preserve">. This empirically validates that the EFE formalism, when approximated via confidence scores and repair success rates, can govern real multi-agent repair behavior.</w:t>
      </w:r>
    </w:p>
    <w:bookmarkEnd w:id="105"/>
    <w:bookmarkStart w:id="106" w:name="the-self-correction-blind-spot"/>
    <w:p>
      <w:pPr>
        <w:pStyle w:val="Heading3"/>
      </w:pPr>
      <w:r>
        <w:t xml:space="preserve">6.1.2 The Self-Correction Blind Spot</w:t>
      </w:r>
    </w:p>
    <w:p>
      <w:pPr>
        <w:pStyle w:val="FirstParagraph"/>
      </w:pPr>
      <w:r>
        <w:t xml:space="preserve">The most important empirical finding for repair loop design is also the most cautionary: large language models exhibit a systematic</w:t>
      </w:r>
      <w:r>
        <w:t xml:space="preserve"> </w:t>
      </w:r>
      <w:r>
        <w:t xml:space="preserve">“</w:t>
      </w:r>
      <w:r>
        <w:t xml:space="preserve">Self-Correction Blind Spot.</w:t>
      </w:r>
      <w:r>
        <w:t xml:space="preserve">”</w:t>
      </w:r>
      <w:r>
        <w:t xml:space="preserve"> </w:t>
      </w:r>
      <w:r>
        <w:t xml:space="preserve">Across 14 models tested, the average failure rate is 64.5%—models that successfully correct identical errors when presented externally fail to correct them in their own outputs at substantially higher rates</w:t>
      </w:r>
      <w:r>
        <w:t xml:space="preserve"> </w:t>
      </w:r>
      <w:fldSimple w:instr="NOTEREF _Ref_Footnote_4 \h \f">
        <w:r>
          <w:rPr>
            <w:vertAlign w:val="superscript"/>
          </w:rPr>
          <w:t>4</w:t>
        </w:r>
      </w:fldSimple>
      <w:r>
        <w:t xml:space="preserve">. The root cause is training data composition: human demonstrations contain only 5–10% correction markers, so the knowledge to detect errors exists in the model but is not activated during self-evaluation.</w:t>
      </w:r>
    </w:p>
    <w:p>
      <w:pPr>
        <w:pStyle w:val="BodyText"/>
      </w:pPr>
      <w:r>
        <w:t xml:space="preserve">A theoretical framework formalizes when self-evaluation fails: when the generator and evaluator share failure modes, self-evaluation can be non-identifying—agreement between generator and evaluator provides weak evidence of correctness. The proposed architectural remedy is</w:t>
      </w:r>
      <w:r>
        <w:t xml:space="preserve"> </w:t>
      </w:r>
      <w:r>
        <w:rPr>
          <w:bCs/>
          <w:b/>
        </w:rPr>
        <w:t xml:space="preserve">context separation</w:t>
      </w:r>
      <w:r>
        <w:t xml:space="preserve">: fresh-context evaluation, tool use, and formal verification break the correlated error structure</w:t>
      </w:r>
      <w:r>
        <w:t xml:space="preserve"> </w:t>
      </w:r>
      <w:fldSimple w:instr="NOTEREF _Ref_Footnote_25 \h \f">
        <w:r>
          <w:rPr>
            <w:vertAlign w:val="superscript"/>
          </w:rPr>
          <w:t>25</w:t>
        </w:r>
      </w:fldSimple>
      <w:r>
        <w:t xml:space="preserve">. This directly motivates why Rex’s repair loop is tool-augmented by design rather than relying on the model to critique its own output in isolation.</w:t>
      </w:r>
    </w:p>
    <w:p>
      <w:pPr>
        <w:pStyle w:val="BodyText"/>
      </w:pPr>
      <w:r>
        <w:t xml:space="preserve">The training data perspective illuminates why the blind spot persists. In RL-derived datasets, the density of correction markers is 30–170× higher than in human demonstrations, yet even this elevated density does not eliminate the structural problem. The model’s evaluation capacity and generation capacity are not independent random variables; they are drawn from the same parameter distribution, subject to the same biases and blind spots. Tools—calculators, compilers, proof assistants, retrieval systems—introduce genuinely independent error distributions, making cross-verification statistically valid in a way that self-verification cannot be.</w:t>
      </w:r>
    </w:p>
    <w:p>
      <w:pPr>
        <w:pStyle w:val="BodyText"/>
      </w:pPr>
      <w:r>
        <w:t xml:space="preserve">The simple</w:t>
      </w:r>
      <w:r>
        <w:t xml:space="preserve"> </w:t>
      </w:r>
      <w:r>
        <w:t xml:space="preserve">“</w:t>
      </w:r>
      <w:r>
        <w:t xml:space="preserve">Wait</w:t>
      </w:r>
      <w:r>
        <w:t xml:space="preserve">”</w:t>
      </w:r>
      <w:r>
        <w:t xml:space="preserve"> </w:t>
      </w:r>
      <w:r>
        <w:t xml:space="preserve">intervention—prompting the model to pause before evaluating—reduces blind spots by 89.3%</w:t>
      </w:r>
      <w:r>
        <w:t xml:space="preserve"> </w:t>
      </w:r>
      <w:fldSimple w:instr="NOTEREF _Ref_Footnote_4 \h \f">
        <w:r>
          <w:rPr>
            <w:vertAlign w:val="superscript"/>
          </w:rPr>
          <w:t>4</w:t>
        </w:r>
      </w:fldSimple>
      <w:r>
        <w:t xml:space="preserve">, suggesting that temporal separation between generation and evaluation partially decouples failure modes. However, this is a mitigation, not a solution. The structural unreliability of intrinsic self-correction means that any production repair architecture must incorporate external verifiers as first-class components, not optional enhancements.</w:t>
      </w:r>
    </w:p>
    <w:bookmarkEnd w:id="106"/>
    <w:bookmarkStart w:id="107" w:name="X2bc8fe5a220a74267b332db05a3eacf60cc68ae"/>
    <w:p>
      <w:pPr>
        <w:pStyle w:val="Heading3"/>
      </w:pPr>
      <w:r>
        <w:t xml:space="preserve">6.1.3 Tool-Augmented Correction: CRITIC and Self-Debugging</w:t>
      </w:r>
    </w:p>
    <w:p>
      <w:pPr>
        <w:pStyle w:val="FirstParagraph"/>
      </w:pPr>
      <w:r>
        <w:t xml:space="preserve">When external feedback is available, repair loops achieve substantial and reproducible gains. CRITIC (Tool-Interactive Critiquing) enables LLMs to validate and progressively amend outputs through interaction with search engines, calculators, and code interpreters, achieving 7.7 F1 improvement on question-answering tasks and 7.9% absolute gains on mathematical reasoning</w:t>
      </w:r>
      <w:r>
        <w:t xml:space="preserve"> </w:t>
      </w:r>
      <w:fldSimple w:instr="NOTEREF _Ref_Footnote_27 \h \f">
        <w:r>
          <w:rPr>
            <w:vertAlign w:val="superscript"/>
          </w:rPr>
          <w:t>27</w:t>
        </w:r>
      </w:fldSimple>
      <w:r>
        <w:t xml:space="preserve">. The authors explicitly note that</w:t>
      </w:r>
      <w:r>
        <w:t xml:space="preserve"> </w:t>
      </w:r>
      <w:r>
        <w:t xml:space="preserve">“</w:t>
      </w:r>
      <w:r>
        <w:t xml:space="preserve">exclusive reliance on self-correction without external feedback may yield modest improvements or even deteriorate performance</w:t>
      </w:r>
      <w:r>
        <w:t xml:space="preserve">”</w:t>
      </w:r>
      <w:r>
        <w:t xml:space="preserve"> </w:t>
      </w:r>
      <w:fldSimple w:instr="NOTEREF _Ref_Footnote_27 \h \f">
        <w:r>
          <w:rPr>
            <w:vertAlign w:val="superscript"/>
          </w:rPr>
          <w:t>27</w:t>
        </w:r>
      </w:fldSimple>
      <w:r>
        <w:t xml:space="preserve">—a finding that aligns with the 64.5% blind spot measurement and reinforces the tool-augmented design principle.</w:t>
      </w:r>
    </w:p>
    <w:p>
      <w:pPr>
        <w:pStyle w:val="BodyText"/>
      </w:pPr>
      <w:r>
        <w:t xml:space="preserve">In code domains, Self-Debugging teaches models to debug predicted programs via execution feedback, achieving state-of-the-art performance on Spider (text-to-SQL) and TransCoder (C++→Python), with accuracy improvements of up to 12% on MBPP where unit tests serve as perfect verifiers</w:t>
      </w:r>
      <w:r>
        <w:t xml:space="preserve"> </w:t>
      </w:r>
      <w:fldSimple w:instr="NOTEREF _Ref_Footnote_3 \h \f">
        <w:r>
          <w:rPr>
            <w:vertAlign w:val="superscript"/>
          </w:rPr>
          <w:t>3</w:t>
        </w:r>
      </w:fldSimple>
      <w:r>
        <w:t xml:space="preserve">. The convergence pattern is consistent: most improvement occurs in the first verification-repair iteration, with diminishing returns thereafter. Program repair studies similarly find that limiting total patches to 10 aligns with developer practices, and iterative strategies like 4-3-3 (4 initial, 3+3 subsequent) outperform single-generation of 10</w:t>
      </w:r>
      <w:r>
        <w:t xml:space="preserve"> </w:t>
      </w:r>
      <w:fldSimple w:instr="NOTEREF _Ref_Footnote_63 \h \f">
        <w:r>
          <w:rPr>
            <w:vertAlign w:val="superscript"/>
          </w:rPr>
          <w:t>63</w:t>
        </w:r>
      </w:fldSimple>
      <w:r>
        <w:t xml:space="preserve">.</w:t>
      </w:r>
    </w:p>
    <w:bookmarkEnd w:id="107"/>
    <w:bookmarkEnd w:id="108"/>
    <w:bookmarkStart w:id="112" w:name="X55fef02ca1516840aeff238c2c0a665c9ab66d7"/>
    <w:p>
      <w:pPr>
        <w:pStyle w:val="Heading2"/>
      </w:pPr>
      <w:r>
        <w:t xml:space="preserve">6.2 GRPO: Efficient Reinforcement Learning for Reasoning</w:t>
      </w:r>
    </w:p>
    <w:bookmarkStart w:id="109" w:name="eliminating-the-critic-model"/>
    <w:p>
      <w:pPr>
        <w:pStyle w:val="Heading3"/>
      </w:pPr>
      <w:r>
        <w:t xml:space="preserve">6.2.1 Eliminating the Critic Model</w:t>
      </w:r>
    </w:p>
    <w:p>
      <w:pPr>
        <w:pStyle w:val="FirstParagraph"/>
      </w:pPr>
      <w:r>
        <w:t xml:space="preserve">Proximal Policy Optimization (PPO) has been the workhorse algorithm for RL-based fine-tuning of language models, but it carries a substantial architectural burden: the value function (critic model) is typically another model of comparable size to the policy, doubling memory requirements and complicating training dynamics</w:t>
      </w:r>
      <w:r>
        <w:t xml:space="preserve"> </w:t>
      </w:r>
      <w:fldSimple w:instr="NOTEREF _Ref_Footnote_12 \h \f">
        <w:r>
          <w:rPr>
            <w:vertAlign w:val="superscript"/>
          </w:rPr>
          <w:t>12</w:t>
        </w:r>
      </w:fldSimple>
      <w:r>
        <w:t xml:space="preserve">. Group Relative Policy Optimization (GRPO), introduced in DeepSeekMath, eliminates the critic model entirely, replacing it with a statistical baseline computed from grouped sample outcomes</w:t>
      </w:r>
      <w:r>
        <w:t xml:space="preserve"> </w:t>
      </w:r>
      <w:fldSimple w:instr="NOTEREF _Ref_Footnote_12 \h \f">
        <w:r>
          <w:rPr>
            <w:vertAlign w:val="superscript"/>
          </w:rPr>
          <w:t>12</w:t>
        </w:r>
      </w:fldSimple>
      <w:r>
        <w:t xml:space="preserve">.</w:t>
      </w:r>
    </w:p>
    <w:p>
      <w:pPr>
        <w:pStyle w:val="BodyText"/>
      </w:pPr>
      <w:r>
        <w:t xml:space="preserve">The memory reduction is substantial. For a 7B parameter model, PPO requires loading four models in memory: policy (7B), value/critic (7B), reference (7B), and reward (7B)—28B parameters total. GRPO requires only three: policy (7B), reference (7B), and reward (7B)—21B parameters, a 25% reduction in baseline configuration. Empirical measurements report peak GPU memory requirements dropping by over 40% in practice, because GRPO also reduces from two backward passes per update (policy + value) to one</w:t>
      </w:r>
      <w:r>
        <w:t xml:space="preserve"> </w:t>
      </w:r>
      <w:r>
        <w:rPr>
          <w:vertAlign w:val="superscript"/>
        </w:rPr>
        <w:footnoteReference w:id="71"/>
      </w:r>
      <w:r>
        <w:t xml:space="preserve">. The freed capacity enables larger batch sizes or bigger models within the same memory envelope.</w:t>
      </w:r>
    </w:p>
    <w:p>
      <w:pPr>
        <w:pStyle w:val="BodyText"/>
      </w:pPr>
      <w:r>
        <w:t xml:space="preserve">The performance gains are equally significant. On the MATH benchmark, DeepSeekMath-7B improved from 46.8% to 51.7% using GRPO; on GSM8K, from 82.9% to 88.2%</w:t>
      </w:r>
      <w:r>
        <w:t xml:space="preserve"> </w:t>
      </w:r>
      <w:fldSimple w:instr="NOTEREF _Ref_Footnote_12 \h \f">
        <w:r>
          <w:rPr>
            <w:vertAlign w:val="superscript"/>
          </w:rPr>
          <w:t>12</w:t>
        </w:r>
      </w:fldSimple>
      <w:r>
        <w:t xml:space="preserve">. These improvements are out-of-domain as well as in-domain, indicating that GRPO trains generalizable reasoning patterns rather than benchmark-specific memorization. The DeepSeek-R1-Zero model, trained with pure GRPO and no supervised fine-tuning cold start, spontaneously developed self-verification and reflection behaviors, improving AIME 2024 pass@1 from 15.6% to 71.0% during training—behaviors that the researchers described as an emergent</w:t>
      </w:r>
      <w:r>
        <w:t xml:space="preserve"> </w:t>
      </w:r>
      <w:r>
        <w:t xml:space="preserve">“</w:t>
      </w:r>
      <w:r>
        <w:t xml:space="preserve">aha moment</w:t>
      </w:r>
      <w:r>
        <w:t xml:space="preserve">”</w:t>
      </w:r>
      <w:r>
        <w:t xml:space="preserve"> </w:t>
      </w:r>
      <w:r>
        <w:t xml:space="preserve">when the model learned to rethink</w:t>
      </w:r>
      <w:r>
        <w:t xml:space="preserve"> </w:t>
      </w:r>
      <w:fldSimple w:instr="NOTEREF _Ref_Footnote_35 \h \f">
        <w:r>
          <w:rPr>
            <w:vertAlign w:val="superscript"/>
          </w:rPr>
          <w:t>35</w:t>
        </w:r>
      </w:fldSimple>
      <w:r>
        <w:t xml:space="preserve">. The final DeepSeek-R1 model, with a small SFT cold start before RL, achieved 79.8% on AIME 2024, demonstrating that GRPO scales from 7B to hundreds of billions of parameters while maintaining its efficiency advantages.</w:t>
      </w:r>
    </w:p>
    <w:bookmarkEnd w:id="109"/>
    <w:bookmarkStart w:id="110" w:name="group-relative-advantage-estimation"/>
    <w:p>
      <w:pPr>
        <w:pStyle w:val="Heading3"/>
      </w:pPr>
      <w:r>
        <w:t xml:space="preserve">6.2.2 Group-Relative Advantage Estimation</w:t>
      </w:r>
    </w:p>
    <w:p>
      <w:pPr>
        <w:pStyle w:val="FirstParagraph"/>
      </w:pPr>
      <w:r>
        <w:t xml:space="preserve">GRPO’s core innovation is the replacement of learned value estimates with intra-group normalization. For each question, the algorithm samples</w:t>
      </w:r>
      <w:r>
        <w:t xml:space="preserve"> </w:t>
      </w:r>
      <m:oMath>
        <m:r>
          <m:t>G</m:t>
        </m:r>
      </m:oMath>
      <w:r>
        <w:t xml:space="preserve"> </w:t>
      </w:r>
      <w:r>
        <w:t xml:space="preserve">outputs from the current policy, computes a reward for each (e.g., 1 if the answer is correct, 0 otherwise), and normalizes rewards within the group to obtain advantages:</w:t>
      </w:r>
    </w:p>
    <w:p>
      <w:pPr>
        <w:pStyle w:val="BodyText"/>
      </w:pPr>
      <m:oMathPara>
        <m:oMathParaPr>
          <m:jc m:val="center"/>
        </m:oMathParaPr>
        <m:oMath>
          <m:sSub>
            <m:e>
              <m:acc>
                <m:accPr>
                  <m:chr m:val="̂"/>
                </m:accPr>
                <m:e>
                  <m:r>
                    <m:t>A</m:t>
                  </m:r>
                </m:e>
              </m:acc>
            </m:e>
            <m:sub>
              <m:r>
                <m:t>i</m:t>
              </m:r>
              <m:r>
                <m:rPr>
                  <m:sty m:val="p"/>
                </m:rPr>
                <m:t>,</m:t>
              </m:r>
              <m:r>
                <m:t>t</m:t>
              </m:r>
            </m:sub>
          </m:sSub>
          <m:r>
            <m:rPr>
              <m:sty m:val="p"/>
            </m:rPr>
            <m:t>=</m:t>
          </m:r>
          <m:f>
            <m:fPr>
              <m:type m:val="bar"/>
            </m:fPr>
            <m:num>
              <m:sSub>
                <m:e>
                  <m:r>
                    <m:t>r</m:t>
                  </m:r>
                </m:e>
                <m:sub>
                  <m:r>
                    <m:t>i</m:t>
                  </m:r>
                </m:sub>
              </m:sSub>
              <m:r>
                <m:rPr>
                  <m:sty m:val="p"/>
                </m:rPr>
                <m:t>−</m:t>
              </m:r>
              <m:r>
                <m:rPr>
                  <m:nor/>
                  <m:sty m:val="p"/>
                </m:rPr>
                <m:t>mean</m:t>
              </m:r>
              <m:d>
                <m:dPr>
                  <m:begChr m:val="("/>
                  <m:endChr m:val=")"/>
                  <m:sepChr m:val=""/>
                  <m:grow/>
                </m:dPr>
                <m:e>
                  <m:r>
                    <m:rPr>
                      <m:sty m:val="p"/>
                    </m:rPr>
                    <m:t>{</m:t>
                  </m:r>
                  <m:sSub>
                    <m:e>
                      <m:r>
                        <m:t>r</m:t>
                      </m:r>
                    </m:e>
                    <m:sub>
                      <m:r>
                        <m:t>j</m:t>
                      </m:r>
                    </m:sub>
                  </m:sSub>
                  <m:sSubSup>
                    <m:e>
                      <m:r>
                        <m:rPr>
                          <m:sty m:val="p"/>
                        </m:rPr>
                        <m:t>}</m:t>
                      </m:r>
                    </m:e>
                    <m:sub>
                      <m:r>
                        <m:t>j</m:t>
                      </m:r>
                      <m:r>
                        <m:rPr>
                          <m:sty m:val="p"/>
                        </m:rPr>
                        <m:t>=</m:t>
                      </m:r>
                      <m:r>
                        <m:t>1</m:t>
                      </m:r>
                    </m:sub>
                    <m:sup>
                      <m:r>
                        <m:t>G</m:t>
                      </m:r>
                    </m:sup>
                  </m:sSubSup>
                </m:e>
              </m:d>
            </m:num>
            <m:den>
              <m:r>
                <m:rPr>
                  <m:nor/>
                  <m:sty m:val="p"/>
                </m:rPr>
                <m:t>std</m:t>
              </m:r>
              <m:d>
                <m:dPr>
                  <m:begChr m:val="("/>
                  <m:endChr m:val=")"/>
                  <m:sepChr m:val=""/>
                  <m:grow/>
                </m:dPr>
                <m:e>
                  <m:r>
                    <m:rPr>
                      <m:sty m:val="p"/>
                    </m:rPr>
                    <m:t>{</m:t>
                  </m:r>
                  <m:sSub>
                    <m:e>
                      <m:r>
                        <m:t>r</m:t>
                      </m:r>
                    </m:e>
                    <m:sub>
                      <m:r>
                        <m:t>j</m:t>
                      </m:r>
                    </m:sub>
                  </m:sSub>
                  <m:sSubSup>
                    <m:e>
                      <m:r>
                        <m:rPr>
                          <m:sty m:val="p"/>
                        </m:rPr>
                        <m:t>}</m:t>
                      </m:r>
                    </m:e>
                    <m:sub>
                      <m:r>
                        <m:t>j</m:t>
                      </m:r>
                      <m:r>
                        <m:rPr>
                          <m:sty m:val="p"/>
                        </m:rPr>
                        <m:t>=</m:t>
                      </m:r>
                      <m:r>
                        <m:t>1</m:t>
                      </m:r>
                    </m:sub>
                    <m:sup>
                      <m:r>
                        <m:t>G</m:t>
                      </m:r>
                    </m:sup>
                  </m:sSubSup>
                </m:e>
              </m:d>
            </m:den>
          </m:f>
        </m:oMath>
      </m:oMathPara>
    </w:p>
    <w:p>
      <w:pPr>
        <w:pStyle w:val="FirstParagraph"/>
      </w:pPr>
      <w:r>
        <w:t xml:space="preserve">The same advantage is assigned to every token in a completion under outcome supervision; under process supervision, the advantage accumulates from subsequent step rewards</w:t>
      </w:r>
      <w:r>
        <w:t xml:space="preserve"> </w:t>
      </w:r>
      <w:fldSimple w:instr="NOTEREF _Ref_Footnote_12 \h \f">
        <w:r>
          <w:rPr>
            <w:vertAlign w:val="superscript"/>
          </w:rPr>
          <w:t>12</w:t>
        </w:r>
      </w:fldSimple>
      <w:r>
        <w:t xml:space="preserve">. The GRPO objective then applies the standard PPO clipped surrogate, but with this group-relative baseline:</w:t>
      </w:r>
    </w:p>
    <w:p>
      <w:pPr>
        <w:pStyle w:val="BodyText"/>
      </w:pPr>
      <m:oMathPara>
        <m:oMathParaPr>
          <m:jc m:val="center"/>
        </m:oMathParaPr>
        <m:oMath>
          <m:sSub>
            <m:e>
              <m:r>
                <m:rPr>
                  <m:sty m:val="p"/>
                  <m:scr m:val="script"/>
                </m:rPr>
                <m:t>J</m:t>
              </m:r>
            </m:e>
            <m:sub>
              <m:r>
                <m:rPr>
                  <m:nor/>
                  <m:sty m:val="p"/>
                </m:rPr>
                <m:t>GRPO</m:t>
              </m:r>
            </m:sub>
          </m:sSub>
          <m:d>
            <m:dPr>
              <m:begChr m:val="("/>
              <m:endChr m:val=")"/>
              <m:sepChr m:val=""/>
              <m:grow/>
            </m:dPr>
            <m:e>
              <m:r>
                <m:t>θ</m:t>
              </m:r>
            </m:e>
          </m:d>
          <m:r>
            <m:rPr>
              <m:sty m:val="p"/>
            </m:rPr>
            <m:t>=</m:t>
          </m:r>
          <m:sSub>
            <m:e>
              <m:r>
                <m:rPr>
                  <m:sty m:val="p"/>
                  <m:scr m:val="double-struck"/>
                </m:rPr>
                <m:t>E</m:t>
              </m:r>
            </m:e>
            <m:sub>
              <m:r>
                <m:t>q</m:t>
              </m:r>
              <m:r>
                <m:rPr>
                  <m:sty m:val="p"/>
                </m:rPr>
                <m:t>∼</m:t>
              </m:r>
              <m:r>
                <m:t>P</m:t>
              </m:r>
              <m:d>
                <m:dPr>
                  <m:begChr m:val="("/>
                  <m:endChr m:val=")"/>
                  <m:sepChr m:val=""/>
                  <m:grow/>
                </m:dPr>
                <m:e>
                  <m:r>
                    <m:t>Q</m:t>
                  </m:r>
                </m:e>
              </m:d>
              <m:r>
                <m:rPr>
                  <m:sty m:val="p"/>
                </m:rPr>
                <m:t>,</m:t>
              </m:r>
              <m:r>
                <m:rPr>
                  <m:sty m:val="p"/>
                </m:rPr>
                <m:t>{</m:t>
              </m:r>
              <m:sSub>
                <m:e>
                  <m:r>
                    <m:t>o</m:t>
                  </m:r>
                </m:e>
                <m:sub>
                  <m:r>
                    <m:t>i</m:t>
                  </m:r>
                </m:sub>
              </m:sSub>
              <m:r>
                <m:rPr>
                  <m:sty m:val="p"/>
                </m:rPr>
                <m:t>}</m:t>
              </m:r>
              <m:r>
                <m:rPr>
                  <m:sty m:val="p"/>
                </m:rPr>
                <m:t>∼</m:t>
              </m:r>
              <m:sSub>
                <m:e>
                  <m:r>
                    <m:t>π</m:t>
                  </m:r>
                </m:e>
                <m:sub>
                  <m:sSub>
                    <m:e>
                      <m:r>
                        <m:t>θ</m:t>
                      </m:r>
                    </m:e>
                    <m:sub>
                      <m:r>
                        <m:rPr>
                          <m:nor/>
                          <m:sty m:val="p"/>
                        </m:rPr>
                        <m:t>old</m:t>
                      </m:r>
                    </m:sub>
                  </m:sSub>
                </m:sub>
              </m:sSub>
              <m:d>
                <m:dPr>
                  <m:begChr m:val="("/>
                  <m:endChr m:val=")"/>
                  <m:sepChr m:val=""/>
                  <m:grow/>
                </m:dPr>
                <m:e>
                  <m:r>
                    <m:t>O</m:t>
                  </m:r>
                  <m:r>
                    <m:rPr>
                      <m:sty m:val="p"/>
                    </m:rPr>
                    <m:t>|</m:t>
                  </m:r>
                  <m:r>
                    <m:t>q</m:t>
                  </m:r>
                </m:e>
              </m:d>
            </m:sub>
          </m:sSub>
          <m:d>
            <m:dPr>
              <m:begChr m:val="["/>
              <m:endChr m:val="]"/>
              <m:sepChr m:val=""/>
              <m:grow/>
            </m:dPr>
            <m:e>
              <m:f>
                <m:fPr>
                  <m:type m:val="bar"/>
                </m:fPr>
                <m:num>
                  <m:r>
                    <m:t>1</m:t>
                  </m:r>
                </m:num>
                <m:den>
                  <m:r>
                    <m:t>G</m:t>
                  </m:r>
                </m:den>
              </m:f>
              <m:nary>
                <m:naryPr>
                  <m:chr m:val="∑"/>
                  <m:limLoc m:val="undOvr"/>
                  <m:subHide m:val="0"/>
                  <m:supHide m:val="0"/>
                </m:naryPr>
                <m:sub>
                  <m:r>
                    <m:t>i</m:t>
                  </m:r>
                  <m:r>
                    <m:rPr>
                      <m:sty m:val="p"/>
                    </m:rPr>
                    <m:t>=</m:t>
                  </m:r>
                  <m:r>
                    <m:t>1</m:t>
                  </m:r>
                </m:sub>
                <m:sup>
                  <m:r>
                    <m:t>G</m:t>
                  </m:r>
                </m:sup>
                <m:e>
                  <m:f>
                    <m:fPr>
                      <m:type m:val="bar"/>
                    </m:fPr>
                    <m:num>
                      <m:r>
                        <m:t>1</m:t>
                      </m:r>
                    </m:num>
                    <m:den>
                      <m:d>
                        <m:dPr>
                          <m:begChr m:val="|"/>
                          <m:endChr m:val="|"/>
                          <m:sepChr m:val=""/>
                          <m:grow/>
                        </m:dPr>
                        <m:e>
                          <m:sSub>
                            <m:e>
                              <m:r>
                                <m:t>o</m:t>
                              </m:r>
                            </m:e>
                            <m:sub>
                              <m:r>
                                <m:t>i</m:t>
                              </m:r>
                            </m:sub>
                          </m:sSub>
                        </m:e>
                      </m:d>
                    </m:den>
                  </m:f>
                </m:e>
              </m:nary>
              <m:nary>
                <m:naryPr>
                  <m:chr m:val="∑"/>
                  <m:limLoc m:val="undOvr"/>
                  <m:subHide m:val="0"/>
                  <m:supHide m:val="0"/>
                </m:naryPr>
                <m:sub>
                  <m:r>
                    <m:t>t</m:t>
                  </m:r>
                  <m:r>
                    <m:rPr>
                      <m:sty m:val="p"/>
                    </m:rPr>
                    <m:t>=</m:t>
                  </m:r>
                  <m:r>
                    <m:t>1</m:t>
                  </m:r>
                </m:sub>
                <m:sup>
                  <m:d>
                    <m:dPr>
                      <m:begChr m:val="|"/>
                      <m:endChr m:val="|"/>
                      <m:sepChr m:val=""/>
                      <m:grow/>
                    </m:dPr>
                    <m:e>
                      <m:sSub>
                        <m:e>
                          <m:r>
                            <m:t>o</m:t>
                          </m:r>
                        </m:e>
                        <m:sub>
                          <m:r>
                            <m:t>i</m:t>
                          </m:r>
                        </m:sub>
                      </m:sSub>
                    </m:e>
                  </m:d>
                </m:sup>
                <m:e>
                  <m:r>
                    <m:rPr>
                      <m:sty m:val="p"/>
                    </m:rPr>
                    <m:t>min</m:t>
                  </m:r>
                </m:e>
              </m:nary>
              <m:d>
                <m:dPr>
                  <m:begChr m:val="("/>
                  <m:endChr m:val=")"/>
                  <m:sepChr m:val=""/>
                  <m:grow/>
                </m:dPr>
                <m:e>
                  <m:f>
                    <m:fPr>
                      <m:type m:val="bar"/>
                    </m:fPr>
                    <m:num>
                      <m:sSub>
                        <m:e>
                          <m:r>
                            <m:t>π</m:t>
                          </m:r>
                        </m:e>
                        <m:sub>
                          <m:r>
                            <m:t>θ</m:t>
                          </m:r>
                        </m:sub>
                      </m:sSub>
                      <m:d>
                        <m:dPr>
                          <m:begChr m:val="("/>
                          <m:endChr m:val=")"/>
                          <m:sepChr m:val=""/>
                          <m:grow/>
                        </m:dPr>
                        <m:e>
                          <m:sSub>
                            <m:e>
                              <m:r>
                                <m:t>o</m:t>
                              </m:r>
                            </m:e>
                            <m:sub>
                              <m:r>
                                <m:t>i</m:t>
                              </m:r>
                              <m:r>
                                <m:rPr>
                                  <m:sty m:val="p"/>
                                </m:rPr>
                                <m:t>,</m:t>
                              </m:r>
                              <m:r>
                                <m:t>t</m:t>
                              </m:r>
                            </m:sub>
                          </m:sSub>
                          <m:r>
                            <m:rPr>
                              <m:sty m:val="p"/>
                            </m:rPr>
                            <m:t>|</m:t>
                          </m:r>
                          <m:r>
                            <m:t>q</m:t>
                          </m:r>
                          <m:r>
                            <m:rPr>
                              <m:sty m:val="p"/>
                            </m:rPr>
                            <m:t>,</m:t>
                          </m:r>
                          <m:sSub>
                            <m:e>
                              <m:r>
                                <m:t>o</m:t>
                              </m:r>
                            </m:e>
                            <m:sub>
                              <m:r>
                                <m:t>i</m:t>
                              </m:r>
                              <m:r>
                                <m:rPr>
                                  <m:sty m:val="p"/>
                                </m:rPr>
                                <m:t>,</m:t>
                              </m:r>
                              <m:r>
                                <m:rPr>
                                  <m:sty m:val="p"/>
                                </m:rPr>
                                <m:t>&lt;</m:t>
                              </m:r>
                              <m:r>
                                <m:t>t</m:t>
                              </m:r>
                            </m:sub>
                          </m:sSub>
                        </m:e>
                      </m:d>
                    </m:num>
                    <m:den>
                      <m:sSub>
                        <m:e>
                          <m:r>
                            <m:t>π</m:t>
                          </m:r>
                        </m:e>
                        <m:sub>
                          <m:sSub>
                            <m:e>
                              <m:r>
                                <m:t>θ</m:t>
                              </m:r>
                            </m:e>
                            <m:sub>
                              <m:r>
                                <m:rPr>
                                  <m:nor/>
                                  <m:sty m:val="p"/>
                                </m:rPr>
                                <m:t>old</m:t>
                              </m:r>
                            </m:sub>
                          </m:sSub>
                        </m:sub>
                      </m:sSub>
                      <m:d>
                        <m:dPr>
                          <m:begChr m:val="("/>
                          <m:endChr m:val=")"/>
                          <m:sepChr m:val=""/>
                          <m:grow/>
                        </m:dPr>
                        <m:e>
                          <m:sSub>
                            <m:e>
                              <m:r>
                                <m:t>o</m:t>
                              </m:r>
                            </m:e>
                            <m:sub>
                              <m:r>
                                <m:t>i</m:t>
                              </m:r>
                              <m:r>
                                <m:rPr>
                                  <m:sty m:val="p"/>
                                </m:rPr>
                                <m:t>,</m:t>
                              </m:r>
                              <m:r>
                                <m:t>t</m:t>
                              </m:r>
                            </m:sub>
                          </m:sSub>
                          <m:r>
                            <m:rPr>
                              <m:sty m:val="p"/>
                            </m:rPr>
                            <m:t>|</m:t>
                          </m:r>
                          <m:r>
                            <m:t>q</m:t>
                          </m:r>
                          <m:r>
                            <m:rPr>
                              <m:sty m:val="p"/>
                            </m:rPr>
                            <m:t>,</m:t>
                          </m:r>
                          <m:sSub>
                            <m:e>
                              <m:r>
                                <m:t>o</m:t>
                              </m:r>
                            </m:e>
                            <m:sub>
                              <m:r>
                                <m:t>i</m:t>
                              </m:r>
                              <m:r>
                                <m:rPr>
                                  <m:sty m:val="p"/>
                                </m:rPr>
                                <m:t>,</m:t>
                              </m:r>
                              <m:r>
                                <m:rPr>
                                  <m:sty m:val="p"/>
                                </m:rPr>
                                <m:t>&lt;</m:t>
                              </m:r>
                              <m:r>
                                <m:t>t</m:t>
                              </m:r>
                            </m:sub>
                          </m:sSub>
                        </m:e>
                      </m:d>
                    </m:den>
                  </m:f>
                  <m:sSub>
                    <m:e>
                      <m:acc>
                        <m:accPr>
                          <m:chr m:val="̂"/>
                        </m:accPr>
                        <m:e>
                          <m:r>
                            <m:t>A</m:t>
                          </m:r>
                        </m:e>
                      </m:acc>
                    </m:e>
                    <m:sub>
                      <m:r>
                        <m:t>i</m:t>
                      </m:r>
                      <m:r>
                        <m:rPr>
                          <m:sty m:val="p"/>
                        </m:rPr>
                        <m:t>,</m:t>
                      </m:r>
                      <m:r>
                        <m:t>t</m:t>
                      </m:r>
                    </m:sub>
                  </m:sSub>
                  <m:r>
                    <m:rPr>
                      <m:sty m:val="p"/>
                    </m:rPr>
                    <m:t>,</m:t>
                  </m:r>
                  <m:r>
                    <m:t> </m:t>
                  </m:r>
                  <m:r>
                    <m:rPr>
                      <m:nor/>
                      <m:sty m:val="p"/>
                    </m:rPr>
                    <m:t>clip</m:t>
                  </m:r>
                  <m:d>
                    <m:dPr>
                      <m:begChr m:val="("/>
                      <m:endChr m:val=")"/>
                      <m:sepChr m:val=""/>
                      <m:grow/>
                    </m:dPr>
                    <m:e>
                      <m:r>
                        <m:rPr>
                          <m:sty m:val="p"/>
                        </m:rPr>
                        <m:t>⋅</m:t>
                      </m:r>
                      <m:r>
                        <m:rPr>
                          <m:sty m:val="p"/>
                        </m:rPr>
                        <m:t>,</m:t>
                      </m:r>
                      <m:r>
                        <m:t>1</m:t>
                      </m:r>
                      <m:r>
                        <m:rPr>
                          <m:sty m:val="p"/>
                        </m:rPr>
                        <m:t>−</m:t>
                      </m:r>
                      <m:r>
                        <m:t>ϵ</m:t>
                      </m:r>
                      <m:r>
                        <m:rPr>
                          <m:sty m:val="p"/>
                        </m:rPr>
                        <m:t>,</m:t>
                      </m:r>
                      <m:r>
                        <m:t>1</m:t>
                      </m:r>
                      <m:r>
                        <m:rPr>
                          <m:sty m:val="p"/>
                        </m:rPr>
                        <m:t>+</m:t>
                      </m:r>
                      <m:r>
                        <m:t>ϵ</m:t>
                      </m:r>
                    </m:e>
                  </m:d>
                  <m:sSub>
                    <m:e>
                      <m:acc>
                        <m:accPr>
                          <m:chr m:val="̂"/>
                        </m:accPr>
                        <m:e>
                          <m:r>
                            <m:t>A</m:t>
                          </m:r>
                        </m:e>
                      </m:acc>
                    </m:e>
                    <m:sub>
                      <m:r>
                        <m:t>i</m:t>
                      </m:r>
                      <m:r>
                        <m:rPr>
                          <m:sty m:val="p"/>
                        </m:rPr>
                        <m:t>,</m:t>
                      </m:r>
                      <m:r>
                        <m:t>t</m:t>
                      </m:r>
                    </m:sub>
                  </m:sSub>
                </m:e>
              </m:d>
              <m:r>
                <m:rPr>
                  <m:sty m:val="p"/>
                </m:rPr>
                <m:t>−</m:t>
              </m:r>
              <m:r>
                <m:t>β</m:t>
              </m:r>
              <m:sSub>
                <m:e>
                  <m:r>
                    <m:t>D</m:t>
                  </m:r>
                </m:e>
                <m:sub>
                  <m:r>
                    <m:t>K</m:t>
                  </m:r>
                  <m:r>
                    <m:t>L</m:t>
                  </m:r>
                </m:sub>
              </m:sSub>
              <m:d>
                <m:dPr>
                  <m:begChr m:val="["/>
                  <m:endChr m:val="]"/>
                  <m:sepChr m:val=""/>
                  <m:grow/>
                </m:dPr>
                <m:e>
                  <m:sSub>
                    <m:e>
                      <m:r>
                        <m:t>π</m:t>
                      </m:r>
                    </m:e>
                    <m:sub>
                      <m:r>
                        <m:t>θ</m:t>
                      </m:r>
                    </m:sub>
                  </m:sSub>
                  <m:r>
                    <m:rPr>
                      <m:sty m:val="p"/>
                    </m:rPr>
                    <m:t>∥</m:t>
                  </m:r>
                  <m:sSub>
                    <m:e>
                      <m:r>
                        <m:t>π</m:t>
                      </m:r>
                    </m:e>
                    <m:sub>
                      <m:r>
                        <m:rPr>
                          <m:nor/>
                          <m:sty m:val="p"/>
                        </m:rPr>
                        <m:t>ref</m:t>
                      </m:r>
                    </m:sub>
                  </m:sSub>
                </m:e>
              </m:d>
            </m:e>
          </m:d>
        </m:oMath>
      </m:oMathPara>
    </w:p>
    <w:p>
      <w:pPr>
        <w:pStyle w:val="FirstParagraph"/>
      </w:pPr>
      <w:r>
        <w:t xml:space="preserve">This formulation is simpler than PPO in three respects: no critic network to train, no Generalized Advantage Estimation (GAE) hyperparameters to tune, and no per-token value targets to compute. Comparative studies confirm that GRPO and its descendant DAPO consistently outperform base models across transfer-learning evaluations, with larger group sizes leading to more stable training dynamics and higher accuracy</w:t>
      </w:r>
      <w:r>
        <w:t xml:space="preserve"> </w:t>
      </w:r>
      <w:fldSimple w:instr="NOTEREF _Ref_Footnote_62 \h \f">
        <w:r>
          <w:rPr>
            <w:vertAlign w:val="superscript"/>
          </w:rPr>
          <w:t>62</w:t>
        </w:r>
      </w:fldSimple>
      <w:r>
        <w:t xml:space="preserve">. The theoretical reinterpretation of GRPO identifies it as a form of contrastive learning: the minimum group size</w:t>
      </w:r>
      <w:r>
        <w:t xml:space="preserve"> </w:t>
      </w:r>
      <m:oMath>
        <m:r>
          <m:t>G</m:t>
        </m:r>
        <m:r>
          <m:rPr>
            <m:sty m:val="p"/>
          </m:rPr>
          <m:t>=</m:t>
        </m:r>
        <m:r>
          <m:t>2</m:t>
        </m:r>
      </m:oMath>
      <w:r>
        <w:t xml:space="preserve"> </w:t>
      </w:r>
      <w:r>
        <w:t xml:space="preserve">is necessary for stable training, but practical configurations use</w:t>
      </w:r>
      <w:r>
        <w:t xml:space="preserve"> </w:t>
      </w:r>
      <m:oMath>
        <m:r>
          <m:t>G</m:t>
        </m:r>
        <m:r>
          <m:rPr>
            <m:sty m:val="p"/>
          </m:rPr>
          <m:t>=</m:t>
        </m:r>
        <m:r>
          <m:t>8</m:t>
        </m:r>
      </m:oMath>
      <w:r>
        <w:t xml:space="preserve"> </w:t>
      </w:r>
      <w:r>
        <w:t xml:space="preserve">to</w:t>
      </w:r>
      <w:r>
        <w:t xml:space="preserve"> </w:t>
      </w:r>
      <m:oMath>
        <m:r>
          <m:t>G</m:t>
        </m:r>
        <m:r>
          <m:rPr>
            <m:sty m:val="p"/>
          </m:rPr>
          <m:t>=</m:t>
        </m:r>
        <m:r>
          <m:t>16</m:t>
        </m:r>
      </m:oMath>
      <w:r>
        <w:t xml:space="preserve"> </w:t>
      </w:r>
      <w:r>
        <w:t xml:space="preserve">for variance reduction. The impact of the KL-penalty coefficient</w:t>
      </w:r>
      <w:r>
        <w:t xml:space="preserve"> </w:t>
      </w:r>
      <m:oMath>
        <m:r>
          <m:t>β</m:t>
        </m:r>
      </m:oMath>
      <w:r>
        <w:t xml:space="preserve"> </w:t>
      </w:r>
      <w:r>
        <w:t xml:space="preserve">is non-monotonic—too low and the policy diverges from the reference; too high and exploration is suppressed—requiring per-task tuning typically in the range</w:t>
      </w:r>
      <w:r>
        <w:t xml:space="preserve"> </w:t>
      </w:r>
      <m:oMath>
        <m:d>
          <m:dPr>
            <m:begChr m:val="["/>
            <m:endChr m:val="]"/>
            <m:sepChr m:val=""/>
            <m:grow/>
          </m:dPr>
          <m:e>
            <m:r>
              <m:t>0.001</m:t>
            </m:r>
            <m:r>
              <m:rPr>
                <m:sty m:val="p"/>
              </m:rPr>
              <m:t>,</m:t>
            </m:r>
            <m:r>
              <m:t>0.01</m:t>
            </m:r>
          </m:e>
        </m:d>
      </m:oMath>
      <w:r>
        <w:t xml:space="preserve">.</w:t>
      </w:r>
    </w:p>
    <w:p>
      <w:pPr>
        <w:pStyle w:val="BodyText"/>
      </w:pPr>
      <w:r>
        <w:t xml:space="preserve">The trade-off is coarse-grained credit assignment: all tokens in a response share the same reward, which can disadvantage long chain-of-thought reasoning where only a subset of tokens contains errors. A reasoning chain of 2,000 tokens receives a single scalar reward, meaning the gradient signal is distributed uniformly across all positions regardless of where the actual mistake occurred. Extensions such as Posterior-GRPO (P-GRPO) mitigate this by conditioning process-based reasoning rewards on task success: when the outcome reward</w:t>
      </w:r>
      <w:r>
        <w:t xml:space="preserve"> </w:t>
      </w:r>
      <m:oMath>
        <m:sSup>
          <m:e>
            <m:r>
              <m:t>R</m:t>
            </m:r>
          </m:e>
          <m:sup>
            <m:r>
              <m:t>o</m:t>
            </m:r>
          </m:sup>
        </m:sSup>
        <m:r>
          <m:rPr>
            <m:sty m:val="p"/>
          </m:rPr>
          <m:t>=</m:t>
        </m:r>
        <m:r>
          <m:t>1</m:t>
        </m:r>
      </m:oMath>
      <w:r>
        <w:t xml:space="preserve">, the thinking reward</w:t>
      </w:r>
      <w:r>
        <w:t xml:space="preserve"> </w:t>
      </w:r>
      <m:oMath>
        <m:sSup>
          <m:e>
            <m:r>
              <m:t>R</m:t>
            </m:r>
          </m:e>
          <m:sup>
            <m:r>
              <m:t>t</m:t>
            </m:r>
          </m:sup>
        </m:sSup>
      </m:oMath>
      <w:r>
        <w:t xml:space="preserve"> </w:t>
      </w:r>
      <w:r>
        <w:t xml:space="preserve">is preserved; when</w:t>
      </w:r>
      <w:r>
        <w:t xml:space="preserve"> </w:t>
      </w:r>
      <m:oMath>
        <m:sSup>
          <m:e>
            <m:r>
              <m:t>R</m:t>
            </m:r>
          </m:e>
          <m:sup>
            <m:r>
              <m:t>o</m:t>
            </m:r>
          </m:sup>
        </m:sSup>
        <m:r>
          <m:rPr>
            <m:sty m:val="p"/>
          </m:rPr>
          <m:t>≠</m:t>
        </m:r>
        <m:r>
          <m:t>1</m:t>
        </m:r>
      </m:oMath>
      <w:r>
        <w:t xml:space="preserve">,</w:t>
      </w:r>
      <w:r>
        <w:t xml:space="preserve"> </w:t>
      </w:r>
      <m:oMath>
        <m:sSup>
          <m:e>
            <m:r>
              <m:t>R</m:t>
            </m:r>
          </m:e>
          <m:sup>
            <m:r>
              <m:t>t</m:t>
            </m:r>
          </m:sup>
        </m:sSup>
        <m:r>
          <m:rPr>
            <m:sty m:val="p"/>
          </m:rPr>
          <m:t>=</m:t>
        </m:r>
        <m:r>
          <m:t>0</m:t>
        </m:r>
      </m:oMath>
      <w:r>
        <w:t xml:space="preserve"> </w:t>
      </w:r>
      <w:fldSimple w:instr="NOTEREF _Ref_Footnote_57 \h \f">
        <w:r>
          <w:rPr>
            <w:vertAlign w:val="superscript"/>
          </w:rPr>
          <w:t>57</w:t>
        </w:r>
      </w:fldSimple>
      <w:r>
        <w:t xml:space="preserve">. This gated design ensures that the model is only incentivized to explore superior reasoning paths for solutions that are functionally correct, preventing the policy from learning elaborate but incorrect reasoning styles that game the process reward without improving final accuracy.</w:t>
      </w:r>
    </w:p>
    <w:bookmarkEnd w:id="110"/>
    <w:bookmarkStart w:id="111" w:name="local-feasibility-and-rule-based-rewards"/>
    <w:p>
      <w:pPr>
        <w:pStyle w:val="Heading3"/>
      </w:pPr>
      <w:r>
        <w:t xml:space="preserve">6.2.3 Local Feasibility and Rule-Based Rewards</w:t>
      </w:r>
    </w:p>
    <w:p>
      <w:pPr>
        <w:pStyle w:val="FirstParagraph"/>
      </w:pPr>
      <w:r>
        <w:t xml:space="preserve">GRPO is feasible for 7B models on 128GB Apple Silicon Unified Memory Architecture (UMA) systems. The memory budget during training is dominated by policy parameters, reference model parameters, optimizer states, and rollout buffers. With 4-bit quantization for inference-phase generation and optimizer states in 32-bit, the total active memory for a 7B model falls within the 128GB envelope:</w:t>
      </w:r>
    </w:p>
    <w:p>
      <w:pPr>
        <w:pStyle w:val="SourceCode"/>
      </w:pPr>
      <w:r>
        <w:rPr>
          <w:rStyle w:val="CommentTok"/>
        </w:rPr>
        <w:t xml:space="preserve"># GRPO advantage estimation on Apple Silicon (MLX-like pseudocode)</w:t>
      </w:r>
      <w:r>
        <w:br/>
      </w:r>
      <w:r>
        <w:rPr>
          <w:rStyle w:val="ImportTok"/>
        </w:rPr>
        <w:t xml:space="preserve">import</w:t>
      </w:r>
      <w:r>
        <w:rPr>
          <w:rStyle w:val="NormalTok"/>
        </w:rPr>
        <w:t xml:space="preserve"> mlx.core </w:t>
      </w:r>
      <w:r>
        <w:rPr>
          <w:rStyle w:val="ImportTok"/>
        </w:rPr>
        <w:t xml:space="preserve">as</w:t>
      </w:r>
      <w:r>
        <w:rPr>
          <w:rStyle w:val="NormalTok"/>
        </w:rPr>
        <w:t xml:space="preserve"> mx</w:t>
      </w:r>
      <w:r>
        <w:br/>
      </w:r>
      <w:r>
        <w:br/>
      </w:r>
      <w:r>
        <w:rPr>
          <w:rStyle w:val="KeywordTok"/>
        </w:rPr>
        <w:t xml:space="preserve">def</w:t>
      </w:r>
      <w:r>
        <w:rPr>
          <w:rStyle w:val="NormalTok"/>
        </w:rPr>
        <w:t xml:space="preserve"> compute_grpo_advantage(rewards: mx.array, group_size: </w:t>
      </w:r>
      <w:r>
        <w:rPr>
          <w:rStyle w:val="BuiltInTok"/>
        </w:rPr>
        <w:t xml:space="preserve">int</w:t>
      </w:r>
      <w:r>
        <w:rPr>
          <w:rStyle w:val="NormalTok"/>
        </w:rPr>
        <w:t xml:space="preserve">) </w:t>
      </w:r>
      <w:r>
        <w:rPr>
          <w:rStyle w:val="OperatorTok"/>
        </w:rPr>
        <w:t xml:space="preserve">-&gt;</w:t>
      </w:r>
      <w:r>
        <w:rPr>
          <w:rStyle w:val="NormalTok"/>
        </w:rPr>
        <w:t xml:space="preserve"> mx.array:</w:t>
      </w:r>
      <w:r>
        <w:br/>
      </w:r>
      <w:r>
        <w:rPr>
          <w:rStyle w:val="NormalTok"/>
        </w:rPr>
        <w:t xml:space="preserve">    </w:t>
      </w:r>
      <w:r>
        <w:rPr>
          <w:rStyle w:val="CommentTok"/>
        </w:rPr>
        <w:t xml:space="preserve">"""</w:t>
      </w:r>
      <w:r>
        <w:br/>
      </w:r>
      <w:r>
        <w:rPr>
          <w:rStyle w:val="CommentTok"/>
        </w:rPr>
        <w:t xml:space="preserve">    rewards: flat array of shape (batch_size * group_size,)</w:t>
      </w:r>
      <w:r>
        <w:br/>
      </w:r>
      <w:r>
        <w:rPr>
          <w:rStyle w:val="CommentTok"/>
        </w:rPr>
        <w:t xml:space="preserve">    Returns: advantage array of same shape, group-relative normalized</w:t>
      </w:r>
      <w:r>
        <w:br/>
      </w:r>
      <w:r>
        <w:rPr>
          <w:rStyle w:val="CommentTok"/>
        </w:rPr>
        <w:t xml:space="preserve">    """</w:t>
      </w:r>
      <w:r>
        <w:br/>
      </w:r>
      <w:r>
        <w:rPr>
          <w:rStyle w:val="NormalTok"/>
        </w:rPr>
        <w:t xml:space="preserve">    </w:t>
      </w:r>
      <w:r>
        <w:rPr>
          <w:rStyle w:val="CommentTok"/>
        </w:rPr>
        <w:t xml:space="preserve"># Reshape to (batch_size, group_size)</w:t>
      </w:r>
      <w:r>
        <w:br/>
      </w:r>
      <w:r>
        <w:rPr>
          <w:rStyle w:val="NormalTok"/>
        </w:rPr>
        <w:t xml:space="preserve">    rewards_grouped </w:t>
      </w:r>
      <w:r>
        <w:rPr>
          <w:rStyle w:val="OperatorTok"/>
        </w:rPr>
        <w:t xml:space="preserve">=</w:t>
      </w:r>
      <w:r>
        <w:rPr>
          <w:rStyle w:val="NormalTok"/>
        </w:rPr>
        <w:t xml:space="preserve"> rewards.reshape(</w:t>
      </w:r>
      <w:r>
        <w:rPr>
          <w:rStyle w:val="OperatorTok"/>
        </w:rPr>
        <w:t xml:space="preserve">-</w:t>
      </w:r>
      <w:r>
        <w:rPr>
          <w:rStyle w:val="DecValTok"/>
        </w:rPr>
        <w:t xml:space="preserve">1</w:t>
      </w:r>
      <w:r>
        <w:rPr>
          <w:rStyle w:val="NormalTok"/>
        </w:rPr>
        <w:t xml:space="preserve">, group_size)</w:t>
      </w:r>
      <w:r>
        <w:br/>
      </w:r>
      <w:r>
        <w:rPr>
          <w:rStyle w:val="NormalTok"/>
        </w:rPr>
        <w:t xml:space="preserve">    </w:t>
      </w:r>
      <w:r>
        <w:br/>
      </w:r>
      <w:r>
        <w:rPr>
          <w:rStyle w:val="NormalTok"/>
        </w:rPr>
        <w:t xml:space="preserve">    </w:t>
      </w:r>
      <w:r>
        <w:rPr>
          <w:rStyle w:val="CommentTok"/>
        </w:rPr>
        <w:t xml:space="preserve"># Compute per-group statistics</w:t>
      </w:r>
      <w:r>
        <w:br/>
      </w:r>
      <w:r>
        <w:rPr>
          <w:rStyle w:val="NormalTok"/>
        </w:rPr>
        <w:t xml:space="preserve">    reward_mean </w:t>
      </w:r>
      <w:r>
        <w:rPr>
          <w:rStyle w:val="OperatorTok"/>
        </w:rPr>
        <w:t xml:space="preserve">=</w:t>
      </w:r>
      <w:r>
        <w:rPr>
          <w:rStyle w:val="NormalTok"/>
        </w:rPr>
        <w:t xml:space="preserve"> rewards_grouped.mean(axis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CommentTok"/>
        </w:rPr>
        <w:t xml:space="preserve"># (batch_size, 1)</w:t>
      </w:r>
      <w:r>
        <w:br/>
      </w:r>
      <w:r>
        <w:rPr>
          <w:rStyle w:val="NormalTok"/>
        </w:rPr>
        <w:t xml:space="preserve">    reward_std </w:t>
      </w:r>
      <w:r>
        <w:rPr>
          <w:rStyle w:val="OperatorTok"/>
        </w:rPr>
        <w:t xml:space="preserve">=</w:t>
      </w:r>
      <w:r>
        <w:rPr>
          <w:rStyle w:val="NormalTok"/>
        </w:rPr>
        <w:t xml:space="preserve"> rewards_grouped.std(axis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CommentTok"/>
        </w:rPr>
        <w:t xml:space="preserve"># (batch_size, 1)</w:t>
      </w:r>
      <w:r>
        <w:br/>
      </w:r>
      <w:r>
        <w:rPr>
          <w:rStyle w:val="NormalTok"/>
        </w:rPr>
        <w:t xml:space="preserve">    </w:t>
      </w:r>
      <w:r>
        <w:br/>
      </w:r>
      <w:r>
        <w:rPr>
          <w:rStyle w:val="NormalTok"/>
        </w:rPr>
        <w:t xml:space="preserve">    </w:t>
      </w:r>
      <w:r>
        <w:rPr>
          <w:rStyle w:val="CommentTok"/>
        </w:rPr>
        <w:t xml:space="preserve"># Normalize: (r_i - mean) / (std + epsilon)</w:t>
      </w:r>
      <w:r>
        <w:br/>
      </w:r>
      <w:r>
        <w:rPr>
          <w:rStyle w:val="NormalTok"/>
        </w:rPr>
        <w:t xml:space="preserve">    advantage </w:t>
      </w:r>
      <w:r>
        <w:rPr>
          <w:rStyle w:val="OperatorTok"/>
        </w:rPr>
        <w:t xml:space="preserve">=</w:t>
      </w:r>
      <w:r>
        <w:rPr>
          <w:rStyle w:val="NormalTok"/>
        </w:rPr>
        <w:t xml:space="preserve"> (rewards_grouped </w:t>
      </w:r>
      <w:r>
        <w:rPr>
          <w:rStyle w:val="OperatorTok"/>
        </w:rPr>
        <w:t xml:space="preserve">-</w:t>
      </w:r>
      <w:r>
        <w:rPr>
          <w:rStyle w:val="NormalTok"/>
        </w:rPr>
        <w:t xml:space="preserve"> reward_mean) </w:t>
      </w:r>
      <w:r>
        <w:rPr>
          <w:rStyle w:val="OperatorTok"/>
        </w:rPr>
        <w:t xml:space="preserve">/</w:t>
      </w:r>
      <w:r>
        <w:rPr>
          <w:rStyle w:val="NormalTok"/>
        </w:rPr>
        <w:t xml:space="preserve"> (reward_std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advantage.reshape(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(batch_size * group_size, 1)</w:t>
      </w:r>
      <w:r>
        <w:br/>
      </w:r>
      <w:r>
        <w:br/>
      </w:r>
      <w:r>
        <w:rPr>
          <w:rStyle w:val="CommentTok"/>
        </w:rPr>
        <w:t xml:space="preserve"># Example: 32 unique questions, 16 rollouts each, rule-based math reward</w:t>
      </w:r>
      <w:r>
        <w:br/>
      </w:r>
      <w:r>
        <w:rPr>
          <w:rStyle w:val="KeywordTok"/>
        </w:rPr>
        <w:t xml:space="preserve">def</w:t>
      </w:r>
      <w:r>
        <w:rPr>
          <w:rStyle w:val="NormalTok"/>
        </w:rPr>
        <w:t xml:space="preserve"> rule_based_math_reward(completion: </w:t>
      </w:r>
      <w:r>
        <w:rPr>
          <w:rStyle w:val="BuiltInTok"/>
        </w:rPr>
        <w:t xml:space="preserve">str</w:t>
      </w:r>
      <w:r>
        <w:rPr>
          <w:rStyle w:val="NormalTok"/>
        </w:rPr>
        <w:t xml:space="preserve">, ground_truth: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Extract final answer from completion (boxed or final number)</w:t>
      </w:r>
      <w:r>
        <w:br/>
      </w:r>
      <w:r>
        <w:rPr>
          <w:rStyle w:val="CommentTok"/>
        </w:rPr>
        <w:t xml:space="preserve">    and compare against ground truth. No neural reward model.</w:t>
      </w:r>
      <w:r>
        <w:br/>
      </w:r>
      <w:r>
        <w:rPr>
          <w:rStyle w:val="CommentTok"/>
        </w:rPr>
        <w:t xml:space="preserve">    """</w:t>
      </w:r>
      <w:r>
        <w:br/>
      </w:r>
      <w:r>
        <w:rPr>
          <w:rStyle w:val="NormalTok"/>
        </w:rPr>
        <w:t xml:space="preserve">    extracted </w:t>
      </w:r>
      <w:r>
        <w:rPr>
          <w:rStyle w:val="OperatorTok"/>
        </w:rPr>
        <w:t xml:space="preserve">=</w:t>
      </w:r>
      <w:r>
        <w:rPr>
          <w:rStyle w:val="NormalTok"/>
        </w:rPr>
        <w:t xml:space="preserve"> extract_final_answer(completion)</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numeric_match(extracted, ground_truth, rtol</w:t>
      </w:r>
      <w:r>
        <w:rPr>
          <w:rStyle w:val="OperatorTok"/>
        </w:rPr>
        <w:t xml:space="preserve">=</w:t>
      </w:r>
      <w:r>
        <w:rPr>
          <w:rStyle w:val="FloatTok"/>
        </w:rPr>
        <w:t xml:space="preserve">1e-5</w:t>
      </w:r>
      <w:r>
        <w:rPr>
          <w:rStyle w:val="NormalTok"/>
        </w:rPr>
        <w:t xml:space="preserve">) </w:t>
      </w:r>
      <w:r>
        <w:rPr>
          <w:rStyle w:val="ControlFlowTok"/>
        </w:rPr>
        <w:t xml:space="preserve">else</w:t>
      </w:r>
      <w:r>
        <w:rPr>
          <w:rStyle w:val="NormalTok"/>
        </w:rPr>
        <w:t xml:space="preserve"> </w:t>
      </w:r>
      <w:r>
        <w:rPr>
          <w:rStyle w:val="FloatTok"/>
        </w:rPr>
        <w:t xml:space="preserve">0.0</w:t>
      </w:r>
    </w:p>
    <w:p>
      <w:pPr>
        <w:pStyle w:val="FirstParagraph"/>
      </w:pPr>
      <w:r>
        <w:t xml:space="preserve">The rule-based reward design is critical for avoiding reward hacking. DeepSeek-R1-Zero intentionally avoided neural reward models</w:t>
      </w:r>
      <w:r>
        <w:t xml:space="preserve"> </w:t>
      </w:r>
      <w:r>
        <w:t xml:space="preserve">“</w:t>
      </w:r>
      <w:r>
        <w:t xml:space="preserve">because we find that the neural reward model may suffer from reward hacking in the large-scale reinforcement learning process</w:t>
      </w:r>
      <w:r>
        <w:t xml:space="preserve">”</w:t>
      </w:r>
      <w:r>
        <w:t xml:space="preserve"> </w:t>
      </w:r>
      <w:fldSimple w:instr="NOTEREF _Ref_Footnote_50 \h \f">
        <w:r>
          <w:rPr>
            <w:vertAlign w:val="superscript"/>
          </w:rPr>
          <w:t>50</w:t>
        </w:r>
      </w:fldSimple>
      <w:r>
        <w:t xml:space="preserve">. Instead, R1-Zero used only accuracy rewards (verifiable via compiler or test cases against ground-truth answers) and format rewards (enforcing structured reasoning tags). This minimalist reward scheme achieved AIME 2024 pass@1 improvement from 15.6% to 77.9% without any supervised fine-tuning cold start</w:t>
      </w:r>
      <w:r>
        <w:t xml:space="preserve"> </w:t>
      </w:r>
      <w:fldSimple w:instr="NOTEREF _Ref_Footnote_35 \h \f">
        <w:r>
          <w:rPr>
            <w:vertAlign w:val="superscript"/>
          </w:rPr>
          <w:t>35</w:t>
        </w:r>
      </w:fldSimple>
      <w:r>
        <w:t xml:space="preserve">.</w:t>
      </w:r>
    </w:p>
    <w:p>
      <w:pPr>
        <w:pStyle w:val="BodyText"/>
      </w:pPr>
      <w:r>
        <w:t xml:space="preserve">For local deterministic substrates, the lesson is clear: GRPO’s simplicity—no critic model, rule-based rewards, group-relative baselines—translates directly into deployable pipelines where external verifiers (compilers, SMT solvers, unit tests) provide the reward signal. The elimination of learned reward models removes a major source of instability and a vector for reward exploitation.</w:t>
      </w:r>
    </w:p>
    <w:bookmarkEnd w:id="111"/>
    <w:bookmarkEnd w:id="112"/>
    <w:bookmarkStart w:id="116" w:name="convergence-and-proactive-repair"/>
    <w:p>
      <w:pPr>
        <w:pStyle w:val="Heading2"/>
      </w:pPr>
      <w:r>
        <w:t xml:space="preserve">6.3 Convergence and Proactive Repair</w:t>
      </w:r>
    </w:p>
    <w:bookmarkStart w:id="113" w:name="empirical-convergence-rates"/>
    <w:p>
      <w:pPr>
        <w:pStyle w:val="Heading3"/>
      </w:pPr>
      <w:r>
        <w:t xml:space="preserve">6.3.1 Empirical Convergence Rates</w:t>
      </w:r>
    </w:p>
    <w:p>
      <w:pPr>
        <w:pStyle w:val="FirstParagraph"/>
      </w:pPr>
      <w:r>
        <w:t xml:space="preserve">Repair loops exhibit predictable convergence dynamics when external feedback is available. The evolution of correct answer rates under</w:t>
      </w:r>
      <w:r>
        <w:t xml:space="preserve"> </w:t>
      </w:r>
      <m:oMath>
        <m:r>
          <m:t>t</m:t>
        </m:r>
      </m:oMath>
      <w:r>
        <w:t xml:space="preserve"> </w:t>
      </w:r>
      <w:r>
        <w:t xml:space="preserve">rounds of self-correction follows a single-exponential model:</w:t>
      </w:r>
    </w:p>
    <w:p>
      <w:pPr>
        <w:pStyle w:val="BodyText"/>
      </w:pPr>
      <m:oMathPara>
        <m:oMathParaPr>
          <m:jc m:val="center"/>
        </m:oMathParaPr>
        <m:oMath>
          <m:sSub>
            <m:e>
              <m:r>
                <m:rPr>
                  <m:nor/>
                  <m:sty m:val="p"/>
                </m:rPr>
                <m:t>Acc</m:t>
              </m:r>
            </m:e>
            <m:sub>
              <m:r>
                <m:t>t</m:t>
              </m:r>
            </m:sub>
          </m:sSub>
          <m:r>
            <m:rPr>
              <m:sty m:val="p"/>
            </m:rPr>
            <m:t>=</m:t>
          </m:r>
          <m:r>
            <m:rPr>
              <m:nor/>
              <m:sty m:val="p"/>
            </m:rPr>
            <m:t>Upp</m:t>
          </m:r>
          <m:r>
            <m:rPr>
              <m:sty m:val="p"/>
            </m:rPr>
            <m:t>−</m:t>
          </m:r>
          <m:sSup>
            <m:e>
              <m:r>
                <m:t>α</m:t>
              </m:r>
            </m:e>
            <m:sup>
              <m:r>
                <m:t>t</m:t>
              </m:r>
            </m:sup>
          </m:sSup>
          <m:d>
            <m:dPr>
              <m:begChr m:val="("/>
              <m:endChr m:val=")"/>
              <m:sepChr m:val=""/>
              <m:grow/>
            </m:dPr>
            <m:e>
              <m:r>
                <m:rPr>
                  <m:nor/>
                  <m:sty m:val="p"/>
                </m:rPr>
                <m:t>Upp</m:t>
              </m:r>
              <m:r>
                <m:rPr>
                  <m:sty m:val="p"/>
                </m:rPr>
                <m:t>−</m:t>
              </m:r>
              <m:sSub>
                <m:e>
                  <m:r>
                    <m:rPr>
                      <m:nor/>
                      <m:sty m:val="p"/>
                    </m:rPr>
                    <m:t>Acc</m:t>
                  </m:r>
                </m:e>
                <m:sub>
                  <m:r>
                    <m:t>0</m:t>
                  </m:r>
                </m:sub>
              </m:sSub>
            </m:e>
          </m:d>
        </m:oMath>
      </m:oMathPara>
    </w:p>
    <w:p>
      <w:pPr>
        <w:pStyle w:val="FirstParagraph"/>
      </w:pPr>
      <w:r>
        <w:t xml:space="preserve">where</w:t>
      </w:r>
      <w:r>
        <w:t xml:space="preserve"> </w:t>
      </w:r>
      <m:oMath>
        <m:sSub>
          <m:e>
            <m:r>
              <m:rPr>
                <m:nor/>
                <m:sty m:val="p"/>
              </m:rPr>
              <m:t>Acc</m:t>
            </m:r>
          </m:e>
          <m:sub>
            <m:r>
              <m:t>0</m:t>
            </m:r>
          </m:sub>
        </m:sSub>
      </m:oMath>
      <w:r>
        <w:t xml:space="preserve"> </w:t>
      </w:r>
      <w:r>
        <w:t xml:space="preserve">is the initial accuracy, Upp is the fixed-point (converged) accuracy, and</w:t>
      </w:r>
      <w:r>
        <w:t xml:space="preserve"> </w:t>
      </w:r>
      <m:oMath>
        <m:r>
          <m:t>α</m:t>
        </m:r>
      </m:oMath>
      <w:r>
        <w:t xml:space="preserve"> </w:t>
      </w:r>
      <w:r>
        <w:t xml:space="preserve">is the convergence rate determined by the model’s confidence in preserving correctness and its critique quality</w:t>
      </w:r>
      <w:r>
        <w:t xml:space="preserve"> </w:t>
      </w:r>
      <w:fldSimple w:instr="NOTEREF _Ref_Footnote_67 \h \f">
        <w:r>
          <w:rPr>
            <w:vertAlign w:val="superscript"/>
          </w:rPr>
          <w:t>67</w:t>
        </w:r>
      </w:fldSimple>
      <w:r>
        <w:t xml:space="preserve">. Empirical measurements across math and code tasks confirm that most improvement occurs in the first 1–2 iterations; additional iterations show diminishing returns and can degrade performance if the error introduction rate exceeds the error correction rate</w:t>
      </w:r>
      <w:r>
        <w:t xml:space="preserve"> </w:t>
      </w:r>
      <w:r>
        <w:rPr>
          <w:vertAlign w:val="superscript"/>
        </w:rPr>
        <w:footnoteReference w:id="72"/>
      </w:r>
      <w:r>
        <w:t xml:space="preserve">.</w:t>
      </w:r>
    </w:p>
    <w:p>
      <w:pPr>
        <w:pStyle w:val="BodyText"/>
      </w:pPr>
      <w:r>
        <w:t xml:space="preserve">A control-theoretic Markov diagnostic formalizes this: intrinsic self-correction has two critical rates, EIR (Error Introduction Rate) and ECR (Error Correction Rate). When</w:t>
      </w:r>
      <w:r>
        <w:t xml:space="preserve"> </w:t>
      </w:r>
      <m:oMath>
        <m:r>
          <m:rPr>
            <m:nor/>
            <m:sty m:val="p"/>
          </m:rPr>
          <m:t>EIR</m:t>
        </m:r>
        <m:r>
          <m:rPr>
            <m:sty m:val="p"/>
          </m:rPr>
          <m:t>&gt;</m:t>
        </m:r>
        <m:r>
          <m:rPr>
            <m:nor/>
            <m:sty m:val="p"/>
          </m:rPr>
          <m:t>ECR</m:t>
        </m:r>
      </m:oMath>
      <w:r>
        <w:t xml:space="preserve">, refinement loops diverge and harm performance</w:t>
      </w:r>
      <w:r>
        <w:t xml:space="preserve"> </w:t>
      </w:r>
      <w:fldSimple w:instr="NOTEREF _Ref_Footnote_72 \h \f">
        <w:r>
          <w:rPr>
            <w:vertAlign w:val="superscript"/>
          </w:rPr>
          <w:t>72</w:t>
        </w:r>
      </w:fldSimple>
      <w:r>
        <w:t xml:space="preserve">. The diagnostic reveals non-stationarity in these rates—EIR increases from 1.3% to 3.8% across iterations—suggesting that fixed-iteration stopping is suboptimal and adaptive thresholds based on real-time rate monitoring are preferable. For math reasoning specifically, program repair studies find optimal strategies at 2–3 iterations, with the first patch generated being the most likely to be correct</w:t>
      </w:r>
      <w:r>
        <w:t xml:space="preserve"> </w:t>
      </w:r>
      <w:fldSimple w:instr="NOTEREF _Ref_Footnote_63 \h \f">
        <w:r>
          <w:rPr>
            <w:vertAlign w:val="superscript"/>
          </w:rPr>
          <w:t>63</w:t>
        </w:r>
      </w:fldSimple>
      <w:r>
        <w:t xml:space="preserve">.</w:t>
      </w:r>
    </w:p>
    <w:bookmarkEnd w:id="113"/>
    <w:bookmarkStart w:id="114" w:name="proactive-self-refinement-pasr"/>
    <w:p>
      <w:pPr>
        <w:pStyle w:val="Heading3"/>
      </w:pPr>
      <w:r>
        <w:t xml:space="preserve">6.3.2 Proactive Self-Refinement (PASR)</w:t>
      </w:r>
    </w:p>
    <w:p>
      <w:pPr>
        <w:pStyle w:val="FirstParagraph"/>
      </w:pPr>
      <w:r>
        <w:t xml:space="preserve">The preceding analysis assumes post-hoc repair: generate fully, then verify and revise. Proactive Self-Refinement (PASR) inverts this pattern by intervening during generation rather than after. PASR, an RL-based proactive refinement method, reduces token consumption by 41.6% while increasing accuracy by 8.2% on Qwen3-8B, versus post-hoc baselines that often degrade performance without oracle feedback</w:t>
      </w:r>
      <w:r>
        <w:t xml:space="preserve"> </w:t>
      </w:r>
      <w:fldSimple w:instr="NOTEREF _Ref_Footnote_16 \h \f">
        <w:r>
          <w:rPr>
            <w:vertAlign w:val="superscript"/>
          </w:rPr>
          <w:t>16</w:t>
        </w:r>
      </w:fldSimple>
      <w:r>
        <w:t xml:space="preserve">.</w:t>
      </w:r>
    </w:p>
    <w:p>
      <w:pPr>
        <w:pStyle w:val="BodyText"/>
      </w:pPr>
      <w:r>
        <w:t xml:space="preserve">The mechanism is conditional: the model learns to detect when its current reasoning trajectory is likely to fail and inserts a repair operation mid-generation rather than completing a full incorrect chain. This requires training on a mixture of standard completions and interrupted completions where the model is forced to backtrack and restart from an earlier reasoning step. Training uses a specialized reward structure: the model receives a positive reward for successfully completing after an interruption, a small negative reward for unnecessary interruptions (false positives), and a larger negative reward for failing to interrupt before an irreversible error. This multi-component reward signal teaches the model to calibrate its uncertainty threshold—intervening early enough to avoid wasted computation but not so early that it interrupts correct reasoning trajectories.</w:t>
      </w:r>
    </w:p>
    <w:p>
      <w:pPr>
        <w:pStyle w:val="BodyText"/>
      </w:pPr>
      <w:r>
        <w:t xml:space="preserve">The result is fewer wasted tokens on dead-end reasoning paths and faster convergence to correct answers. On Qwen3-8B, PASR achieves its 41.6% token reduction specifically by eliminating the long incorrect reasoning chains that models often generate before realizing their mistake in a post-hoc critique. Instead of generating 500 tokens of wrong derivation, then 200 tokens of critique, then 400 tokens of corrected derivation (1,100 tokens total), the proactive model interrupts after 150 tokens, restarts, and completes in 400 tokens (550 tokens total)—a 50% reduction that matches the empirical average.</w:t>
      </w:r>
    </w:p>
    <w:p>
      <w:pPr>
        <w:pStyle w:val="BodyText"/>
      </w:pPr>
      <w:r>
        <w:t xml:space="preserve">PASR’s efficacy depends on the same principle that makes GRPO successful: the reward signal must be verifiable and non-gameable. When trained with outcome rewards that can be verified by external execution (code compilation, numerical evaluation), proactive refinement learns to discriminate productive from unproductive reasoning trajectories. Without such verifiable rewards, proactive intervention has no training signal and the model cannot learn when to interrupt itself.</w:t>
      </w:r>
    </w:p>
    <w:bookmarkEnd w:id="114"/>
    <w:bookmarkStart w:id="115" w:name="X0c063d72dfe6b71e36f072e4dae59c9943359e6"/>
    <w:p>
      <w:pPr>
        <w:pStyle w:val="Heading3"/>
      </w:pPr>
      <w:r>
        <w:t xml:space="preserve">6.3.3 Expected Free Energy as Stopping Criterion</w:t>
      </w:r>
    </w:p>
    <w:p>
      <w:pPr>
        <w:pStyle w:val="FirstParagraph"/>
      </w:pPr>
      <w:r>
        <w:t xml:space="preserve">The final and most consequential question for a repair loop is: when should it stop? The Expected Free Energy formalism provides a principled answer. Repair should continue while the epistemic value (expected information gain) of an additional repair iteration exceeds its pragmatic cost (token consumption, latency, computational budget). The stopping condition is:</w:t>
      </w:r>
    </w:p>
    <w:p>
      <w:pPr>
        <w:pStyle w:val="BodyText"/>
      </w:pPr>
      <m:oMathPara>
        <m:oMathParaPr>
          <m:jc m:val="center"/>
        </m:oMathParaPr>
        <m:oMath>
          <m:r>
            <m:rPr>
              <m:nor/>
              <m:sty m:val="p"/>
            </m:rPr>
            <m:t>Repair if: </m:t>
          </m:r>
          <m:limLow>
            <m:e>
              <m:limLow>
                <m:e>
                  <m:r>
                    <m:rPr>
                      <m:sty m:val="p"/>
                    </m:rPr>
                    <m:t>−</m:t>
                  </m:r>
                  <m:r>
                    <m:rPr>
                      <m:sty m:val="p"/>
                      <m:scr m:val="double-struck"/>
                    </m:rPr>
                    <m:t>E</m:t>
                  </m:r>
                  <m:d>
                    <m:dPr>
                      <m:begChr m:val="["/>
                      <m:endChr m:val="]"/>
                      <m:sepChr m:val=""/>
                      <m:grow/>
                    </m:dPr>
                    <m:e>
                      <m:sSub>
                        <m:e>
                          <m:r>
                            <m:t>D</m:t>
                          </m:r>
                        </m:e>
                        <m:sub>
                          <m:r>
                            <m:t>K</m:t>
                          </m:r>
                          <m:r>
                            <m:t>L</m:t>
                          </m:r>
                        </m:sub>
                      </m:sSub>
                      <m:d>
                        <m:dPr>
                          <m:begChr m:val="["/>
                          <m:endChr m:val="]"/>
                          <m:sepChr m:val=""/>
                          <m:grow/>
                        </m:dPr>
                        <m:e>
                          <m:r>
                            <m:t>q</m:t>
                          </m:r>
                          <m:d>
                            <m:dPr>
                              <m:begChr m:val="("/>
                              <m:endChr m:val=")"/>
                              <m:sepChr m:val=""/>
                              <m:grow/>
                            </m:dPr>
                            <m:e>
                              <m:r>
                                <m:t>s</m:t>
                              </m:r>
                              <m:r>
                                <m:rPr>
                                  <m:sty m:val="p"/>
                                </m:rPr>
                                <m:t>∣</m:t>
                              </m:r>
                              <m:r>
                                <m:t>o</m:t>
                              </m:r>
                              <m:r>
                                <m:rPr>
                                  <m:sty m:val="p"/>
                                </m:rPr>
                                <m:t>,</m:t>
                              </m:r>
                              <m:r>
                                <m:t>π</m:t>
                              </m:r>
                            </m:e>
                          </m:d>
                          <m:r>
                            <m:rPr>
                              <m:sty m:val="p"/>
                            </m:rPr>
                            <m:t>∥</m:t>
                          </m:r>
                          <m:r>
                            <m:t>q</m:t>
                          </m:r>
                          <m:d>
                            <m:dPr>
                              <m:begChr m:val="("/>
                              <m:endChr m:val=")"/>
                              <m:sepChr m:val=""/>
                              <m:grow/>
                            </m:dPr>
                            <m:e>
                              <m:r>
                                <m:t>s</m:t>
                              </m:r>
                              <m:r>
                                <m:rPr>
                                  <m:sty m:val="p"/>
                                </m:rPr>
                                <m:t>∣</m:t>
                              </m:r>
                              <m:r>
                                <m:t>π</m:t>
                              </m:r>
                            </m:e>
                          </m:d>
                        </m:e>
                      </m:d>
                    </m:e>
                  </m:d>
                </m:e>
                <m:lim>
                  <m:r>
                    <m:rPr>
                      <m:sty m:val="p"/>
                    </m:rPr>
                    <m:t>⏟</m:t>
                  </m:r>
                </m:lim>
              </m:limLow>
            </m:e>
            <m:lim>
              <m:r>
                <m:rPr>
                  <m:nor/>
                  <m:sty m:val="p"/>
                </m:rPr>
                <m:t>epistemic value</m:t>
              </m:r>
            </m:lim>
          </m:limLow>
          <m:r>
            <m:rPr>
              <m:sty m:val="p"/>
            </m:rPr>
            <m:t>&gt;</m:t>
          </m:r>
          <m:limLow>
            <m:e>
              <m:limLow>
                <m:e>
                  <m:r>
                    <m:t>λ</m:t>
                  </m:r>
                  <m:r>
                    <m:rPr>
                      <m:sty m:val="p"/>
                    </m:rPr>
                    <m:t>⋅</m:t>
                  </m:r>
                  <m:sSub>
                    <m:e>
                      <m:r>
                        <m:t>C</m:t>
                      </m:r>
                    </m:e>
                    <m:sub>
                      <m:r>
                        <m:rPr>
                          <m:nor/>
                          <m:sty m:val="p"/>
                        </m:rPr>
                        <m:t>token</m:t>
                      </m:r>
                    </m:sub>
                  </m:sSub>
                </m:e>
                <m:lim>
                  <m:r>
                    <m:rPr>
                      <m:sty m:val="p"/>
                    </m:rPr>
                    <m:t>⏟</m:t>
                  </m:r>
                </m:lim>
              </m:limLow>
            </m:e>
            <m:lim>
              <m:r>
                <m:rPr>
                  <m:nor/>
                  <m:sty m:val="p"/>
                </m:rPr>
                <m:t>pragmatic cost</m:t>
              </m:r>
            </m:lim>
          </m:limLow>
        </m:oMath>
      </m:oMathPara>
    </w:p>
    <w:p>
      <w:pPr>
        <w:pStyle w:val="FirstParagraph"/>
      </w:pPr>
      <w:r>
        <w:t xml:space="preserve">where</w:t>
      </w:r>
      <w:r>
        <w:t xml:space="preserve"> </w:t>
      </w:r>
      <m:oMath>
        <m:r>
          <m:t>λ</m:t>
        </m:r>
      </m:oMath>
      <w:r>
        <w:t xml:space="preserve"> </w:t>
      </w:r>
      <w:r>
        <w:t xml:space="preserve">is a task-dependent exchange rate between information and computation. In practical terms, this means: continue repairing if the model expects to learn something new from another iteration; stop when the expected gain falls below the cost of generation.</w:t>
      </w:r>
    </w:p>
    <w:p>
      <w:pPr>
        <w:pStyle w:val="BodyText"/>
      </w:pPr>
      <w:r>
        <w:t xml:space="preserve">Table 2 translates this abstract criterion into operational thresholds for different task categories. The epistemic value proxy is approximated by the variance of repair outcomes across recent iterations; high variance indicates that the repair process is still exploring productively, while low variance suggests convergence. The pragmatic cost proxy is token consumption per iteration, which is directly measurable.</w:t>
      </w:r>
    </w:p>
    <w:tbl>
      <w:tblPr>
        <w:tblStyle w:val="Table"/>
        <w:tblW w:type="pct" w:w="5000"/>
        <w:tblLook w:firstRow="1" w:lastRow="0" w:firstColumn="0" w:lastColumn="0" w:noHBand="0" w:noVBand="0" w:val="0020"/>
      </w:tblPr>
      <w:tblGrid>
        <w:gridCol w:w="1192"/>
        <w:gridCol w:w="1873"/>
        <w:gridCol w:w="1788"/>
        <w:gridCol w:w="2043"/>
        <w:gridCol w:w="1021"/>
      </w:tblGrid>
      <w:tr>
        <w:trPr>
          <w:tblHeader w:val="true"/>
        </w:trPr>
        <w:tc>
          <w:tcPr/>
          <w:p>
            <w:pPr>
              <w:pStyle w:val="Compact"/>
              <w:jc w:val="left"/>
            </w:pPr>
            <w:r>
              <w:t xml:space="preserve">Task Category</w:t>
            </w:r>
          </w:p>
        </w:tc>
        <w:tc>
          <w:tcPr/>
          <w:p>
            <w:pPr>
              <w:pStyle w:val="Compact"/>
              <w:jc w:val="left"/>
            </w:pPr>
            <w:r>
              <w:t xml:space="preserve">Epistemic Value Proxy</w:t>
            </w:r>
          </w:p>
        </w:tc>
        <w:tc>
          <w:tcPr/>
          <w:p>
            <w:pPr>
              <w:pStyle w:val="Compact"/>
              <w:jc w:val="left"/>
            </w:pPr>
            <w:r>
              <w:t xml:space="preserve">Pragmatic Cost Proxy</w:t>
            </w:r>
          </w:p>
        </w:tc>
        <w:tc>
          <w:tcPr/>
          <w:p>
            <w:pPr>
              <w:pStyle w:val="Compact"/>
              <w:jc w:val="left"/>
            </w:pPr>
            <w:r>
              <w:t xml:space="preserve">Typical Stopping Point</w:t>
            </w:r>
          </w:p>
        </w:tc>
        <w:tc>
          <w:tcPr/>
          <w:p>
            <w:pPr>
              <w:pStyle w:val="Compact"/>
              <w:jc w:val="left"/>
            </w:pPr>
            <w:r>
              <w:t xml:space="preserve">Key Source</w:t>
            </w:r>
          </w:p>
        </w:tc>
      </w:tr>
      <w:tr>
        <w:tc>
          <w:tcPr/>
          <w:p>
            <w:pPr>
              <w:pStyle w:val="Compact"/>
              <w:jc w:val="left"/>
            </w:pPr>
            <w:r>
              <w:t xml:space="preserve">Math reasoning</w:t>
            </w:r>
          </w:p>
        </w:tc>
        <w:tc>
          <w:tcPr/>
          <w:p>
            <w:pPr>
              <w:pStyle w:val="Compact"/>
              <w:jc w:val="left"/>
            </w:pPr>
            <w:r>
              <w:t xml:space="preserve">Variance of group rewards (GRPO)</w:t>
            </w:r>
          </w:p>
        </w:tc>
        <w:tc>
          <w:tcPr/>
          <w:p>
            <w:pPr>
              <w:pStyle w:val="Compact"/>
              <w:jc w:val="left"/>
            </w:pPr>
            <w:r>
              <w:t xml:space="preserve">Tokens per rollout</w:t>
            </w:r>
          </w:p>
        </w:tc>
        <w:tc>
          <w:tcPr/>
          <w:p>
            <w:pPr>
              <w:pStyle w:val="Compact"/>
              <w:jc w:val="left"/>
            </w:pPr>
            <w:r>
              <w:t xml:space="preserve">1–2 iterations</w:t>
            </w:r>
            <w:r>
              <w:t xml:space="preserve"> </w:t>
            </w:r>
            <w:fldSimple w:instr="NOTEREF _Ref_Footnote_12 \h \f">
              <w:r>
                <w:rPr>
                  <w:vertAlign w:val="superscript"/>
                </w:rPr>
                <w:t>12</w:t>
              </w:r>
            </w:fldSimple>
          </w:p>
        </w:tc>
        <w:tc>
          <w:tcPr/>
          <w:p>
            <w:pPr>
              <w:pStyle w:val="Compact"/>
              <w:jc w:val="left"/>
            </w:pPr>
            <w:r>
              <w:t xml:space="preserve">Diminishing returns after first verification</w:t>
            </w:r>
          </w:p>
        </w:tc>
      </w:tr>
      <w:tr>
        <w:tc>
          <w:tcPr/>
          <w:p>
            <w:pPr>
              <w:pStyle w:val="Compact"/>
              <w:jc w:val="left"/>
            </w:pPr>
            <w:r>
              <w:t xml:space="preserve">Code generation</w:t>
            </w:r>
          </w:p>
        </w:tc>
        <w:tc>
          <w:tcPr/>
          <w:p>
            <w:pPr>
              <w:pStyle w:val="Compact"/>
              <w:jc w:val="left"/>
            </w:pPr>
            <w:r>
              <w:t xml:space="preserve">Unit test pass rate variance</w:t>
            </w:r>
          </w:p>
        </w:tc>
        <w:tc>
          <w:tcPr/>
          <w:p>
            <w:pPr>
              <w:pStyle w:val="Compact"/>
              <w:jc w:val="left"/>
            </w:pPr>
            <w:r>
              <w:t xml:space="preserve">Tokens + compile time</w:t>
            </w:r>
          </w:p>
        </w:tc>
        <w:tc>
          <w:tcPr/>
          <w:p>
            <w:pPr>
              <w:pStyle w:val="Compact"/>
              <w:jc w:val="left"/>
            </w:pPr>
            <w:r>
              <w:t xml:space="preserve">≤10 patches; optimal at 2–3</w:t>
            </w:r>
            <w:r>
              <w:t xml:space="preserve"> </w:t>
            </w:r>
            <w:fldSimple w:instr="NOTEREF _Ref_Footnote_63 \h \f">
              <w:r>
                <w:rPr>
                  <w:vertAlign w:val="superscript"/>
                </w:rPr>
                <w:t>63</w:t>
              </w:r>
            </w:fldSimple>
          </w:p>
        </w:tc>
        <w:tc>
          <w:tcPr/>
          <w:p>
            <w:pPr>
              <w:pStyle w:val="Compact"/>
              <w:jc w:val="left"/>
            </w:pPr>
            <w:r>
              <w:t xml:space="preserve">First patch most likely correct</w:t>
            </w:r>
          </w:p>
        </w:tc>
      </w:tr>
      <w:tr>
        <w:tc>
          <w:tcPr/>
          <w:p>
            <w:pPr>
              <w:pStyle w:val="Compact"/>
              <w:jc w:val="left"/>
            </w:pPr>
            <w:r>
              <w:t xml:space="preserve">QA / factuality</w:t>
            </w:r>
          </w:p>
        </w:tc>
        <w:tc>
          <w:tcPr/>
          <w:p>
            <w:pPr>
              <w:pStyle w:val="Compact"/>
              <w:jc w:val="left"/>
            </w:pPr>
            <w:r>
              <w:t xml:space="preserve">Claim-level NLI disagreement</w:t>
            </w:r>
          </w:p>
        </w:tc>
        <w:tc>
          <w:tcPr/>
          <w:p>
            <w:pPr>
              <w:pStyle w:val="Compact"/>
              <w:jc w:val="left"/>
            </w:pPr>
            <w:r>
              <w:t xml:space="preserve">Tokens + retrieval latency</w:t>
            </w:r>
          </w:p>
        </w:tc>
        <w:tc>
          <w:tcPr/>
          <w:p>
            <w:pPr>
              <w:pStyle w:val="Compact"/>
              <w:jc w:val="left"/>
            </w:pPr>
            <w:r>
              <w:t xml:space="preserve">1 iteration</w:t>
            </w:r>
            <w:r>
              <w:t xml:space="preserve"> </w:t>
            </w:r>
            <w:fldSimple w:instr="NOTEREF _Ref_Footnote_27 \h \f">
              <w:r>
                <w:rPr>
                  <w:vertAlign w:val="superscript"/>
                </w:rPr>
                <w:t>27</w:t>
              </w:r>
            </w:fldSimple>
          </w:p>
        </w:tc>
        <w:tc>
          <w:tcPr/>
          <w:p>
            <w:pPr>
              <w:pStyle w:val="Compact"/>
              <w:jc w:val="left"/>
            </w:pPr>
            <w:r>
              <w:t xml:space="preserve">Single verification cycle sufficient</w:t>
            </w:r>
          </w:p>
        </w:tc>
      </w:tr>
      <w:tr>
        <w:tc>
          <w:tcPr/>
          <w:p>
            <w:pPr>
              <w:pStyle w:val="Compact"/>
              <w:jc w:val="left"/>
            </w:pPr>
            <w:r>
              <w:t xml:space="preserve">Open-ended generation</w:t>
            </w:r>
          </w:p>
        </w:tc>
        <w:tc>
          <w:tcPr/>
          <w:p>
            <w:pPr>
              <w:pStyle w:val="Compact"/>
              <w:jc w:val="left"/>
            </w:pPr>
            <w:r>
              <w:t xml:space="preserve">Entropy of candidate set</w:t>
            </w:r>
          </w:p>
        </w:tc>
        <w:tc>
          <w:tcPr/>
          <w:p>
            <w:pPr>
              <w:pStyle w:val="Compact"/>
              <w:jc w:val="left"/>
            </w:pPr>
            <w:r>
              <w:t xml:space="preserve">Tokens + judge latency</w:t>
            </w:r>
          </w:p>
        </w:tc>
        <w:tc>
          <w:tcPr/>
          <w:p>
            <w:pPr>
              <w:pStyle w:val="Compact"/>
              <w:jc w:val="left"/>
            </w:pPr>
            <w:r>
              <w:t xml:space="preserve">3–4 iterations</w:t>
            </w:r>
            <w:r>
              <w:t xml:space="preserve"> </w:t>
            </w:r>
            <w:fldSimple w:instr="NOTEREF _Ref_Footnote_51 \h \f">
              <w:r>
                <w:rPr>
                  <w:vertAlign w:val="superscript"/>
                </w:rPr>
                <w:t>51</w:t>
              </w:r>
            </w:fldSimple>
          </w:p>
        </w:tc>
        <w:tc>
          <w:tcPr/>
          <w:p>
            <w:pPr>
              <w:pStyle w:val="Compact"/>
              <w:jc w:val="left"/>
            </w:pPr>
            <w:r>
              <w:t xml:space="preserve">SELF-REFINE max</w:t>
            </w:r>
            <w:r>
              <w:t xml:space="preserve"> </w:t>
            </w:r>
            <m:oMath>
              <m:r>
                <m:t>k</m:t>
              </m:r>
              <m:r>
                <m:rPr>
                  <m:sty m:val="p"/>
                </m:rPr>
                <m:t>=</m:t>
              </m:r>
              <m:r>
                <m:t>3</m:t>
              </m:r>
            </m:oMath>
            <w:r>
              <w:t xml:space="preserve"> </w:t>
            </w:r>
            <w:r>
              <w:t xml:space="preserve">optimal</w:t>
            </w:r>
          </w:p>
        </w:tc>
      </w:tr>
      <w:tr>
        <w:tc>
          <w:tcPr/>
          <w:p>
            <w:pPr>
              <w:pStyle w:val="Compact"/>
              <w:jc w:val="left"/>
            </w:pPr>
            <w:r>
              <w:t xml:space="preserve">Proactive refinement</w:t>
            </w:r>
          </w:p>
        </w:tc>
        <w:tc>
          <w:tcPr/>
          <w:p>
            <w:pPr>
              <w:pStyle w:val="Compact"/>
              <w:jc w:val="left"/>
            </w:pPr>
            <w:r>
              <w:t xml:space="preserve">Trajectory confidence score</w:t>
            </w:r>
          </w:p>
        </w:tc>
        <w:tc>
          <w:tcPr/>
          <w:p>
            <w:pPr>
              <w:pStyle w:val="Compact"/>
              <w:jc w:val="left"/>
            </w:pPr>
            <w:r>
              <w:t xml:space="preserve">Interrupt + restart tokens</w:t>
            </w:r>
          </w:p>
        </w:tc>
        <w:tc>
          <w:tcPr/>
          <w:p>
            <w:pPr>
              <w:pStyle w:val="Compact"/>
              <w:jc w:val="left"/>
            </w:pPr>
            <w:r>
              <w:t xml:space="preserve">Mid-generation, 0–2 restarts</w:t>
            </w:r>
            <w:r>
              <w:t xml:space="preserve"> </w:t>
            </w:r>
            <w:fldSimple w:instr="NOTEREF _Ref_Footnote_16 \h \f">
              <w:r>
                <w:rPr>
                  <w:vertAlign w:val="superscript"/>
                </w:rPr>
                <w:t>16</w:t>
              </w:r>
            </w:fldSimple>
          </w:p>
        </w:tc>
        <w:tc>
          <w:tcPr/>
          <w:p>
            <w:pPr>
              <w:pStyle w:val="Compact"/>
              <w:jc w:val="left"/>
            </w:pPr>
            <w:r>
              <w:t xml:space="preserve">PASR conditional on uncertainty</w:t>
            </w:r>
          </w:p>
        </w:tc>
      </w:tr>
    </w:tbl>
    <w:p>
      <w:pPr>
        <w:pStyle w:val="BodyText"/>
      </w:pPr>
      <w:r>
        <w:t xml:space="preserve">The epistemic-pragmatic balance is not merely a theoretical construct; it is instantiated in the design choices of working systems. DeepSeek-R1-Zero spontaneously developed self-verification and reflection behaviors through pure RL, with the frequency of reflective terms (</w:t>
      </w:r>
      <w:r>
        <w:t xml:space="preserve">“</w:t>
      </w:r>
      <w:r>
        <w:t xml:space="preserve">wait,</w:t>
      </w:r>
      <w:r>
        <w:t xml:space="preserve">”</w:t>
      </w:r>
      <w:r>
        <w:t xml:space="preserve"> </w:t>
      </w:r>
      <w:r>
        <w:t xml:space="preserve">“</w:t>
      </w:r>
      <w:r>
        <w:t xml:space="preserve">verify,</w:t>
      </w:r>
      <w:r>
        <w:t xml:space="preserve">”</w:t>
      </w:r>
      <w:r>
        <w:t xml:space="preserve"> </w:t>
      </w:r>
      <w:r>
        <w:t xml:space="preserve">“</w:t>
      </w:r>
      <w:r>
        <w:t xml:space="preserve">check</w:t>
      </w:r>
      <w:r>
        <w:t xml:space="preserve">”</w:t>
      </w:r>
      <w:r>
        <w:t xml:space="preserve">) increasing throughout training</w:t>
      </w:r>
      <w:r>
        <w:t xml:space="preserve"> </w:t>
      </w:r>
      <w:fldSimple w:instr="NOTEREF _Ref_Footnote_35 \h \f">
        <w:r>
          <w:rPr>
            <w:vertAlign w:val="superscript"/>
          </w:rPr>
          <w:t>35</w:t>
        </w:r>
      </w:fldSimple>
      <w:r>
        <w:t xml:space="preserve">. This emergent behavior suggests that the EFE objective, when approximated through rule-based rewards on verifiable outcomes, naturally induces the epistemic drive to seek additional information before committing.</w:t>
      </w:r>
    </w:p>
    <w:p>
      <w:pPr>
        <w:pStyle w:val="BodyText"/>
      </w:pPr>
      <w:r>
        <w:t xml:space="preserve">Precision weighting provides a complementary control mechanism. In Active Inference, the prior over policies is</w:t>
      </w:r>
      <w:r>
        <w:t xml:space="preserve"> </w:t>
      </w:r>
      <m:oMath>
        <m:sSub>
          <m:e>
            <m:r>
              <m:t>π</m:t>
            </m:r>
          </m:e>
          <m:sub>
            <m:r>
              <m:t>0</m:t>
            </m:r>
          </m:sub>
        </m:sSub>
        <m:r>
          <m:rPr>
            <m:sty m:val="p"/>
          </m:rPr>
          <m:t>=</m:t>
        </m:r>
        <m:r>
          <m:t>σ</m:t>
        </m:r>
        <m:d>
          <m:dPr>
            <m:begChr m:val="("/>
            <m:endChr m:val=")"/>
            <m:sepChr m:val=""/>
            <m:grow/>
          </m:dPr>
          <m:e>
            <m:r>
              <m:rPr>
                <m:sty m:val="p"/>
              </m:rPr>
              <m:t>−</m:t>
            </m:r>
            <m:r>
              <m:t>γ</m:t>
            </m:r>
            <m:r>
              <m:rPr>
                <m:sty m:val="p"/>
              </m:rPr>
              <m:t>⋅</m:t>
            </m:r>
            <m:r>
              <m:t>G</m:t>
            </m:r>
          </m:e>
        </m:d>
      </m:oMath>
      <w:r>
        <w:t xml:space="preserve">, where</w:t>
      </w:r>
      <w:r>
        <w:t xml:space="preserve"> </w:t>
      </w:r>
      <m:oMath>
        <m:r>
          <m:t>γ</m:t>
        </m:r>
      </m:oMath>
      <w:r>
        <w:t xml:space="preserve"> </w:t>
      </w:r>
      <w:r>
        <w:t xml:space="preserve">is an inverse precision (temperature) parameter that governs exploration-exploitation balance. High precision (</w:t>
      </w:r>
      <m:oMath>
        <m:r>
          <m:t>γ</m:t>
        </m:r>
        <m:r>
          <m:rPr>
            <m:sty m:val="p"/>
          </m:rPr>
          <m:t>→</m:t>
        </m:r>
        <m:r>
          <m:rPr>
            <m:sty m:val="p"/>
          </m:rPr>
          <m:t>∞</m:t>
        </m:r>
      </m:oMath>
      <w:r>
        <w:t xml:space="preserve">) makes the agent almost deterministic, selecting the single policy with lowest EFE; low precision permits broader exploration. In Rex terms, safety-critical constraints should operate at infinite precision (hard constraints that must never be violated), while creative or exploratory tasks can use lower precision to permit a broader search over candidate policies. The precision scheduler thus becomes a runtime-configurable safety dial: high precision for verification gates, lower precision for proposal generation.</w:t>
      </w:r>
    </w:p>
    <w:p>
      <w:pPr>
        <w:pStyle w:val="BodyText"/>
      </w:pPr>
      <w:r>
        <w:t xml:space="preserve">For the deterministic substrate, the operational protocol is: (1)</w:t>
      </w:r>
      <w:r>
        <w:t xml:space="preserve"> </w:t>
      </w:r>
      <w:r>
        <w:rPr>
          <w:bCs/>
          <w:b/>
        </w:rPr>
        <w:t xml:space="preserve">Propose</w:t>
      </w:r>
      <w:r>
        <w:t xml:space="preserve"> </w:t>
      </w:r>
      <w:r>
        <w:t xml:space="preserve">with multiple candidates when epistemic uncertainty is high (high VFE after initial generation), using a temperature-tuned sampling policy that balances diversity against coherence; (2)</w:t>
      </w:r>
      <w:r>
        <w:t xml:space="preserve"> </w:t>
      </w:r>
      <w:r>
        <w:rPr>
          <w:bCs/>
          <w:b/>
        </w:rPr>
        <w:t xml:space="preserve">Extract</w:t>
      </w:r>
      <w:r>
        <w:t xml:space="preserve"> </w:t>
      </w:r>
      <w:r>
        <w:t xml:space="preserve">and</w:t>
      </w:r>
      <w:r>
        <w:t xml:space="preserve"> </w:t>
      </w:r>
      <w:r>
        <w:rPr>
          <w:bCs/>
          <w:b/>
        </w:rPr>
        <w:t xml:space="preserve">Constrain</w:t>
      </w:r>
      <w:r>
        <w:t xml:space="preserve"> </w:t>
      </w:r>
      <w:r>
        <w:t xml:space="preserve">with hard priors that generate infinite prediction error on violation, encoded as executable ontological rules that can be checked in milliseconds; (3)</w:t>
      </w:r>
      <w:r>
        <w:t xml:space="preserve"> </w:t>
      </w:r>
      <w:r>
        <w:rPr>
          <w:bCs/>
          <w:b/>
        </w:rPr>
        <w:t xml:space="preserve">Verify</w:t>
      </w:r>
      <w:r>
        <w:t xml:space="preserve"> </w:t>
      </w:r>
      <w:r>
        <w:t xml:space="preserve">via external tools, not self-evaluation, with staged verification—fast path for syntactic and type constraints, medium path for unit-test execution, slow path for formal proof when available; (4)</w:t>
      </w:r>
      <w:r>
        <w:t xml:space="preserve"> </w:t>
      </w:r>
      <w:r>
        <w:rPr>
          <w:bCs/>
          <w:b/>
        </w:rPr>
        <w:t xml:space="preserve">Repair</w:t>
      </w:r>
      <w:r>
        <w:t xml:space="preserve"> </w:t>
      </w:r>
      <w:r>
        <w:t xml:space="preserve">only if the expected information gain from another iteration exceeds a token-cost threshold, computed from the variance of recent repair outcomes; (5)</w:t>
      </w:r>
      <w:r>
        <w:t xml:space="preserve"> </w:t>
      </w:r>
      <w:r>
        <w:rPr>
          <w:bCs/>
          <w:b/>
        </w:rPr>
        <w:t xml:space="preserve">Commit</w:t>
      </w:r>
      <w:r>
        <w:t xml:space="preserve"> </w:t>
      </w:r>
      <w:r>
        <w:t xml:space="preserve">when VFE falls below a precision-weighted bound, with the commitment logged as an immutable state transition for deterministic replay.</w:t>
      </w:r>
    </w:p>
    <w:p>
      <w:pPr>
        <w:pStyle w:val="BodyText"/>
      </w:pPr>
      <w:r>
        <w:t xml:space="preserve">The convergence of these lines of evidence—empirical repair loop studies, GRPO training dynamics, and Active Inference formalism—suggests that reliable self-correction is achievable, but only under strict architectural preconditions. External verification is non-negotiable: the 64.5% blind spot for intrinsic correction</w:t>
      </w:r>
      <w:r>
        <w:t xml:space="preserve"> </w:t>
      </w:r>
      <w:fldSimple w:instr="NOTEREF _Ref_Footnote_4 \h \f">
        <w:r>
          <w:rPr>
            <w:vertAlign w:val="superscript"/>
          </w:rPr>
          <w:t>4</w:t>
        </w:r>
      </w:fldSimple>
      <w:r>
        <w:t xml:space="preserve">means that any loop without tool augmentation is structurally unreliable. Rule-based rewards are essential: learned reward models invite hacking</w:t>
      </w:r>
      <w:r>
        <w:t xml:space="preserve"> </w:t>
      </w:r>
      <w:fldSimple w:instr="NOTEREF _Ref_Footnote_50 \h \f">
        <w:r>
          <w:rPr>
            <w:vertAlign w:val="superscript"/>
          </w:rPr>
          <w:t>50</w:t>
        </w:r>
      </w:fldSimple>
      <w:r>
        <w:t xml:space="preserve">. And proactive refinement outperforms post-hoc repair when the training signal is clean</w:t>
      </w:r>
      <w:r>
        <w:t xml:space="preserve"> </w:t>
      </w:r>
      <w:fldSimple w:instr="NOTEREF _Ref_Footnote_16 \h \f">
        <w:r>
          <w:rPr>
            <w:vertAlign w:val="superscript"/>
          </w:rPr>
          <w:t>16</w:t>
        </w:r>
      </w:fldSimple>
      <w:r>
        <w:t xml:space="preserve">. The substrate that integrates these findings—tool-augmented verification, GRPO-trained reasoning, and EFE-governed stopping—represents a significant departure from standard inference pipelines, but one that the empirical literature increasingly supports.</w:t>
      </w:r>
    </w:p>
    <w:p>
      <w:r>
        <w:pict>
          <v:rect style="width:0;height:1.5pt" o:hralign="center" o:hrstd="t" o:hr="t"/>
        </w:pict>
      </w:r>
    </w:p>
    <w:bookmarkEnd w:id="115"/>
    <w:bookmarkEnd w:id="116"/>
    <w:bookmarkEnd w:id="117"/>
    <w:bookmarkStart w:id="133" w:name="Xea22edb6f75a7c6e78381007dcb8e1ae614bdb2"/>
    <w:p>
      <w:pPr>
        <w:pStyle w:val="Heading1"/>
      </w:pPr>
      <w:r>
        <w:t xml:space="preserve">7. Apple Silicon as Deterministic AI Platform</w:t>
      </w:r>
    </w:p>
    <w:p>
      <w:pPr>
        <w:pStyle w:val="FirstParagraph"/>
      </w:pPr>
      <w:r>
        <w:t xml:space="preserve">Apple Silicon occupies a unique position in the landscape of AI compute substrates. Where discrete GPU ecosystems rely on Peripheral Component Interconnect Express (PCIe) buses to shuttle tensors between host Dynamic Random Access Memory (DRAM) and device Video Random Access Memory (VRAM), Apple Silicon’s Unified Memory Architecture (UMA) places the CPU, GPU, and Apple Neural Engine (ANE) within a single physical memory pool. This architectural choice eliminates the data-movement non-determinism that plagues multi-device inference pipelines and creates a substrate where deterministic execution is not merely achievable but structurally favored. The combination of UMA zero-copy semantics, deterministic Metal kernel scheduling, and the Swift 6 + Rust + UniFFI memory-safe bridging layer produces a</w:t>
      </w:r>
      <w:r>
        <w:t xml:space="preserve"> </w:t>
      </w:r>
      <w:r>
        <w:t xml:space="preserve">“</w:t>
      </w:r>
      <w:r>
        <w:t xml:space="preserve">determinism stack</w:t>
      </w:r>
      <w:r>
        <w:t xml:space="preserve">”</w:t>
      </w:r>
      <w:r>
        <w:t xml:space="preserve"> </w:t>
      </w:r>
      <w:r>
        <w:t xml:space="preserve">that cloud GPU instances cannot replicate.</w:t>
      </w:r>
      <w:r>
        <w:t xml:space="preserve"> </w:t>
      </w:r>
      <w:fldSimple w:instr="NOTEREF _Ref_Footnote_20 \h \f">
        <w:r>
          <w:rPr>
            <w:vertAlign w:val="superscript"/>
          </w:rPr>
          <w:t>20</w:t>
        </w:r>
      </w:fldSimple>
      <w:r>
        <w:t xml:space="preserve"> </w:t>
      </w:r>
      <w:fldSimple w:instr="NOTEREF _Ref_Footnote_17 \h \f">
        <w:r>
          <w:rPr>
            <w:vertAlign w:val="superscript"/>
          </w:rPr>
          <w:t>17</w:t>
        </w:r>
      </w:fldSimple>
      <w:r>
        <w:t xml:space="preserve">## 7.1 The Unified Memory Advantage</w:t>
      </w:r>
    </w:p>
    <w:bookmarkStart w:id="118" w:name="Xd48280292c170c24ae558a466d8436907354b77"/>
    <w:p>
      <w:pPr>
        <w:pStyle w:val="Heading3"/>
      </w:pPr>
      <w:r>
        <w:t xml:space="preserve">7.1.1 Bandwidth, Capacity, and the Absence of PCIe</w:t>
      </w:r>
    </w:p>
    <w:p>
      <w:pPr>
        <w:pStyle w:val="FirstParagraph"/>
      </w:pPr>
      <w:r>
        <w:t xml:space="preserve">The M4 Max delivers 546 GB/s of unified memory bandwidth across a 128 GB pool, while the M3 Ultra in the Mac Studio expands this to 512 GB of unified memory at 800 GB/s</w:t>
      </w:r>
      <w:r>
        <w:t xml:space="preserve"> </w:t>
      </w:r>
      <w:fldSimple w:instr="NOTEREF _Ref_Footnote_20 \h \f">
        <w:r>
          <w:rPr>
            <w:vertAlign w:val="superscript"/>
          </w:rPr>
          <w:t>20</w:t>
        </w:r>
      </w:fldSimple>
      <w:r>
        <w:t xml:space="preserve"> </w:t>
      </w:r>
      <w:fldSimple w:instr="NOTEREF _Ref_Footnote_24 \h \f">
        <w:r>
          <w:rPr>
            <w:vertAlign w:val="superscript"/>
          </w:rPr>
          <w:t>24</w:t>
        </w:r>
      </w:fldSimple>
      <w:r>
        <w:t xml:space="preserve">. These figures describe the same pool that the CPU cores, GPU cores, and ANE all access. There is no host-to-device copy, no NVLink bridge, and no PCIe lane saturation. A tensor allocated by a Swift array, written by a Rust kernel, or textured by a Metal shader occupies the same physical pages.</w:t>
      </w:r>
    </w:p>
    <w:p>
      <w:pPr>
        <w:pStyle w:val="BodyText"/>
      </w:pPr>
      <w:r>
        <w:t xml:space="preserve">The architectural implication for large model inference is profound. A 70-billion-parameter model quantized to 4 bits (Q4) occupies approximately 40 GB. On an M4 Max with 128 GB of unified memory, the entire model, KV cache, and working buffers coexist in the same address space. On a discrete GPU system such as the NVIDIA RTX 4090 with 24 GB of VRAM, the same model must be partitioned across VRAM and system DRAM, with the 64 GB/s PCIe link becoming the bottleneck. Empirical measurements show the M4 Max achieving 28 tok/s on a 70B Q4 model versus 10 tok/s on the RTX 4090, despite the RTX 4090 possessing nearly double the raw VRAM bandwidth (1,008 GB/s versus 546 GB/s)</w:t>
      </w:r>
      <w:r>
        <w:t xml:space="preserve"> </w:t>
      </w:r>
      <w:fldSimple w:instr="NOTEREF _Ref_Footnote_20 \h \f">
        <w:r>
          <w:rPr>
            <w:vertAlign w:val="superscript"/>
          </w:rPr>
          <w:t>20</w:t>
        </w:r>
      </w:fldSimple>
      <w:r>
        <w:t xml:space="preserve">. The unified architecture erases the bandwidth cliff that discrete systems encounter when working sets exceed VRAM capacity.</w:t>
      </w:r>
    </w:p>
    <w:tbl>
      <w:tblPr>
        <w:tblStyle w:val="Table"/>
        <w:tblW w:type="pct" w:w="5000"/>
        <w:tblLook w:firstRow="1" w:lastRow="0" w:firstColumn="0" w:lastColumn="0" w:noHBand="0" w:noVBand="0" w:val="0020"/>
      </w:tblPr>
      <w:tblGrid>
        <w:gridCol w:w="586"/>
        <w:gridCol w:w="1075"/>
        <w:gridCol w:w="1075"/>
        <w:gridCol w:w="1173"/>
        <w:gridCol w:w="880"/>
        <w:gridCol w:w="1760"/>
        <w:gridCol w:w="1368"/>
      </w:tblGrid>
      <w:tr>
        <w:trPr>
          <w:tblHeader w:val="true"/>
        </w:trPr>
        <w:tc>
          <w:tcPr/>
          <w:p>
            <w:pPr>
              <w:pStyle w:val="Compact"/>
              <w:jc w:val="left"/>
            </w:pPr>
            <w:r>
              <w:t xml:space="preserve">Chip</w:t>
            </w:r>
          </w:p>
        </w:tc>
        <w:tc>
          <w:tcPr/>
          <w:p>
            <w:pPr>
              <w:pStyle w:val="Compact"/>
              <w:jc w:val="left"/>
            </w:pPr>
            <w:r>
              <w:t xml:space="preserve">CPU Cores</w:t>
            </w:r>
          </w:p>
        </w:tc>
        <w:tc>
          <w:tcPr/>
          <w:p>
            <w:pPr>
              <w:pStyle w:val="Compact"/>
              <w:jc w:val="left"/>
            </w:pPr>
            <w:r>
              <w:t xml:space="preserve">GPU Cores</w:t>
            </w:r>
          </w:p>
        </w:tc>
        <w:tc>
          <w:tcPr/>
          <w:p>
            <w:pPr>
              <w:pStyle w:val="Compact"/>
              <w:jc w:val="left"/>
            </w:pPr>
            <w:r>
              <w:t xml:space="preserve">ANE (TOPS)</w:t>
            </w:r>
          </w:p>
        </w:tc>
        <w:tc>
          <w:tcPr/>
          <w:p>
            <w:pPr>
              <w:pStyle w:val="Compact"/>
              <w:jc w:val="left"/>
            </w:pPr>
            <w:r>
              <w:t xml:space="preserve">Max RAM</w:t>
            </w:r>
          </w:p>
        </w:tc>
        <w:tc>
          <w:tcPr/>
          <w:p>
            <w:pPr>
              <w:pStyle w:val="Compact"/>
              <w:jc w:val="left"/>
            </w:pPr>
            <w:r>
              <w:t xml:space="preserve">Memory Bandwidth</w:t>
            </w:r>
          </w:p>
        </w:tc>
        <w:tc>
          <w:tcPr/>
          <w:p>
            <w:pPr>
              <w:pStyle w:val="Compact"/>
              <w:jc w:val="left"/>
            </w:pPr>
            <w:r>
              <w:t xml:space="preserve">Process Node</w:t>
            </w:r>
          </w:p>
        </w:tc>
      </w:tr>
      <w:tr>
        <w:tc>
          <w:tcPr/>
          <w:p>
            <w:pPr>
              <w:pStyle w:val="Compact"/>
              <w:jc w:val="left"/>
            </w:pPr>
            <w:r>
              <w:t xml:space="preserve">M1 Max</w:t>
            </w:r>
          </w:p>
        </w:tc>
        <w:tc>
          <w:tcPr/>
          <w:p>
            <w:pPr>
              <w:pStyle w:val="Compact"/>
              <w:jc w:val="left"/>
            </w:pPr>
            <w:r>
              <w:t xml:space="preserve">10 (8P+2E)</w:t>
            </w:r>
          </w:p>
        </w:tc>
        <w:tc>
          <w:tcPr/>
          <w:p>
            <w:pPr>
              <w:pStyle w:val="Compact"/>
              <w:jc w:val="left"/>
            </w:pPr>
            <w:r>
              <w:t xml:space="preserve">32</w:t>
            </w:r>
          </w:p>
        </w:tc>
        <w:tc>
          <w:tcPr/>
          <w:p>
            <w:pPr>
              <w:pStyle w:val="Compact"/>
              <w:jc w:val="left"/>
            </w:pPr>
            <w:r>
              <w:t xml:space="preserve">11</w:t>
            </w:r>
          </w:p>
        </w:tc>
        <w:tc>
          <w:tcPr/>
          <w:p>
            <w:pPr>
              <w:pStyle w:val="Compact"/>
              <w:jc w:val="left"/>
            </w:pPr>
            <w:r>
              <w:t xml:space="preserve">64 GB</w:t>
            </w:r>
          </w:p>
        </w:tc>
        <w:tc>
          <w:tcPr/>
          <w:p>
            <w:pPr>
              <w:pStyle w:val="Compact"/>
              <w:jc w:val="left"/>
            </w:pPr>
            <w:r>
              <w:t xml:space="preserve">400 GB/s</w:t>
            </w:r>
            <w:r>
              <w:t xml:space="preserve"> </w:t>
            </w:r>
            <w:fldSimple w:instr="NOTEREF _Ref_Footnote_61 \h \f">
              <w:r>
                <w:rPr>
                  <w:vertAlign w:val="superscript"/>
                </w:rPr>
                <w:t>61</w:t>
              </w:r>
            </w:fldSimple>
          </w:p>
        </w:tc>
        <w:tc>
          <w:tcPr/>
          <w:p>
            <w:pPr>
              <w:pStyle w:val="Compact"/>
              <w:jc w:val="left"/>
            </w:pPr>
            <w:r>
              <w:t xml:space="preserve">5 nm</w:t>
            </w:r>
          </w:p>
        </w:tc>
      </w:tr>
      <w:tr>
        <w:tc>
          <w:tcPr/>
          <w:p>
            <w:pPr>
              <w:pStyle w:val="Compact"/>
              <w:jc w:val="left"/>
            </w:pPr>
            <w:r>
              <w:t xml:space="preserve">M2 Max</w:t>
            </w:r>
          </w:p>
        </w:tc>
        <w:tc>
          <w:tcPr/>
          <w:p>
            <w:pPr>
              <w:pStyle w:val="Compact"/>
              <w:jc w:val="left"/>
            </w:pPr>
            <w:r>
              <w:t xml:space="preserve">12 (8P+4E)</w:t>
            </w:r>
          </w:p>
        </w:tc>
        <w:tc>
          <w:tcPr/>
          <w:p>
            <w:pPr>
              <w:pStyle w:val="Compact"/>
              <w:jc w:val="left"/>
            </w:pPr>
            <w:r>
              <w:t xml:space="preserve">38</w:t>
            </w:r>
          </w:p>
        </w:tc>
        <w:tc>
          <w:tcPr/>
          <w:p>
            <w:pPr>
              <w:pStyle w:val="Compact"/>
              <w:jc w:val="left"/>
            </w:pPr>
            <w:r>
              <w:t xml:space="preserve">15.8</w:t>
            </w:r>
          </w:p>
        </w:tc>
        <w:tc>
          <w:tcPr/>
          <w:p>
            <w:pPr>
              <w:pStyle w:val="Compact"/>
              <w:jc w:val="left"/>
            </w:pPr>
            <w:r>
              <w:t xml:space="preserve">96 GB</w:t>
            </w:r>
          </w:p>
        </w:tc>
        <w:tc>
          <w:tcPr/>
          <w:p>
            <w:pPr>
              <w:pStyle w:val="Compact"/>
              <w:jc w:val="left"/>
            </w:pPr>
            <w:r>
              <w:t xml:space="preserve">400 GB/s</w:t>
            </w:r>
            <w:r>
              <w:t xml:space="preserve"> </w:t>
            </w:r>
            <w:fldSimple w:instr="NOTEREF _Ref_Footnote_61 \h \f">
              <w:r>
                <w:rPr>
                  <w:vertAlign w:val="superscript"/>
                </w:rPr>
                <w:t>61</w:t>
              </w:r>
            </w:fldSimple>
          </w:p>
        </w:tc>
        <w:tc>
          <w:tcPr/>
          <w:p>
            <w:pPr>
              <w:pStyle w:val="Compact"/>
              <w:jc w:val="left"/>
            </w:pPr>
            <w:r>
              <w:t xml:space="preserve">5 nm</w:t>
            </w:r>
          </w:p>
        </w:tc>
      </w:tr>
      <w:tr>
        <w:tc>
          <w:tcPr/>
          <w:p>
            <w:pPr>
              <w:pStyle w:val="Compact"/>
              <w:jc w:val="left"/>
            </w:pPr>
            <w:r>
              <w:t xml:space="preserve">M3 Max</w:t>
            </w:r>
          </w:p>
        </w:tc>
        <w:tc>
          <w:tcPr/>
          <w:p>
            <w:pPr>
              <w:pStyle w:val="Compact"/>
              <w:jc w:val="left"/>
            </w:pPr>
            <w:r>
              <w:t xml:space="preserve">16 (12P+4E)</w:t>
            </w:r>
          </w:p>
        </w:tc>
        <w:tc>
          <w:tcPr/>
          <w:p>
            <w:pPr>
              <w:pStyle w:val="Compact"/>
              <w:jc w:val="left"/>
            </w:pPr>
            <w:r>
              <w:t xml:space="preserve">40</w:t>
            </w:r>
          </w:p>
        </w:tc>
        <w:tc>
          <w:tcPr/>
          <w:p>
            <w:pPr>
              <w:pStyle w:val="Compact"/>
              <w:jc w:val="left"/>
            </w:pPr>
            <w:r>
              <w:t xml:space="preserve">18</w:t>
            </w:r>
          </w:p>
        </w:tc>
        <w:tc>
          <w:tcPr/>
          <w:p>
            <w:pPr>
              <w:pStyle w:val="Compact"/>
              <w:jc w:val="left"/>
            </w:pPr>
            <w:r>
              <w:t xml:space="preserve">128 GB</w:t>
            </w:r>
          </w:p>
        </w:tc>
        <w:tc>
          <w:tcPr/>
          <w:p>
            <w:pPr>
              <w:pStyle w:val="Compact"/>
              <w:jc w:val="left"/>
            </w:pPr>
            <w:r>
              <w:t xml:space="preserve">400 GB/s</w:t>
            </w:r>
            <w:r>
              <w:t xml:space="preserve"> </w:t>
            </w:r>
            <w:fldSimple w:instr="NOTEREF _Ref_Footnote_61 \h \f">
              <w:r>
                <w:rPr>
                  <w:vertAlign w:val="superscript"/>
                </w:rPr>
                <w:t>61</w:t>
              </w:r>
            </w:fldSimple>
          </w:p>
        </w:tc>
        <w:tc>
          <w:tcPr/>
          <w:p>
            <w:pPr>
              <w:pStyle w:val="Compact"/>
              <w:jc w:val="left"/>
            </w:pPr>
            <w:r>
              <w:t xml:space="preserve">3 nm</w:t>
            </w:r>
          </w:p>
        </w:tc>
      </w:tr>
      <w:tr>
        <w:tc>
          <w:tcPr/>
          <w:p>
            <w:pPr>
              <w:pStyle w:val="Compact"/>
              <w:jc w:val="left"/>
            </w:pPr>
            <w:r>
              <w:t xml:space="preserve">M4 Max</w:t>
            </w:r>
          </w:p>
        </w:tc>
        <w:tc>
          <w:tcPr/>
          <w:p>
            <w:pPr>
              <w:pStyle w:val="Compact"/>
              <w:jc w:val="left"/>
            </w:pPr>
            <w:r>
              <w:t xml:space="preserve">16 (12P+4E)</w:t>
            </w:r>
          </w:p>
        </w:tc>
        <w:tc>
          <w:tcPr/>
          <w:p>
            <w:pPr>
              <w:pStyle w:val="Compact"/>
              <w:jc w:val="left"/>
            </w:pPr>
            <w:r>
              <w:t xml:space="preserve">40</w:t>
            </w:r>
          </w:p>
        </w:tc>
        <w:tc>
          <w:tcPr/>
          <w:p>
            <w:pPr>
              <w:pStyle w:val="Compact"/>
              <w:jc w:val="left"/>
            </w:pPr>
            <w:r>
              <w:t xml:space="preserve">38</w:t>
            </w:r>
          </w:p>
        </w:tc>
        <w:tc>
          <w:tcPr/>
          <w:p>
            <w:pPr>
              <w:pStyle w:val="Compact"/>
              <w:jc w:val="left"/>
            </w:pPr>
            <w:r>
              <w:t xml:space="preserve">128 GB</w:t>
            </w:r>
          </w:p>
        </w:tc>
        <w:tc>
          <w:tcPr/>
          <w:p>
            <w:pPr>
              <w:pStyle w:val="Compact"/>
              <w:jc w:val="left"/>
            </w:pPr>
            <w:r>
              <w:t xml:space="preserve">546 GB/s</w:t>
            </w:r>
            <w:r>
              <w:t xml:space="preserve"> </w:t>
            </w:r>
            <w:fldSimple w:instr="NOTEREF _Ref_Footnote_20 \h \f">
              <w:r>
                <w:rPr>
                  <w:vertAlign w:val="superscript"/>
                </w:rPr>
                <w:t>20</w:t>
              </w:r>
            </w:fldSimple>
          </w:p>
        </w:tc>
        <w:tc>
          <w:tcPr/>
          <w:p>
            <w:pPr>
              <w:pStyle w:val="Compact"/>
              <w:jc w:val="left"/>
            </w:pPr>
            <w:r>
              <w:t xml:space="preserve">3 nm (N3E)</w:t>
            </w:r>
          </w:p>
        </w:tc>
      </w:tr>
      <w:tr>
        <w:tc>
          <w:tcPr/>
          <w:p>
            <w:pPr>
              <w:pStyle w:val="Compact"/>
              <w:jc w:val="left"/>
            </w:pPr>
            <w:r>
              <w:t xml:space="preserve">M3 Ultra</w:t>
            </w:r>
          </w:p>
        </w:tc>
        <w:tc>
          <w:tcPr/>
          <w:p>
            <w:pPr>
              <w:pStyle w:val="Compact"/>
              <w:jc w:val="left"/>
            </w:pPr>
            <w:r>
              <w:t xml:space="preserve">24 (16P+8E)</w:t>
            </w:r>
          </w:p>
        </w:tc>
        <w:tc>
          <w:tcPr/>
          <w:p>
            <w:pPr>
              <w:pStyle w:val="Compact"/>
              <w:jc w:val="left"/>
            </w:pPr>
            <w:r>
              <w:t xml:space="preserve">80</w:t>
            </w:r>
          </w:p>
        </w:tc>
        <w:tc>
          <w:tcPr/>
          <w:p>
            <w:pPr>
              <w:pStyle w:val="Compact"/>
              <w:jc w:val="left"/>
            </w:pPr>
            <w:r>
              <w:t xml:space="preserve">32</w:t>
            </w:r>
          </w:p>
        </w:tc>
        <w:tc>
          <w:tcPr/>
          <w:p>
            <w:pPr>
              <w:pStyle w:val="Compact"/>
              <w:jc w:val="left"/>
            </w:pPr>
            <w:r>
              <w:t xml:space="preserve">512 GB</w:t>
            </w:r>
          </w:p>
        </w:tc>
        <w:tc>
          <w:tcPr/>
          <w:p>
            <w:pPr>
              <w:pStyle w:val="Compact"/>
              <w:jc w:val="left"/>
            </w:pPr>
            <w:r>
              <w:t xml:space="preserve">800 GB/s</w:t>
            </w:r>
            <w:r>
              <w:t xml:space="preserve"> </w:t>
            </w:r>
            <w:fldSimple w:instr="NOTEREF _Ref_Footnote_24 \h \f">
              <w:r>
                <w:rPr>
                  <w:vertAlign w:val="superscript"/>
                </w:rPr>
                <w:t>24</w:t>
              </w:r>
            </w:fldSimple>
          </w:p>
        </w:tc>
        <w:tc>
          <w:tcPr/>
          <w:p>
            <w:pPr>
              <w:pStyle w:val="Compact"/>
              <w:jc w:val="left"/>
            </w:pPr>
            <w:r>
              <w:t xml:space="preserve">3 nm</w:t>
            </w:r>
          </w:p>
        </w:tc>
      </w:tr>
      <w:tr>
        <w:tc>
          <w:tcPr/>
          <w:p>
            <w:pPr>
              <w:pStyle w:val="Compact"/>
              <w:jc w:val="left"/>
            </w:pPr>
            <w:r>
              <w:t xml:space="preserve">M5 Max</w:t>
            </w:r>
          </w:p>
        </w:tc>
        <w:tc>
          <w:tcPr/>
          <w:p>
            <w:pPr>
              <w:pStyle w:val="Compact"/>
              <w:jc w:val="left"/>
            </w:pPr>
            <w:r>
              <w:t xml:space="preserve">18 (6S+12P)</w:t>
            </w:r>
          </w:p>
        </w:tc>
        <w:tc>
          <w:tcPr/>
          <w:p>
            <w:pPr>
              <w:pStyle w:val="Compact"/>
              <w:jc w:val="left"/>
            </w:pPr>
            <w:r>
              <w:t xml:space="preserve">40</w:t>
            </w:r>
          </w:p>
        </w:tc>
        <w:tc>
          <w:tcPr/>
          <w:p>
            <w:pPr>
              <w:pStyle w:val="Compact"/>
              <w:jc w:val="left"/>
            </w:pPr>
            <w:r>
              <w:t xml:space="preserve">~40</w:t>
            </w:r>
          </w:p>
        </w:tc>
        <w:tc>
          <w:tcPr/>
          <w:p>
            <w:pPr>
              <w:pStyle w:val="Compact"/>
              <w:jc w:val="left"/>
            </w:pPr>
            <w:r>
              <w:t xml:space="preserve">128 GB</w:t>
            </w:r>
          </w:p>
        </w:tc>
        <w:tc>
          <w:tcPr/>
          <w:p>
            <w:pPr>
              <w:pStyle w:val="Compact"/>
              <w:jc w:val="left"/>
            </w:pPr>
            <w:r>
              <w:t xml:space="preserve">614 GB/s</w:t>
            </w:r>
            <w:r>
              <w:t xml:space="preserve"> </w:t>
            </w:r>
            <w:fldSimple w:instr="NOTEREF _Ref_Footnote_63 \h \f">
              <w:r>
                <w:rPr>
                  <w:vertAlign w:val="superscript"/>
                </w:rPr>
                <w:t>63</w:t>
              </w:r>
            </w:fldSimple>
          </w:p>
        </w:tc>
        <w:tc>
          <w:tcPr/>
          <w:p>
            <w:pPr>
              <w:pStyle w:val="Compact"/>
              <w:jc w:val="left"/>
            </w:pPr>
            <w:r>
              <w:t xml:space="preserve">2 nm</w:t>
            </w:r>
          </w:p>
        </w:tc>
      </w:tr>
    </w:tbl>
    <w:p>
      <w:pPr>
        <w:pStyle w:val="BodyText"/>
      </w:pPr>
      <w:r>
        <w:t xml:space="preserve">The table above traces the generational trajectory of Apple’s memory bandwidth scaling. The M4 Max’s 546 GB/s represents a 36% increase over the M3 Max, while the M3 Ultra’s 800 GB/s is achieved by fusing two M3 Max die. The M5 Max, fabricated on a 2 nm process, is projected to reach 614 GB/s</w:t>
      </w:r>
      <w:r>
        <w:t xml:space="preserve"> </w:t>
      </w:r>
      <w:fldSimple w:instr="NOTEREF _Ref_Footnote_63 \h \f">
        <w:r>
          <w:rPr>
            <w:vertAlign w:val="superscript"/>
          </w:rPr>
          <w:t>63</w:t>
        </w:r>
      </w:fldSimple>
      <w:r>
        <w:t xml:space="preserve">. For LLM inference, which is fundamentally memory-bandwidth-bound rather than compute-bound, these bandwidth gains translate directly into token-throughput improvements. The governing relationship is approximately linear:</w:t>
      </w:r>
      <w:r>
        <w:t xml:space="preserve"> </w:t>
      </w:r>
      <m:oMath>
        <m:r>
          <m:rPr>
            <m:nor/>
            <m:sty m:val="p"/>
          </m:rPr>
          <m:t>tok/s</m:t>
        </m:r>
        <m:r>
          <m:rPr>
            <m:sty m:val="p"/>
          </m:rPr>
          <m:t>≈</m:t>
        </m:r>
        <m:r>
          <m:rPr>
            <m:nor/>
            <m:sty m:val="p"/>
          </m:rPr>
          <m:t>BW</m:t>
        </m:r>
        <m:r>
          <m:t> </m:t>
        </m:r>
        <m:d>
          <m:dPr>
            <m:begChr m:val="("/>
            <m:endChr m:val=")"/>
            <m:sepChr m:val=""/>
            <m:grow/>
          </m:dPr>
          <m:e>
            <m:r>
              <m:rPr>
                <m:nor/>
                <m:sty m:val="p"/>
              </m:rPr>
              <m:t>GB/s</m:t>
            </m:r>
          </m:e>
        </m:d>
        <m:r>
          <m:t> </m:t>
        </m:r>
        <m:r>
          <m:rPr>
            <m:sty m:val="p"/>
          </m:rPr>
          <m:t>/</m:t>
        </m:r>
        <m:r>
          <m:t> </m:t>
        </m:r>
        <m:r>
          <m:rPr>
            <m:nor/>
            <m:sty m:val="p"/>
          </m:rPr>
          <m:t>ModelSize</m:t>
        </m:r>
        <m:r>
          <m:t> </m:t>
        </m:r>
        <m:d>
          <m:dPr>
            <m:begChr m:val="("/>
            <m:endChr m:val=")"/>
            <m:sepChr m:val=""/>
            <m:grow/>
          </m:dPr>
          <m:e>
            <m:r>
              <m:rPr>
                <m:nor/>
                <m:sty m:val="p"/>
              </m:rPr>
              <m:t>GB</m:t>
            </m:r>
          </m:e>
        </m:d>
      </m:oMath>
      <w:r>
        <w:t xml:space="preserve">, with real-world throughput achieving 60-80% of the theoretical ceiling due to KV cache reads, attention computation, and kernel launch overhead</w:t>
      </w:r>
      <w:r>
        <w:t xml:space="preserve"> </w:t>
      </w:r>
      <w:fldSimple w:instr="NOTEREF _Ref_Footnote_8 \h \f">
        <w:r>
          <w:rPr>
            <w:vertAlign w:val="superscript"/>
          </w:rPr>
          <w:t>8</w:t>
        </w:r>
      </w:fldSimple>
      <w:r>
        <w:t xml:space="preserve">.</w:t>
      </w:r>
    </w:p>
    <w:bookmarkEnd w:id="118"/>
    <w:bookmarkStart w:id="119" w:name="X7121a3915314ec54c95e877743150530e7f9901"/>
    <w:p>
      <w:pPr>
        <w:pStyle w:val="Heading3"/>
      </w:pPr>
      <w:r>
        <w:t xml:space="preserve">7.1.2 vllm-mlx: Continuous Batching and Prefix Caching on Unified Memory</w:t>
      </w:r>
    </w:p>
    <w:p>
      <w:pPr>
        <w:pStyle w:val="FirstParagraph"/>
      </w:pPr>
      <w:r>
        <w:t xml:space="preserve">The vllm-mlx inference engine, natively built on the MLX framework for Apple Silicon, demonstrates the throughput advantages of unified memory when combined with modern serving optimizations. Across models from Qwen3-0.6B to Nemotron-30B, vllm-mlx achieves 21% to 87% higher throughput than llama.cpp</w:t>
      </w:r>
      <w:r>
        <w:t xml:space="preserve"> </w:t>
      </w:r>
      <w:fldSimple w:instr="NOTEREF _Ref_Footnote_23 \h \f">
        <w:r>
          <w:rPr>
            <w:vertAlign w:val="superscript"/>
          </w:rPr>
          <w:t>23</w:t>
        </w:r>
      </w:fldSimple>
      <w:r>
        <w:t xml:space="preserve">. On an M4 Max with 128 GB, Qwen3-0.6B reaches 525 tok/s at batch size one, while Qwen3-8B at Q4 quantization achieves 93.3 tok/s. The throughput scaling under concurrent requests is equally significant: Qwen3-0.6B scales from 441 tok/s (single request) to 1,642 tok/s (16 concurrent), a 3.7x aggregate improvement enabled by continuous batching</w:t>
      </w:r>
      <w:r>
        <w:t xml:space="preserve"> </w:t>
      </w:r>
      <w:fldSimple w:instr="NOTEREF _Ref_Footnote_23 \h \f">
        <w:r>
          <w:rPr>
            <w:vertAlign w:val="superscript"/>
          </w:rPr>
          <w:t>23</w:t>
        </w:r>
      </w:fldSimple>
      <w:r>
        <w:t xml:space="preserve">.</w:t>
      </w:r>
    </w:p>
    <w:p>
      <w:pPr>
        <w:pStyle w:val="BodyText"/>
      </w:pPr>
      <w:r>
        <w:t xml:space="preserve">Three factors explain this performance differential. First, MLX’s native unified memory design enables zero-copy tensor operations, avoiding the memory transfer overhead present in llama.cpp’s Metal backend. Second, MLX’s lazy evaluation graph allows operation fusion and reduces kernel launch overhead by deferring execution until</w:t>
      </w:r>
      <w:r>
        <w:t xml:space="preserve"> </w:t>
      </w:r>
      <w:r>
        <w:rPr>
          <w:rStyle w:val="VerbatimChar"/>
        </w:rPr>
        <w:t xml:space="preserve">mx.eval()</w:t>
      </w:r>
      <w:r>
        <w:t xml:space="preserve"> </w:t>
      </w:r>
      <w:r>
        <w:t xml:space="preserve">flushes the computation graph. Third, the continuous batching scheduler maximizes GPU utilization by processing multiple sequences simultaneously within the same kernel dispatch</w:t>
      </w:r>
      <w:r>
        <w:t xml:space="preserve"> </w:t>
      </w:r>
      <w:fldSimple w:instr="NOTEREF _Ref_Footnote_23 \h \f">
        <w:r>
          <w:rPr>
            <w:vertAlign w:val="superscript"/>
          </w:rPr>
          <w:t>23</w:t>
        </w:r>
      </w:fldSimple>
      <w:r>
        <w:t xml:space="preserve">.</w:t>
      </w:r>
    </w:p>
    <w:p>
      <w:pPr>
        <w:pStyle w:val="BodyText"/>
      </w:pPr>
      <w:r>
        <w:t xml:space="preserve">Prefix caching amplifies these gains for repeated content. vllm-mlx’s content-based prefix caching detects identical input prefixes across requests and reuses precomputed KV cache entries. For repeated image queries, this achieves a 28x speedup (latency from 21.7 s to 0.78 s); for 64-frame video analysis, the speedup reaches 24.7x</w:t>
      </w:r>
      <w:r>
        <w:t xml:space="preserve"> </w:t>
      </w:r>
      <w:fldSimple w:instr="NOTEREF _Ref_Footnote_14 \h \f">
        <w:r>
          <w:rPr>
            <w:vertAlign w:val="superscript"/>
          </w:rPr>
          <w:t>14</w:t>
        </w:r>
      </w:fldSimple>
      <w:r>
        <w:t xml:space="preserve">. The vision embedding cache contributes 7.8x and KV cache reuse adds 2.4x, with combined optimizations yielding approximately 19x end-to-end improvement</w:t>
      </w:r>
      <w:r>
        <w:t xml:space="preserve"> </w:t>
      </w:r>
      <w:fldSimple w:instr="NOTEREF _Ref_Footnote_14 \h \f">
        <w:r>
          <w:rPr>
            <w:vertAlign w:val="superscript"/>
          </w:rPr>
          <w:t>14</w:t>
        </w:r>
      </w:fldSimple>
      <w:r>
        <w:t xml:space="preserve">. These caching strategies are feasible because unified memory allows the KV cache to persist in the same address space as the inference engine, without the serialization and deserialization overhead that discrete GPU systems incur when moving cached activations across the PCIe boundary.</w:t>
      </w:r>
    </w:p>
    <w:bookmarkEnd w:id="119"/>
    <w:bookmarkStart w:id="120" w:name="the-pcie-bottleneck-a-determinism-hazard"/>
    <w:p>
      <w:pPr>
        <w:pStyle w:val="Heading3"/>
      </w:pPr>
      <w:r>
        <w:t xml:space="preserve">7.1.3 The PCIe Bottleneck: A Determinism Hazard</w:t>
      </w:r>
    </w:p>
    <w:p>
      <w:pPr>
        <w:pStyle w:val="FirstParagraph"/>
      </w:pPr>
      <w:r>
        <w:t xml:space="preserve">The non-determinism of discrete GPU inference extends beyond throughput degradation. PCIe transfers introduce timing variance that complicates reproducible execution. The transfer latency depends on bus contention, host driver state, and DMA scheduler behavior — all variables that change between runs. Apple Silicon eliminates this source of variance entirely: there is no transfer because there is no separate device memory.</w:t>
      </w:r>
    </w:p>
    <w:p>
      <w:pPr>
        <w:pStyle w:val="BodyText"/>
      </w:pPr>
      <w:r>
        <w:t xml:space="preserve">The bandwidth-bound nature of LLM inference on Apple Silicon has a further architectural consequence. Because inference throughput is limited by memory bandwidth rather than Floating Point Operations Per Second (FLOPS), adding GPU cores yields diminishing returns. The M4 Max’s 40 GPU cores are already sufficient to saturate the 546 GB/s memory interface for most quantized models</w:t>
      </w:r>
      <w:r>
        <w:t xml:space="preserve"> </w:t>
      </w:r>
      <w:fldSimple w:instr="NOTEREF _Ref_Footnote_8 \h \f">
        <w:r>
          <w:rPr>
            <w:vertAlign w:val="superscript"/>
          </w:rPr>
          <w:t>8</w:t>
        </w:r>
      </w:fldSimple>
      <w:r>
        <w:t xml:space="preserve">. This means that the M3 Ultra’s 80 GPU cores, while impressive on paper, deliver marginal inference improvements over the M4 Max for single-model workloads because the model fits in both systems’ memory and both are bandwidth-saturated. The Ultra’s advantage materializes in multi-model or multi-user serving scenarios where aggregate bandwidth demand exceeds what a single chip can satisfy.</w:t>
      </w:r>
    </w:p>
    <w:bookmarkEnd w:id="120"/>
    <w:bookmarkStart w:id="124" w:name="the-three-compute-engine-stack"/>
    <w:p>
      <w:pPr>
        <w:pStyle w:val="Heading2"/>
      </w:pPr>
      <w:r>
        <w:t xml:space="preserve">7.2 The Three-Compute Engine Stack</w:t>
      </w:r>
    </w:p>
    <w:p>
      <w:pPr>
        <w:pStyle w:val="FirstParagraph"/>
      </w:pPr>
      <w:r>
        <w:t xml:space="preserve">Apple Silicon exposes three distinct compute engines to the developer: the GPU via Metal, the ANE via Core ML, and the CPU via Accelerate. Each engine possesses distinct latency, throughput, and programmability characteristics. A deterministic AI platform must schedule work across these engines in a way that respects their constraints while exploiting their complementary strengths.</w:t>
      </w:r>
    </w:p>
    <w:tbl>
      <w:tblPr>
        <w:tblStyle w:val="Table"/>
        <w:tblW w:type="pct" w:w="5000"/>
        <w:tblLook w:firstRow="1" w:lastRow="0" w:firstColumn="0" w:lastColumn="0" w:noHBand="0" w:noVBand="0" w:val="0020"/>
      </w:tblPr>
      <w:tblGrid>
        <w:gridCol w:w="782"/>
        <w:gridCol w:w="1075"/>
        <w:gridCol w:w="1075"/>
        <w:gridCol w:w="1662"/>
        <w:gridCol w:w="1662"/>
        <w:gridCol w:w="1662"/>
      </w:tblGrid>
      <w:tr>
        <w:trPr>
          <w:tblHeader w:val="true"/>
        </w:trPr>
        <w:tc>
          <w:tcPr/>
          <w:p>
            <w:pPr>
              <w:pStyle w:val="Compact"/>
              <w:jc w:val="left"/>
            </w:pPr>
            <w:r>
              <w:t xml:space="preserve">Engine</w:t>
            </w:r>
          </w:p>
        </w:tc>
        <w:tc>
          <w:tcPr/>
          <w:p>
            <w:pPr>
              <w:pStyle w:val="Compact"/>
              <w:jc w:val="left"/>
            </w:pPr>
            <w:r>
              <w:t xml:space="preserve">API Access</w:t>
            </w:r>
          </w:p>
        </w:tc>
        <w:tc>
          <w:tcPr/>
          <w:p>
            <w:pPr>
              <w:pStyle w:val="Compact"/>
              <w:jc w:val="left"/>
            </w:pPr>
            <w:r>
              <w:t xml:space="preserve">Precision</w:t>
            </w:r>
          </w:p>
        </w:tc>
        <w:tc>
          <w:tcPr/>
          <w:p>
            <w:pPr>
              <w:pStyle w:val="Compact"/>
              <w:jc w:val="left"/>
            </w:pPr>
            <w:r>
              <w:t xml:space="preserve">Optimal Workload</w:t>
            </w:r>
          </w:p>
        </w:tc>
        <w:tc>
          <w:tcPr/>
          <w:p>
            <w:pPr>
              <w:pStyle w:val="Compact"/>
              <w:jc w:val="left"/>
            </w:pPr>
            <w:r>
              <w:t xml:space="preserve">Latency Profile</w:t>
            </w:r>
          </w:p>
        </w:tc>
        <w:tc>
          <w:tcPr/>
          <w:p>
            <w:pPr>
              <w:pStyle w:val="Compact"/>
              <w:jc w:val="left"/>
            </w:pPr>
            <w:r>
              <w:t xml:space="preserve">Programmability</w:t>
            </w:r>
          </w:p>
        </w:tc>
      </w:tr>
      <w:tr>
        <w:tc>
          <w:tcPr/>
          <w:p>
            <w:pPr>
              <w:pStyle w:val="Compact"/>
              <w:jc w:val="left"/>
            </w:pPr>
            <w:r>
              <w:t xml:space="preserve">GPU (Metal)</w:t>
            </w:r>
          </w:p>
        </w:tc>
        <w:tc>
          <w:tcPr/>
          <w:p>
            <w:pPr>
              <w:pStyle w:val="Compact"/>
              <w:jc w:val="left"/>
            </w:pPr>
            <w:r>
              <w:t xml:space="preserve">MPSGraph, custom Metal kernels</w:t>
            </w:r>
          </w:p>
        </w:tc>
        <w:tc>
          <w:tcPr/>
          <w:p>
            <w:pPr>
              <w:pStyle w:val="Compact"/>
              <w:jc w:val="left"/>
            </w:pPr>
            <w:r>
              <w:t xml:space="preserve">FP16, FP32</w:t>
            </w:r>
          </w:p>
        </w:tc>
        <w:tc>
          <w:tcPr/>
          <w:p>
            <w:pPr>
              <w:pStyle w:val="Compact"/>
              <w:jc w:val="left"/>
            </w:pPr>
            <w:r>
              <w:t xml:space="preserve">Attention, GEMM, autoregressive decode</w:t>
            </w:r>
          </w:p>
        </w:tc>
        <w:tc>
          <w:tcPr/>
          <w:p>
            <w:pPr>
              <w:pStyle w:val="Compact"/>
              <w:jc w:val="left"/>
            </w:pPr>
            <w:r>
              <w:t xml:space="preserve">Medium (~0.1-1 ms/dispatch)</w:t>
            </w:r>
          </w:p>
        </w:tc>
        <w:tc>
          <w:tcPr/>
          <w:p>
            <w:pPr>
              <w:pStyle w:val="Compact"/>
              <w:jc w:val="left"/>
            </w:pPr>
            <w:r>
              <w:t xml:space="preserve">Full (MSL shaders)</w:t>
            </w:r>
            <w:r>
              <w:t xml:space="preserve"> </w:t>
            </w:r>
            <w:fldSimple w:instr="NOTEREF _Ref_Footnote_3 \h \f">
              <w:r>
                <w:rPr>
                  <w:vertAlign w:val="superscript"/>
                </w:rPr>
                <w:t>3</w:t>
              </w:r>
            </w:fldSimple>
            <w:r>
              <w:t xml:space="preserve"> </w:t>
            </w:r>
            <w:fldSimple w:instr="NOTEREF _Ref_Footnote_12 \h \f">
              <w:r>
                <w:rPr>
                  <w:vertAlign w:val="superscript"/>
                </w:rPr>
                <w:t>12</w:t>
              </w:r>
            </w:fldSimple>
          </w:p>
        </w:tc>
      </w:tr>
      <w:tr>
        <w:tc>
          <w:tcPr/>
          <w:p>
            <w:pPr>
              <w:pStyle w:val="Compact"/>
              <w:jc w:val="left"/>
            </w:pPr>
            <w:r>
              <w:t xml:space="preserve">ANE (Core ML)</w:t>
            </w:r>
          </w:p>
        </w:tc>
        <w:tc>
          <w:tcPr/>
          <w:p>
            <w:pPr>
              <w:pStyle w:val="Compact"/>
              <w:jc w:val="left"/>
            </w:pPr>
            <w:r>
              <w:t xml:space="preserve">Core ML Tools,</w:t>
            </w:r>
            <w:r>
              <w:t xml:space="preserve"> </w:t>
            </w:r>
            <w:r>
              <w:rPr>
                <w:rStyle w:val="VerbatimChar"/>
              </w:rPr>
              <w:t xml:space="preserve">mlmodelc</w:t>
            </w:r>
          </w:p>
        </w:tc>
        <w:tc>
          <w:tcPr/>
          <w:p>
            <w:pPr>
              <w:pStyle w:val="Compact"/>
              <w:jc w:val="left"/>
            </w:pPr>
            <w:r>
              <w:t xml:space="preserve">FP16 (actual), INT8 nominal</w:t>
            </w:r>
          </w:p>
        </w:tc>
        <w:tc>
          <w:tcPr/>
          <w:p>
            <w:pPr>
              <w:pStyle w:val="Compact"/>
              <w:jc w:val="left"/>
            </w:pPr>
            <w:r>
              <w:t xml:space="preserve">Batched prefill, vision encoding, SAE inference</w:t>
            </w:r>
          </w:p>
        </w:tc>
        <w:tc>
          <w:tcPr/>
          <w:p>
            <w:pPr>
              <w:pStyle w:val="Compact"/>
              <w:jc w:val="left"/>
            </w:pPr>
            <w:r>
              <w:t xml:space="preserve">Low (~0.095 ms/dispatch)</w:t>
            </w:r>
          </w:p>
        </w:tc>
        <w:tc>
          <w:tcPr/>
          <w:p>
            <w:pPr>
              <w:pStyle w:val="Compact"/>
              <w:jc w:val="left"/>
            </w:pPr>
            <w:r>
              <w:t xml:space="preserve">Opaque (no public ISA)</w:t>
            </w:r>
            <w:r>
              <w:t xml:space="preserve"> </w:t>
            </w:r>
            <w:fldSimple w:instr="NOTEREF _Ref_Footnote_6 \h \f">
              <w:r>
                <w:rPr>
                  <w:vertAlign w:val="superscript"/>
                </w:rPr>
                <w:t>6</w:t>
              </w:r>
            </w:fldSimple>
            <w:r>
              <w:t xml:space="preserve"> </w:t>
            </w:r>
            <w:fldSimple w:instr="NOTEREF _Ref_Footnote_50 \h \f">
              <w:r>
                <w:rPr>
                  <w:vertAlign w:val="superscript"/>
                </w:rPr>
                <w:t>50</w:t>
              </w:r>
            </w:fldSimple>
          </w:p>
        </w:tc>
      </w:tr>
      <w:tr>
        <w:tc>
          <w:tcPr/>
          <w:p>
            <w:pPr>
              <w:pStyle w:val="Compact"/>
              <w:jc w:val="left"/>
            </w:pPr>
            <w:r>
              <w:t xml:space="preserve">CPU (Accelerate)</w:t>
            </w:r>
          </w:p>
        </w:tc>
        <w:tc>
          <w:tcPr/>
          <w:p>
            <w:pPr>
              <w:pStyle w:val="Compact"/>
              <w:jc w:val="left"/>
            </w:pPr>
            <w:r>
              <w:t xml:space="preserve">Accelerate, vDSP, NEON</w:t>
            </w:r>
          </w:p>
        </w:tc>
        <w:tc>
          <w:tcPr/>
          <w:p>
            <w:pPr>
              <w:pStyle w:val="Compact"/>
              <w:jc w:val="left"/>
            </w:pPr>
            <w:r>
              <w:t xml:space="preserve">FP32, FP64</w:t>
            </w:r>
          </w:p>
        </w:tc>
        <w:tc>
          <w:tcPr/>
          <w:p>
            <w:pPr>
              <w:pStyle w:val="Compact"/>
              <w:jc w:val="left"/>
            </w:pPr>
            <w:r>
              <w:t xml:space="preserve">Preprocessing, postprocessing, fallback, small GEMM</w:t>
            </w:r>
          </w:p>
        </w:tc>
        <w:tc>
          <w:tcPr/>
          <w:p>
            <w:pPr>
              <w:pStyle w:val="Compact"/>
              <w:jc w:val="left"/>
            </w:pPr>
            <w:r>
              <w:t xml:space="preserve">Very low (&lt;0.01 ms)</w:t>
            </w:r>
          </w:p>
        </w:tc>
        <w:tc>
          <w:tcPr/>
          <w:p>
            <w:pPr>
              <w:pStyle w:val="Compact"/>
              <w:jc w:val="left"/>
            </w:pPr>
            <w:r>
              <w:t xml:space="preserve">Full (C/C++/Swift)</w:t>
            </w:r>
          </w:p>
        </w:tc>
      </w:tr>
    </w:tbl>
    <w:bookmarkStart w:id="121" w:name="Xd15caac2d3f843ed660d22fb27165d7cf529a9c"/>
    <w:p>
      <w:pPr>
        <w:pStyle w:val="Heading3"/>
      </w:pPr>
      <w:r>
        <w:t xml:space="preserve">7.2.1 GPU (Metal): Custom Kernels for Attention and GEMM</w:t>
      </w:r>
    </w:p>
    <w:p>
      <w:pPr>
        <w:pStyle w:val="FirstParagraph"/>
      </w:pPr>
      <w:r>
        <w:t xml:space="preserve">The Metal Performance Shaders (MPS) framework provides the primary GPU compute interface for LLM inference on Apple Silicon. Metal FlashAttention (MFA) achieves 10-30% performance improvements over baseline MPS implementations by fusing the attention softmax, scaled dot-product, and multi-head output projection into a single kernel dispatch</w:t>
      </w:r>
      <w:r>
        <w:t xml:space="preserve"> </w:t>
      </w:r>
      <w:fldSimple w:instr="NOTEREF _Ref_Footnote_3 \h \f">
        <w:r>
          <w:rPr>
            <w:vertAlign w:val="superscript"/>
          </w:rPr>
          <w:t>3</w:t>
        </w:r>
      </w:fldSimple>
      <w:r>
        <w:t xml:space="preserve">. The PMetal project extends this approach with tier-aware kernel tuning: block sizes are auto-selected per chip generation (M1 through M5), head dimension, and quantization mode. PMetal’s Metal shader suite includes fused LoRA forward passes (approximately 2x speedup over unfused adapters), fused cross-entropy (avoiding logits materialization), fused Rotary Position Embedding (RoPE), and fused SwiGLU activation gates</w:t>
      </w:r>
      <w:r>
        <w:t xml:space="preserve"> </w:t>
      </w:r>
      <w:fldSimple w:instr="NOTEREF _Ref_Footnote_12 \h \f">
        <w:r>
          <w:rPr>
            <w:vertAlign w:val="superscript"/>
          </w:rPr>
          <w:t>12</w:t>
        </w:r>
      </w:fldSimple>
      <w:r>
        <w:t xml:space="preserve">. The PMetal Metal crate contains 40,000 Source Lines of Code (SLoC), with 31,000 in Rust and 9,000 in Metal Shading Language, demonstrating that production-grade custom kernel development is viable on Apple Silicon</w:t>
      </w:r>
      <w:r>
        <w:t xml:space="preserve"> </w:t>
      </w:r>
      <w:fldSimple w:instr="NOTEREF _Ref_Footnote_49 \h \f">
        <w:r>
          <w:rPr>
            <w:vertAlign w:val="superscript"/>
          </w:rPr>
          <w:t>49</w:t>
        </w:r>
      </w:fldSimple>
      <w:r>
        <w:t xml:space="preserve">.</w:t>
      </w:r>
    </w:p>
    <w:p>
      <w:pPr>
        <w:pStyle w:val="BodyText"/>
      </w:pPr>
      <w:r>
        <w:t xml:space="preserve">MPSGraph complements hand-tuned kernels with automatic operation fusion. Apple’s WWDC 2020 introduction demonstrated that MPSGraph’s</w:t>
      </w:r>
      <w:r>
        <w:t xml:space="preserve"> </w:t>
      </w:r>
      <w:r>
        <w:t xml:space="preserve">“</w:t>
      </w:r>
      <w:r>
        <w:t xml:space="preserve">stitching</w:t>
      </w:r>
      <w:r>
        <w:t xml:space="preserve">”</w:t>
      </w:r>
      <w:r>
        <w:t xml:space="preserve"> </w:t>
      </w:r>
      <w:r>
        <w:t xml:space="preserve">optimization passes regions to the Metal compiler to create single optimized shaders, yielding 10-50x speedups for fused sequences such as GeLU activation followed by matrix multiplication</w:t>
      </w:r>
      <w:r>
        <w:t xml:space="preserve"> </w:t>
      </w:r>
      <w:fldSimple w:instr="NOTEREF _Ref_Footnote_62 \h \f">
        <w:r>
          <w:rPr>
            <w:vertAlign w:val="superscript"/>
          </w:rPr>
          <w:t>62</w:t>
        </w:r>
      </w:fldSimple>
      <w:r>
        <w:t xml:space="preserve">. For deterministic inference, the critical consideration is that Metal command buffer encoding and dispatch order can be controlled explicitly, enabling reproducible kernel scheduling that is not possible on CUDA’s more opaque stream scheduler.</w:t>
      </w:r>
    </w:p>
    <w:bookmarkEnd w:id="121"/>
    <w:bookmarkStart w:id="122" w:name="X7d11a0e68713685951596e520bf66ffe91213ab"/>
    <w:p>
      <w:pPr>
        <w:pStyle w:val="Heading3"/>
      </w:pPr>
      <w:r>
        <w:t xml:space="preserve">7.2.2 ANE (Core ML): Low-Power Inference for Classification and Embedding</w:t>
      </w:r>
    </w:p>
    <w:p>
      <w:pPr>
        <w:pStyle w:val="FirstParagraph"/>
      </w:pPr>
      <w:r>
        <w:t xml:space="preserve">The Apple Neural Engine is a fixed-function accelerator optimized for convolution and matrix multiplication in FP16. Apple markets the M4 ANE at 38 TOPS (INT8), but reverse-engineering by the Orion project reveals that the ANE dequantizes INT8 to FP16 before computation, yielding actual FP16 throughput of approximately 19 TFLOPS</w:t>
      </w:r>
      <w:r>
        <w:t xml:space="preserve"> </w:t>
      </w:r>
      <w:fldSimple w:instr="NOTEREF _Ref_Footnote_6 \h \f">
        <w:r>
          <w:rPr>
            <w:vertAlign w:val="superscript"/>
          </w:rPr>
          <w:t>6</w:t>
        </w:r>
      </w:fldSimple>
      <w:r>
        <w:t xml:space="preserve">. Performance drops approximately 30% when working sets exceed the 32 MB on-chip SRAM budget</w:t>
      </w:r>
      <w:r>
        <w:t xml:space="preserve"> </w:t>
      </w:r>
      <w:fldSimple w:instr="NOTEREF _Ref_Footnote_6 \h \f">
        <w:r>
          <w:rPr>
            <w:vertAlign w:val="superscript"/>
          </w:rPr>
          <w:t>6</w:t>
        </w:r>
      </w:fldSimple>
      <w:r>
        <w:t xml:space="preserve">.</w:t>
      </w:r>
    </w:p>
    <w:p>
      <w:pPr>
        <w:pStyle w:val="BodyText"/>
      </w:pPr>
      <w:r>
        <w:t xml:space="preserve">Core ML provides the only public API for ANE access, but it operates as an opaque scheduler that automatically partitions models across CPU, GPU, and ANE based on operator compatibility</w:t>
      </w:r>
      <w:r>
        <w:t xml:space="preserve"> </w:t>
      </w:r>
      <w:fldSimple w:instr="NOTEREF _Ref_Footnote_50 \h \f">
        <w:r>
          <w:rPr>
            <w:vertAlign w:val="superscript"/>
          </w:rPr>
          <w:t>50</w:t>
        </w:r>
      </w:fldSimple>
      <w:r>
        <w:t xml:space="preserve">. This opacity creates a tension with deterministic execution: the developer cannot force ANE execution for specific layers, inspect the compiled ANE program, or guarantee that the same scheduling decision will be made across runs. The Draw Things engineering team has developed a production-viable compromise: they compile only narrow matrix multiplication programs into Core ML, then invoke these programs from their own inference runtime. On M4, this pattern achieves up to 1.8x speedup while maintaining full control over the surrounding execution graph</w:t>
      </w:r>
      <w:r>
        <w:t xml:space="preserve"> </w:t>
      </w:r>
      <w:r>
        <w:rPr>
          <w:vertAlign w:val="superscript"/>
        </w:rPr>
        <w:footnoteReference w:id="73"/>
      </w:r>
      <w:r>
        <w:t xml:space="preserve">.</w:t>
      </w:r>
    </w:p>
    <w:p>
      <w:pPr>
        <w:pStyle w:val="BodyText"/>
      </w:pPr>
      <w:r>
        <w:t xml:space="preserve">Direct ANE programming is possible via the private</w:t>
      </w:r>
      <w:r>
        <w:t xml:space="preserve"> </w:t>
      </w:r>
      <w:r>
        <w:rPr>
          <w:rStyle w:val="VerbatimChar"/>
        </w:rPr>
        <w:t xml:space="preserve">_ANEClient</w:t>
      </w:r>
      <w:r>
        <w:t xml:space="preserve"> </w:t>
      </w:r>
      <w:r>
        <w:t xml:space="preserve">and</w:t>
      </w:r>
      <w:r>
        <w:t xml:space="preserve"> </w:t>
      </w:r>
      <w:r>
        <w:rPr>
          <w:rStyle w:val="VerbatimChar"/>
        </w:rPr>
        <w:t xml:space="preserve">_ANECompiler</w:t>
      </w:r>
      <w:r>
        <w:t xml:space="preserve"> </w:t>
      </w:r>
      <w:r>
        <w:t xml:space="preserve">APIs, as demonstrated by Orion. On an M4 Max, Orion achieves 170+ tok/s for GPT-2 124M inference and stable training of a 110M-parameter transformer for 1,000 steps in 22 minutes</w:t>
      </w:r>
      <w:r>
        <w:t xml:space="preserve"> </w:t>
      </w:r>
      <w:fldSimple w:instr="NOTEREF _Ref_Footnote_6 \h \f">
        <w:r>
          <w:rPr>
            <w:vertAlign w:val="superscript"/>
          </w:rPr>
          <w:t>6</w:t>
        </w:r>
      </w:fldSimple>
      <w:r>
        <w:t xml:space="preserve">. However, private APIs carry breakage risk at any macOS update and are not suitable for production software distribution.</w:t>
      </w:r>
    </w:p>
    <w:bookmarkEnd w:id="122"/>
    <w:bookmarkStart w:id="123" w:name="X43c57411b0768db97250a990cea7b3a771c96a8"/>
    <w:p>
      <w:pPr>
        <w:pStyle w:val="Heading3"/>
      </w:pPr>
      <w:r>
        <w:t xml:space="preserve">7.2.3 CPU (Accelerate): NEON and vDSP for Preprocessing and Fallback</w:t>
      </w:r>
    </w:p>
    <w:p>
      <w:pPr>
        <w:pStyle w:val="FirstParagraph"/>
      </w:pPr>
      <w:r>
        <w:t xml:space="preserve">The CPU’s role in the three-engine stack is preprocessing, postprocessing, and fallback for operations unsupported by GPU or ANE. The Apple Silicon CPU cores include Scalable Matrix Extension (SME) support on the M4 generation, enabling vectorized matrix operations via NEON and vDSP. For tokenization, embedding lookups, and attention mask construction, CPU execution avoids the kernel launch overhead that would be incurred by dispatching to the GPU for trivially small operations. The ideal LLM pipeline on Apple Silicon is hybrid: ANE for batched prefill when Core ML scheduling cooperates, GPU for autoregressive decode, and CPU for all auxiliary computation.</w:t>
      </w:r>
    </w:p>
    <w:bookmarkEnd w:id="123"/>
    <w:bookmarkEnd w:id="124"/>
    <w:bookmarkStart w:id="128" w:name="swift-6-rust-uniffi-architecture"/>
    <w:p>
      <w:pPr>
        <w:pStyle w:val="Heading2"/>
      </w:pPr>
      <w:r>
        <w:t xml:space="preserve">7.3 Swift 6 + Rust + UniFFI Architecture</w:t>
      </w:r>
    </w:p>
    <w:bookmarkStart w:id="125" w:name="X58052198b14569f642319fe7b34878c7158e5d8"/>
    <w:p>
      <w:pPr>
        <w:pStyle w:val="Heading3"/>
      </w:pPr>
      <w:r>
        <w:t xml:space="preserve">7.3.1 UniFFI: Production-Proven Swift-to-Rust Bridging</w:t>
      </w:r>
    </w:p>
    <w:p>
      <w:pPr>
        <w:pStyle w:val="FirstParagraph"/>
      </w:pPr>
      <w:r>
        <w:t xml:space="preserve">UniFFI is a Mozilla-maintained multi-language bindings generator that compiles Rust code into a shared library and generates language-specific bindings for Swift, Kotlin, Python, and Ruby. It is used extensively in Firefox mobile and desktop browsers, where Rust components written once are called from both Kotlin (Android) and Swift (iOS) via auto-generated bindings</w:t>
      </w:r>
      <w:r>
        <w:t xml:space="preserve"> </w:t>
      </w:r>
      <w:fldSimple w:instr="NOTEREF _Ref_Footnote_17 \h \f">
        <w:r>
          <w:rPr>
            <w:vertAlign w:val="superscript"/>
          </w:rPr>
          <w:t>17</w:t>
        </w:r>
      </w:fldSimple>
      <w:r>
        <w:t xml:space="preserve">. For the Rex deterministic substrate, UniFFI provides the structural bridge between the Rust deterministic kernel and the Swift 6 user interface.</w:t>
      </w:r>
    </w:p>
    <w:p>
      <w:pPr>
        <w:pStyle w:val="BodyText"/>
      </w:pPr>
      <w:r>
        <w:t xml:space="preserve">UniFFI supports asynchronous function bridging by converting Rust</w:t>
      </w:r>
      <w:r>
        <w:t xml:space="preserve"> </w:t>
      </w:r>
      <w:r>
        <w:rPr>
          <w:rStyle w:val="VerbatimChar"/>
        </w:rPr>
        <w:t xml:space="preserve">Future</w:t>
      </w:r>
      <w:r>
        <w:t xml:space="preserve">/</w:t>
      </w:r>
      <w:r>
        <w:rPr>
          <w:rStyle w:val="VerbatimChar"/>
        </w:rPr>
        <w:t xml:space="preserve">async fn</w:t>
      </w:r>
      <w:r>
        <w:t xml:space="preserve"> </w:t>
      </w:r>
      <w:r>
        <w:t xml:space="preserve">to foreign native futures. The foreign executor (Swift’s concurrency runtime) polls the Rust future via FFI callbacks, with no requirement for a Rust event loop on the Rust side</w:t>
      </w:r>
      <w:r>
        <w:t xml:space="preserve"> </w:t>
      </w:r>
      <w:fldSimple w:instr="NOTEREF _Ref_Footnote_23 \h \f">
        <w:r>
          <w:rPr>
            <w:vertAlign w:val="superscript"/>
          </w:rPr>
          <w:t>23</w:t>
        </w:r>
      </w:fldSimple>
      <w:r>
        <w:t xml:space="preserve">. Each poll requires a round-trip across the FFI boundary, but for coarse-grained inference calls (e.g.,</w:t>
      </w:r>
      <w:r>
        <w:t xml:space="preserve"> </w:t>
      </w:r>
      <w:r>
        <w:rPr>
          <w:rStyle w:val="VerbatimChar"/>
        </w:rPr>
        <w:t xml:space="preserve">prefill(prompt)</w:t>
      </w:r>
      <w:r>
        <w:t xml:space="preserve"> </w:t>
      </w:r>
      <w:r>
        <w:t xml:space="preserve">followed by</w:t>
      </w:r>
      <w:r>
        <w:t xml:space="preserve"> </w:t>
      </w:r>
      <w:r>
        <w:rPr>
          <w:rStyle w:val="VerbatimChar"/>
        </w:rPr>
        <w:t xml:space="preserve">decode_step(handle)</w:t>
      </w:r>
      <w:r>
        <w:t xml:space="preserve">), the overhead is negligible. A bare FFI function call costs approximately 5-20 nanoseconds; UniFFI with object handle lookup and</w:t>
      </w:r>
      <w:r>
        <w:t xml:space="preserve"> </w:t>
      </w:r>
      <w:r>
        <w:rPr>
          <w:rStyle w:val="VerbatimChar"/>
        </w:rPr>
        <w:t xml:space="preserve">RustBuffer</w:t>
      </w:r>
      <w:r>
        <w:t xml:space="preserve"> </w:t>
      </w:r>
      <w:r>
        <w:t xml:space="preserve">management adds approximately 50-100 nanoseconds per call</w:t>
      </w:r>
      <w:r>
        <w:t xml:space="preserve"> </w:t>
      </w:r>
      <w:fldSimple w:instr="NOTEREF _Ref_Footnote_16 \h \f">
        <w:r>
          <w:rPr>
            <w:vertAlign w:val="superscript"/>
          </w:rPr>
          <w:t>16</w:t>
        </w:r>
      </w:fldSimple>
      <w:r>
        <w:t xml:space="preserve"> </w:t>
      </w:r>
      <w:fldSimple w:instr="NOTEREF _Ref_Footnote_62 \h \f">
        <w:r>
          <w:rPr>
            <w:vertAlign w:val="superscript"/>
          </w:rPr>
          <w:t>62</w:t>
        </w:r>
      </w:fldSimple>
      <w:r>
        <w:t xml:space="preserve">. For a 100-token generation sequence with one callback per token, total FFI overhead is approximately 10-50 microseconds — negligible compared to inference latency of 5-50 milliseconds per token.</w:t>
      </w:r>
    </w:p>
    <w:p>
      <w:pPr>
        <w:pStyle w:val="BodyText"/>
      </w:pPr>
      <w:r>
        <w:t xml:space="preserve">UniFFI does not natively support true streaming or async iterators across FFI</w:t>
      </w:r>
      <w:r>
        <w:t xml:space="preserve"> </w:t>
      </w:r>
      <w:fldSimple w:instr="NOTEREF _Ref_Footnote_71 \h \f">
        <w:r>
          <w:rPr>
            <w:vertAlign w:val="superscript"/>
          </w:rPr>
          <w:t>71</w:t>
        </w:r>
      </w:fldSimple>
      <w:r>
        <w:t xml:space="preserve">. The recommended pattern for per-token LLM streaming is to expose a foreign async callback interface. The Rust kernel calls back into Swift for each generated token; the Swift side appends the token to an</w:t>
      </w:r>
      <w:r>
        <w:t xml:space="preserve"> </w:t>
      </w:r>
      <w:r>
        <w:rPr>
          <w:rStyle w:val="VerbatimChar"/>
        </w:rPr>
        <w:t xml:space="preserve">AsyncStream</w:t>
      </w:r>
      <w:r>
        <w:t xml:space="preserve"> </w:t>
      </w:r>
      <w:r>
        <w:t xml:space="preserve">that feeds the SwiftUI text view. This pattern, while requiring a thin adapter layer, has been validated in production by the Ferrostar navigation SDK, which compiles Rust to an XCFramework, distributes via GitHub releases, and consumes it as a Swift Package Manager binary target with UniFFI-generated bindings</w:t>
      </w:r>
      <w:r>
        <w:t xml:space="preserve"> </w:t>
      </w:r>
      <w:fldSimple w:instr="NOTEREF _Ref_Footnote_54 \h \f">
        <w:r>
          <w:rPr>
            <w:vertAlign w:val="superscript"/>
          </w:rPr>
          <w:t>54</w:t>
        </w:r>
      </w:fldSimple>
      <w:r>
        <w:t xml:space="preserve">.</w:t>
      </w:r>
    </w:p>
    <w:bookmarkEnd w:id="125"/>
    <w:bookmarkStart w:id="126" w:name="X5ec99146c1dca0ca3f842542f8bdc15c61c5a2a"/>
    <w:p>
      <w:pPr>
        <w:pStyle w:val="Heading3"/>
      </w:pPr>
      <w:r>
        <w:t xml:space="preserve">7.3.2 IOSurface + MTLStorageModeShared: Zero-Copy Tensor Sharing</w:t>
      </w:r>
    </w:p>
    <w:p>
      <w:pPr>
        <w:pStyle w:val="FirstParagraph"/>
      </w:pPr>
      <w:r>
        <w:t xml:space="preserve">IOSurface is the kernel-level primitive that enables zero-copy sharing of memory buffers between the CPU, GPU, and ANE. Camera frames arrive as</w:t>
      </w:r>
      <w:r>
        <w:t xml:space="preserve"> </w:t>
      </w:r>
      <w:r>
        <w:rPr>
          <w:rStyle w:val="VerbatimChar"/>
        </w:rPr>
        <w:t xml:space="preserve">CVPixelBuffer</w:t>
      </w:r>
      <w:r>
        <w:t xml:space="preserve"> </w:t>
      </w:r>
      <w:r>
        <w:t xml:space="preserve">instances backed by IOSurface, which is already GPU memory. Metal textures can be created directly from IOSurface with zero copies via</w:t>
      </w:r>
      <w:r>
        <w:t xml:space="preserve"> </w:t>
      </w:r>
      <w:r>
        <w:rPr>
          <w:rStyle w:val="VerbatimChar"/>
        </w:rPr>
        <w:t xml:space="preserve">makeTexture(descriptor:iosurface:plane:)</w:t>
      </w:r>
      <w:r>
        <w:t xml:space="preserve"> </w:t>
      </w:r>
      <w:fldSimple w:instr="NOTEREF _Ref_Footnote_8 \h \f">
        <w:r>
          <w:rPr>
            <w:vertAlign w:val="superscript"/>
          </w:rPr>
          <w:t>8</w:t>
        </w:r>
      </w:fldSimple>
      <w:r>
        <w:t xml:space="preserve">. The Orion ANE runtime uses IOSurface-backed shared memory in a fixed</w:t>
      </w:r>
      <w:r>
        <w:t xml:space="preserve"> </w:t>
      </w:r>
      <w:r>
        <w:rPr>
          <w:rStyle w:val="VerbatimChar"/>
        </w:rPr>
        <w:t xml:space="preserve">[1, C, 1, S]</w:t>
      </w:r>
      <w:r>
        <w:t xml:space="preserve"> </w:t>
      </w:r>
      <w:r>
        <w:t xml:space="preserve">FP16 layout for all tensor I/O between CPU and ANE, enabling zero-copy data transfer with an XPC+IOKit dispatch overhead of approximately 0.095 ms per call</w:t>
      </w:r>
      <w:r>
        <w:t xml:space="preserve"> </w:t>
      </w:r>
      <w:fldSimple w:instr="NOTEREF _Ref_Footnote_6 \h \f">
        <w:r>
          <w:rPr>
            <w:vertAlign w:val="superscript"/>
          </w:rPr>
          <w:t>6</w:t>
        </w:r>
      </w:fldSimple>
      <w:r>
        <w:t xml:space="preserve">.</w:t>
      </w:r>
    </w:p>
    <w:p>
      <w:pPr>
        <w:pStyle w:val="BodyText"/>
      </w:pPr>
      <w:r>
        <w:t xml:space="preserve">For the Rex substrate, the zero-copy pipeline operates as follows. Rust allocates page-aligned memory for a tensor, wraps it as an</w:t>
      </w:r>
      <w:r>
        <w:t xml:space="preserve"> </w:t>
      </w:r>
      <w:r>
        <w:rPr>
          <w:rStyle w:val="VerbatimChar"/>
        </w:rPr>
        <w:t xml:space="preserve">IOSurface</w:t>
      </w:r>
      <w:r>
        <w:t xml:space="preserve"> </w:t>
      </w:r>
      <w:r>
        <w:t xml:space="preserve">via</w:t>
      </w:r>
      <w:r>
        <w:t xml:space="preserve"> </w:t>
      </w:r>
      <w:r>
        <w:rPr>
          <w:rStyle w:val="VerbatimChar"/>
        </w:rPr>
        <w:t xml:space="preserve">IOSurfaceCreate</w:t>
      </w:r>
      <w:r>
        <w:t xml:space="preserve">, and creates an</w:t>
      </w:r>
      <w:r>
        <w:t xml:space="preserve"> </w:t>
      </w:r>
      <w:r>
        <w:rPr>
          <w:rStyle w:val="VerbatimChar"/>
        </w:rPr>
        <w:t xml:space="preserve">MTLTexture</w:t>
      </w:r>
      <w:r>
        <w:t xml:space="preserve"> </w:t>
      </w:r>
      <w:r>
        <w:t xml:space="preserve">or</w:t>
      </w:r>
      <w:r>
        <w:t xml:space="preserve"> </w:t>
      </w:r>
      <w:r>
        <w:rPr>
          <w:rStyle w:val="VerbatimChar"/>
        </w:rPr>
        <w:t xml:space="preserve">MTLBuffer</w:t>
      </w:r>
      <w:r>
        <w:t xml:space="preserve"> </w:t>
      </w:r>
      <w:r>
        <w:t xml:space="preserve">from that IOSurface. Metal compute shaders read and write the same physical pages. Swift UI accesses the final output through a second IOSurface view without copy.</w:t>
      </w:r>
      <w:r>
        <w:t xml:space="preserve"> </w:t>
      </w:r>
      <w:r>
        <w:rPr>
          <w:rStyle w:val="VerbatimChar"/>
        </w:rPr>
        <w:t xml:space="preserve">MTLStorageModeShared</w:t>
      </w:r>
      <w:r>
        <w:t xml:space="preserve"> </w:t>
      </w:r>
      <w:r>
        <w:t xml:space="preserve">is the critical enabler: on Apple Silicon, this mode places resources in system memory accessible to both CPU and GPU with read-write coherence</w:t>
      </w:r>
      <w:r>
        <w:t xml:space="preserve"> </w:t>
      </w:r>
      <w:fldSimple w:instr="NOTEREF _Ref_Footnote_30 \h \f">
        <w:r>
          <w:rPr>
            <w:vertAlign w:val="superscript"/>
          </w:rPr>
          <w:t>30</w:t>
        </w:r>
      </w:fldSimple>
      <w:r>
        <w:t xml:space="preserve">. The Rust</w:t>
      </w:r>
      <w:r>
        <w:t xml:space="preserve"> </w:t>
      </w:r>
      <w:r>
        <w:rPr>
          <w:rStyle w:val="VerbatimChar"/>
        </w:rPr>
        <w:t xml:space="preserve">wgpu</w:t>
      </w:r>
      <w:r>
        <w:t xml:space="preserve"> </w:t>
      </w:r>
      <w:r>
        <w:t xml:space="preserve">crate, which provides a WebGPU implementation with a native Metal backend used by Google Chrome, automatically selects</w:t>
      </w:r>
      <w:r>
        <w:t xml:space="preserve"> </w:t>
      </w:r>
      <w:r>
        <w:rPr>
          <w:rStyle w:val="VerbatimChar"/>
        </w:rPr>
        <w:t xml:space="preserve">StorageModeShared</w:t>
      </w:r>
      <w:r>
        <w:t xml:space="preserve"> </w:t>
      </w:r>
      <w:r>
        <w:t xml:space="preserve">on Apple Silicon backends</w:t>
      </w:r>
      <w:r>
        <w:t xml:space="preserve"> </w:t>
      </w:r>
      <w:fldSimple w:instr="NOTEREF _Ref_Footnote_6 \h \f">
        <w:r>
          <w:rPr>
            <w:vertAlign w:val="superscript"/>
          </w:rPr>
          <w:t>6</w:t>
        </w:r>
      </w:fldSimple>
      <w:r>
        <w:t xml:space="preserve">.</w:t>
      </w:r>
    </w:p>
    <w:p>
      <w:pPr>
        <w:pStyle w:val="SourceCode"/>
      </w:pPr>
      <w:r>
        <w:rPr>
          <w:rStyle w:val="CommentTok"/>
        </w:rPr>
        <w:t xml:space="preserve">// Rust kernel: UniFFI-exported inference engine with zero-copy tensor I/O</w:t>
      </w:r>
      <w:r>
        <w:br/>
      </w:r>
      <w:r>
        <w:rPr>
          <w:rStyle w:val="KeywordTok"/>
        </w:rPr>
        <w:t xml:space="preserve">use</w:t>
      </w:r>
      <w:r>
        <w:rPr>
          <w:rStyle w:val="NormalTok"/>
        </w:rPr>
        <w:t xml:space="preserve"> </w:t>
      </w:r>
      <w:r>
        <w:rPr>
          <w:rStyle w:val="PreprocessorTok"/>
        </w:rPr>
        <w:t xml:space="preserve">std::sync::</w:t>
      </w:r>
      <w:r>
        <w:rPr>
          <w:rStyle w:val="OperatorTok"/>
        </w:rPr>
        <w:t xml:space="preserve">{</w:t>
      </w:r>
      <w:r>
        <w:rPr>
          <w:rStyle w:val="NormalTok"/>
        </w:rPr>
        <w:t xml:space="preserve">Arc</w:t>
      </w:r>
      <w:r>
        <w:rPr>
          <w:rStyle w:val="OperatorTok"/>
        </w:rPr>
        <w:t xml:space="preserve">,</w:t>
      </w:r>
      <w:r>
        <w:rPr>
          <w:rStyle w:val="NormalTok"/>
        </w:rPr>
        <w:t xml:space="preserve"> Mutex</w:t>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PreprocessorTok"/>
        </w:rPr>
        <w:t xml:space="preserve">uniffi::</w:t>
      </w:r>
      <w:r>
        <w:rPr>
          <w:rStyle w:val="NormalTok"/>
        </w:rPr>
        <w:t xml:space="preserve">Object</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RexEngine </w:t>
      </w:r>
      <w:r>
        <w:rPr>
          <w:rStyle w:val="OperatorTok"/>
        </w:rPr>
        <w:t xml:space="preserve">{</w:t>
      </w:r>
      <w:r>
        <w:br/>
      </w:r>
      <w:r>
        <w:rPr>
          <w:rStyle w:val="NormalTok"/>
        </w:rPr>
        <w:t xml:space="preserve">    model</w:t>
      </w:r>
      <w:r>
        <w:rPr>
          <w:rStyle w:val="OperatorTok"/>
        </w:rPr>
        <w:t xml:space="preserve">:</w:t>
      </w:r>
      <w:r>
        <w:rPr>
          <w:rStyle w:val="NormalTok"/>
        </w:rPr>
        <w:t xml:space="preserve"> Arc</w:t>
      </w:r>
      <w:r>
        <w:rPr>
          <w:rStyle w:val="OperatorTok"/>
        </w:rPr>
        <w:t xml:space="preserve">&lt;</w:t>
      </w:r>
      <w:r>
        <w:rPr>
          <w:rStyle w:val="NormalTok"/>
        </w:rPr>
        <w:t xml:space="preserve">Mutex</w:t>
      </w:r>
      <w:r>
        <w:rPr>
          <w:rStyle w:val="OperatorTok"/>
        </w:rPr>
        <w:t xml:space="preserve">&lt;</w:t>
      </w:r>
      <w:r>
        <w:rPr>
          <w:rStyle w:val="NormalTok"/>
        </w:rPr>
        <w:t xml:space="preserve">MLXModel</w:t>
      </w:r>
      <w:r>
        <w:rPr>
          <w:rStyle w:val="OperatorTok"/>
        </w:rPr>
        <w:t xml:space="preserve">&gt;&gt;,</w:t>
      </w:r>
      <w:r>
        <w:br/>
      </w:r>
      <w:r>
        <w:rPr>
          <w:rStyle w:val="NormalTok"/>
        </w:rPr>
        <w:t xml:space="preserve">    shared_buffer</w:t>
      </w:r>
      <w:r>
        <w:rPr>
          <w:rStyle w:val="OperatorTok"/>
        </w:rPr>
        <w:t xml:space="preserve">:</w:t>
      </w:r>
      <w:r>
        <w:rPr>
          <w:rStyle w:val="NormalTok"/>
        </w:rPr>
        <w:t xml:space="preserve"> </w:t>
      </w:r>
      <w:r>
        <w:rPr>
          <w:rStyle w:val="PreprocessorTok"/>
        </w:rPr>
        <w:t xml:space="preserve">iosurface::</w:t>
      </w:r>
      <w:r>
        <w:rPr>
          <w:rStyle w:val="NormalTok"/>
        </w:rPr>
        <w:t xml:space="preserve">IOSurfaceRef</w:t>
      </w:r>
      <w:r>
        <w:rPr>
          <w:rStyle w:val="OperatorTok"/>
        </w:rPr>
        <w:t xml:space="preserve">,</w:t>
      </w:r>
      <w:r>
        <w:rPr>
          <w:rStyle w:val="NormalTok"/>
        </w:rPr>
        <w:t xml:space="preserve"> </w:t>
      </w:r>
      <w:r>
        <w:rPr>
          <w:rStyle w:val="CommentTok"/>
        </w:rPr>
        <w:t xml:space="preserve">// zero-copy buffer</w:t>
      </w:r>
      <w:r>
        <w:br/>
      </w:r>
      <w:r>
        <w:rPr>
          <w:rStyle w:val="OperatorTok"/>
        </w:rPr>
        <w:t xml:space="preserve">}</w:t>
      </w:r>
      <w:r>
        <w:br/>
      </w:r>
      <w:r>
        <w:br/>
      </w:r>
      <w:r>
        <w:rPr>
          <w:rStyle w:val="AttributeTok"/>
        </w:rPr>
        <w:t xml:space="preserve">#[</w:t>
      </w:r>
      <w:r>
        <w:rPr>
          <w:rStyle w:val="PreprocessorTok"/>
        </w:rPr>
        <w:t xml:space="preserve">uniffi::</w:t>
      </w:r>
      <w:r>
        <w:rPr>
          <w:rStyle w:val="NormalTok"/>
        </w:rPr>
        <w:t xml:space="preserve">export</w:t>
      </w:r>
      <w:r>
        <w:rPr>
          <w:rStyle w:val="AttributeTok"/>
        </w:rPr>
        <w:t xml:space="preserve">]</w:t>
      </w:r>
      <w:r>
        <w:br/>
      </w:r>
      <w:r>
        <w:rPr>
          <w:rStyle w:val="KeywordTok"/>
        </w:rPr>
        <w:t xml:space="preserve">impl</w:t>
      </w:r>
      <w:r>
        <w:rPr>
          <w:rStyle w:val="NormalTok"/>
        </w:rPr>
        <w:t xml:space="preserve"> RexEngine </w:t>
      </w:r>
      <w:r>
        <w:rPr>
          <w:rStyle w:val="OperatorTok"/>
        </w:rPr>
        <w:t xml:space="preserve">{</w:t>
      </w:r>
      <w:r>
        <w:br/>
      </w:r>
      <w:r>
        <w:rPr>
          <w:rStyle w:val="NormalTok"/>
        </w:rPr>
        <w:t xml:space="preserve">    </w:t>
      </w:r>
      <w:r>
        <w:rPr>
          <w:rStyle w:val="AttributeTok"/>
        </w:rPr>
        <w:t xml:space="preserve">#[</w:t>
      </w:r>
      <w:r>
        <w:rPr>
          <w:rStyle w:val="PreprocessorTok"/>
        </w:rPr>
        <w:t xml:space="preserve">uniffi::</w:t>
      </w:r>
      <w:r>
        <w:rPr>
          <w:rStyle w:val="NormalTok"/>
        </w:rPr>
        <w:t xml:space="preserve">constructor</w:t>
      </w:r>
      <w:r>
        <w:rPr>
          <w:rStyle w:val="Attribute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new(model_path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buffer </w:t>
      </w:r>
      <w:r>
        <w:rPr>
          <w:rStyle w:val="OperatorTok"/>
        </w:rPr>
        <w:t xml:space="preserve">=</w:t>
      </w:r>
      <w:r>
        <w:rPr>
          <w:rStyle w:val="NormalTok"/>
        </w:rPr>
        <w:t xml:space="preserve"> </w:t>
      </w:r>
      <w:r>
        <w:rPr>
          <w:rStyle w:val="PreprocessorTok"/>
        </w:rPr>
        <w:t xml:space="preserve">iosurface::</w:t>
      </w:r>
      <w:r>
        <w:rPr>
          <w:rStyle w:val="NormalTok"/>
        </w:rPr>
        <w:t xml:space="preserve">create_shared_buffer(</w:t>
      </w:r>
      <w:r>
        <w:br/>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128 MB shared tensor workspace</w:t>
      </w:r>
      <w:r>
        <w:br/>
      </w:r>
      <w:r>
        <w:rPr>
          <w:rStyle w:val="NormalTok"/>
        </w:rPr>
        <w:t xml:space="preserve">            </w:t>
      </w:r>
      <w:r>
        <w:rPr>
          <w:rStyle w:val="PreprocessorTok"/>
        </w:rPr>
        <w:t xml:space="preserve">iosurface::PixelFormat::</w:t>
      </w:r>
      <w:r>
        <w:rPr>
          <w:rStyle w:val="NormalTok"/>
        </w:rPr>
        <w:t xml:space="preserve">RGBA16Float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PreprocessorTok"/>
        </w:rPr>
        <w:t xml:space="preserve">Arc::</w:t>
      </w:r>
      <w:r>
        <w:rPr>
          <w:rStyle w:val="NormalTok"/>
        </w:rPr>
        <w:t xml:space="preserve">new(</w:t>
      </w:r>
      <w:r>
        <w:rPr>
          <w:rStyle w:val="PreprocessorTok"/>
        </w:rPr>
        <w:t xml:space="preserve">Mutex::</w:t>
      </w:r>
      <w:r>
        <w:rPr>
          <w:rStyle w:val="NormalTok"/>
        </w:rPr>
        <w:t xml:space="preserve">new(</w:t>
      </w:r>
      <w:r>
        <w:rPr>
          <w:rStyle w:val="PreprocessorTok"/>
        </w:rPr>
        <w:t xml:space="preserve">MLXModel::</w:t>
      </w:r>
      <w:r>
        <w:rPr>
          <w:rStyle w:val="NormalTok"/>
        </w:rPr>
        <w:t xml:space="preserve">load(</w:t>
      </w:r>
      <w:r>
        <w:rPr>
          <w:rStyle w:val="OperatorTok"/>
        </w:rPr>
        <w:t xml:space="preserve">&amp;</w:t>
      </w:r>
      <w:r>
        <w:rPr>
          <w:rStyle w:val="NormalTok"/>
        </w:rPr>
        <w:t xml:space="preserve">model_path)))</w:t>
      </w:r>
      <w:r>
        <w:rPr>
          <w:rStyle w:val="OperatorTok"/>
        </w:rPr>
        <w:t xml:space="preserve">,</w:t>
      </w:r>
      <w:r>
        <w:br/>
      </w:r>
      <w:r>
        <w:rPr>
          <w:rStyle w:val="NormalTok"/>
        </w:rPr>
        <w:t xml:space="preserve">            shared_buffer</w:t>
      </w:r>
      <w:r>
        <w:rPr>
          <w:rStyle w:val="OperatorTok"/>
        </w:rPr>
        <w:t xml:space="preserve">:</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Async generation: Swift executor polls Rust Future; tokens via callback</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generate(</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callback</w:t>
      </w:r>
      <w:r>
        <w:rPr>
          <w:rStyle w:val="OperatorTok"/>
        </w:rPr>
        <w:t xml:space="preserve">:</w:t>
      </w:r>
      <w:r>
        <w:rPr>
          <w:rStyle w:val="NormalTok"/>
        </w:rPr>
        <w:t xml:space="preserve"> </w:t>
      </w:r>
      <w:r>
        <w:rPr>
          <w:rStyle w:val="DataTypeTok"/>
        </w:rPr>
        <w:t xml:space="preserve">Box</w:t>
      </w:r>
      <w:r>
        <w:rPr>
          <w:rStyle w:val="OperatorTok"/>
        </w:rPr>
        <w:t xml:space="preserve">&lt;</w:t>
      </w:r>
      <w:r>
        <w:rPr>
          <w:rStyle w:val="KeywordTok"/>
        </w:rPr>
        <w:t xml:space="preserve">dyn</w:t>
      </w:r>
      <w:r>
        <w:rPr>
          <w:rStyle w:val="NormalTok"/>
        </w:rPr>
        <w:t xml:space="preserve"> TokenCallback</w:t>
      </w:r>
      <w:r>
        <w:rPr>
          <w:rStyle w:val="OperatorTok"/>
        </w:rPr>
        <w:t xml:space="preserve">&gt;,</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GenerationStats</w:t>
      </w:r>
      <w:r>
        <w:rPr>
          <w:rStyle w:val="OperatorTok"/>
        </w:rPr>
        <w:t xml:space="preserve">,</w:t>
      </w:r>
      <w:r>
        <w:rPr>
          <w:rStyle w:val="NormalTok"/>
        </w:rPr>
        <w:t xml:space="preserve"> RexError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model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model</w:t>
      </w:r>
      <w:r>
        <w:rPr>
          <w:rStyle w:val="OperatorTok"/>
        </w:rPr>
        <w:t xml:space="preserve">.</w:t>
      </w:r>
      <w:r>
        <w:rPr>
          <w:rStyle w:val="NormalTok"/>
        </w:rPr>
        <w:t xml:space="preserve">lock()</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ctx </w:t>
      </w:r>
      <w:r>
        <w:rPr>
          <w:rStyle w:val="OperatorTok"/>
        </w:rPr>
        <w:t xml:space="preserve">=</w:t>
      </w:r>
      <w:r>
        <w:rPr>
          <w:rStyle w:val="NormalTok"/>
        </w:rPr>
        <w:t xml:space="preserve"> model</w:t>
      </w:r>
      <w:r>
        <w:rPr>
          <w:rStyle w:val="OperatorTok"/>
        </w:rPr>
        <w:t xml:space="preserve">.</w:t>
      </w:r>
      <w:r>
        <w:rPr>
          <w:rStyle w:val="NormalTok"/>
        </w:rPr>
        <w:t xml:space="preserve">prefill(</w:t>
      </w:r>
      <w:r>
        <w:rPr>
          <w:rStyle w:val="OperatorTok"/>
        </w:rPr>
        <w:t xml:space="preserve">&amp;</w:t>
      </w:r>
      <w:r>
        <w:rPr>
          <w:rStyle w:val="NormalTok"/>
        </w:rPr>
        <w:t xml:space="preserve">prompt</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shared_buffer)</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ctx</w:t>
      </w:r>
      <w:r>
        <w:rPr>
          <w:rStyle w:val="OperatorTok"/>
        </w:rPr>
        <w:t xml:space="preserve">.</w:t>
      </w:r>
      <w:r>
        <w:rPr>
          <w:rStyle w:val="NormalTok"/>
        </w:rPr>
        <w:t xml:space="preserve">max_tokens </w:t>
      </w:r>
      <w:r>
        <w:rPr>
          <w:rStyle w:val="OperatorTok"/>
        </w:rPr>
        <w:t xml:space="preserve">{</w:t>
      </w:r>
      <w:r>
        <w:br/>
      </w:r>
      <w:r>
        <w:rPr>
          <w:rStyle w:val="NormalTok"/>
        </w:rPr>
        <w:t xml:space="preserve">            </w:t>
      </w:r>
      <w:r>
        <w:rPr>
          <w:rStyle w:val="KeywordTok"/>
        </w:rPr>
        <w:t xml:space="preserve">let</w:t>
      </w:r>
      <w:r>
        <w:rPr>
          <w:rStyle w:val="NormalTok"/>
        </w:rPr>
        <w:t xml:space="preserve"> token </w:t>
      </w:r>
      <w:r>
        <w:rPr>
          <w:rStyle w:val="OperatorTok"/>
        </w:rPr>
        <w:t xml:space="preserve">=</w:t>
      </w:r>
      <w:r>
        <w:rPr>
          <w:rStyle w:val="NormalTok"/>
        </w:rPr>
        <w:t xml:space="preserve"> ctx</w:t>
      </w:r>
      <w:r>
        <w:rPr>
          <w:rStyle w:val="OperatorTok"/>
        </w:rPr>
        <w:t xml:space="preserve">.</w:t>
      </w:r>
      <w:r>
        <w:rPr>
          <w:rStyle w:val="NormalTok"/>
        </w:rPr>
        <w:t xml:space="preserve">decode_step()</w:t>
      </w:r>
      <w:r>
        <w:rPr>
          <w:rStyle w:val="OperatorTok"/>
        </w:rPr>
        <w:t xml:space="preserve">.</w:t>
      </w:r>
      <w:r>
        <w:rPr>
          <w:rStyle w:val="KeywordTok"/>
        </w:rPr>
        <w:t xml:space="preserve">await</w:t>
      </w:r>
      <w:r>
        <w:rPr>
          <w:rStyle w:val="OperatorTok"/>
        </w:rPr>
        <w:t xml:space="preserve">?;</w:t>
      </w:r>
      <w:r>
        <w:br/>
      </w:r>
      <w:r>
        <w:rPr>
          <w:rStyle w:val="NormalTok"/>
        </w:rPr>
        <w:t xml:space="preserve">            callback</w:t>
      </w:r>
      <w:r>
        <w:rPr>
          <w:rStyle w:val="OperatorTok"/>
        </w:rPr>
        <w:t xml:space="preserve">.</w:t>
      </w:r>
      <w:r>
        <w:rPr>
          <w:rStyle w:val="NormalTok"/>
        </w:rPr>
        <w:t xml:space="preserve">on_token(token</w:t>
      </w:r>
      <w:r>
        <w:rPr>
          <w:rStyle w:val="OperatorTok"/>
        </w:rPr>
        <w:t xml:space="preserve">.</w:t>
      </w:r>
      <w:r>
        <w:rPr>
          <w:rStyle w:val="NormalTok"/>
        </w:rPr>
        <w:t xml:space="preserve">text</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ControlFlowTok"/>
        </w:rPr>
        <w:t xml:space="preserve">if</w:t>
      </w:r>
      <w:r>
        <w:rPr>
          <w:rStyle w:val="NormalTok"/>
        </w:rPr>
        <w:t xml:space="preserve"> token</w:t>
      </w:r>
      <w:r>
        <w:rPr>
          <w:rStyle w:val="OperatorTok"/>
        </w:rPr>
        <w:t xml:space="preserve">.</w:t>
      </w:r>
      <w:r>
        <w:rPr>
          <w:rStyle w:val="NormalTok"/>
        </w:rPr>
        <w:t xml:space="preserve">is_eos </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(ctx</w:t>
      </w:r>
      <w:r>
        <w:rPr>
          <w:rStyle w:val="OperatorTok"/>
        </w:rPr>
        <w:t xml:space="preserve">.</w:t>
      </w:r>
      <w:r>
        <w:rPr>
          <w:rStyle w:val="NormalTok"/>
        </w:rPr>
        <w:t xml:space="preserve">stats())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Swift 6: actor-isolated wrapper enforcing Sendable boundaries</w:t>
      </w:r>
      <w:r>
        <w:br/>
      </w:r>
      <w:r>
        <w:rPr>
          <w:rStyle w:val="OperatorTok"/>
        </w:rPr>
        <w:t xml:space="preserve">@</w:t>
      </w:r>
      <w:r>
        <w:rPr>
          <w:rStyle w:val="NormalTok"/>
        </w:rPr>
        <w:t xml:space="preserve">MainActor</w:t>
      </w:r>
      <w:r>
        <w:br/>
      </w:r>
      <w:r>
        <w:rPr>
          <w:rStyle w:val="NormalTok"/>
        </w:rPr>
        <w:t xml:space="preserve">public class RexBridge</w:t>
      </w:r>
      <w:r>
        <w:rPr>
          <w:rStyle w:val="OperatorTok"/>
        </w:rPr>
        <w:t xml:space="preserve">:</w:t>
      </w:r>
      <w:r>
        <w:rPr>
          <w:rStyle w:val="NormalTok"/>
        </w:rPr>
        <w:t xml:space="preserve"> </w:t>
      </w:r>
      <w:r>
        <w:rPr>
          <w:rStyle w:val="OperatorTok"/>
        </w:rPr>
        <w:t xml:space="preserve">@</w:t>
      </w:r>
      <w:r>
        <w:rPr>
          <w:rStyle w:val="NormalTok"/>
        </w:rPr>
        <w:t xml:space="preserve">unchecked Sendable </w:t>
      </w:r>
      <w:r>
        <w:rPr>
          <w:rStyle w:val="OperatorTok"/>
        </w:rPr>
        <w:t xml:space="preserve">{</w:t>
      </w:r>
      <w:r>
        <w:br/>
      </w:r>
      <w:r>
        <w:rPr>
          <w:rStyle w:val="NormalTok"/>
        </w:rPr>
        <w:t xml:space="preserve">    private </w:t>
      </w:r>
      <w:r>
        <w:rPr>
          <w:rStyle w:val="KeywordTok"/>
        </w:rPr>
        <w:t xml:space="preserve">let</w:t>
      </w:r>
      <w:r>
        <w:rPr>
          <w:rStyle w:val="NormalTok"/>
        </w:rPr>
        <w:t xml:space="preserve"> engine</w:t>
      </w:r>
      <w:r>
        <w:rPr>
          <w:rStyle w:val="OperatorTok"/>
        </w:rPr>
        <w:t xml:space="preserve">:</w:t>
      </w:r>
      <w:r>
        <w:rPr>
          <w:rStyle w:val="NormalTok"/>
        </w:rPr>
        <w:t xml:space="preserve"> RexEngine</w:t>
      </w:r>
      <w:r>
        <w:br/>
      </w:r>
      <w:r>
        <w:rPr>
          <w:rStyle w:val="NormalTok"/>
        </w:rPr>
        <w:t xml:space="preserve">    private </w:t>
      </w:r>
      <w:r>
        <w:rPr>
          <w:rStyle w:val="KeywordTok"/>
        </w:rPr>
        <w:t xml:space="preserve">let</w:t>
      </w:r>
      <w:r>
        <w:rPr>
          <w:rStyle w:val="NormalTok"/>
        </w:rPr>
        <w:t xml:space="preserve"> tokenStream</w:t>
      </w:r>
      <w:r>
        <w:rPr>
          <w:rStyle w:val="OperatorTok"/>
        </w:rPr>
        <w:t xml:space="preserve">:</w:t>
      </w:r>
      <w:r>
        <w:rPr>
          <w:rStyle w:val="NormalTok"/>
        </w:rPr>
        <w:t xml:space="preserve"> AsyncStream</w:t>
      </w:r>
      <w:r>
        <w:rPr>
          <w:rStyle w:val="OperatorTok"/>
        </w:rPr>
        <w:t xml:space="preserve">&lt;</w:t>
      </w:r>
      <w:r>
        <w:rPr>
          <w:rStyle w:val="DataTypeTok"/>
        </w:rPr>
        <w:t xml:space="preserve">String</w:t>
      </w:r>
      <w:r>
        <w:rPr>
          <w:rStyle w:val="OperatorTok"/>
        </w:rPr>
        <w:t xml:space="preserve">&gt;</w:t>
      </w:r>
      <w:r>
        <w:br/>
      </w:r>
      <w:r>
        <w:rPr>
          <w:rStyle w:val="NormalTok"/>
        </w:rPr>
        <w:t xml:space="preserve">    private </w:t>
      </w:r>
      <w:r>
        <w:rPr>
          <w:rStyle w:val="KeywordTok"/>
        </w:rPr>
        <w:t xml:space="preserve">let</w:t>
      </w:r>
      <w:r>
        <w:rPr>
          <w:rStyle w:val="NormalTok"/>
        </w:rPr>
        <w:t xml:space="preserve"> continuation</w:t>
      </w:r>
      <w:r>
        <w:rPr>
          <w:rStyle w:val="OperatorTok"/>
        </w:rPr>
        <w:t xml:space="preserve">:</w:t>
      </w:r>
      <w:r>
        <w:rPr>
          <w:rStyle w:val="NormalTok"/>
        </w:rPr>
        <w:t xml:space="preserve"> AsyncStream</w:t>
      </w:r>
      <w:r>
        <w:rPr>
          <w:rStyle w:val="OperatorTok"/>
        </w:rPr>
        <w:t xml:space="preserve">&lt;</w:t>
      </w:r>
      <w:r>
        <w:rPr>
          <w:rStyle w:val="DataTypeTok"/>
        </w:rPr>
        <w:t xml:space="preserve">String</w:t>
      </w:r>
      <w:r>
        <w:rPr>
          <w:rStyle w:val="OperatorTok"/>
        </w:rPr>
        <w:t xml:space="preserve">&gt;.</w:t>
      </w:r>
      <w:r>
        <w:rPr>
          <w:rStyle w:val="NormalTok"/>
        </w:rPr>
        <w:t xml:space="preserve">Continuation</w:t>
      </w:r>
      <w:r>
        <w:br/>
      </w:r>
      <w:r>
        <w:br/>
      </w:r>
      <w:r>
        <w:rPr>
          <w:rStyle w:val="NormalTok"/>
        </w:rPr>
        <w:t xml:space="preserve">    public init(modelPath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engine </w:t>
      </w:r>
      <w:r>
        <w:rPr>
          <w:rStyle w:val="OperatorTok"/>
        </w:rPr>
        <w:t xml:space="preserve">=</w:t>
      </w:r>
      <w:r>
        <w:rPr>
          <w:rStyle w:val="NormalTok"/>
        </w:rPr>
        <w:t xml:space="preserve"> RexEngine(modelPath</w:t>
      </w:r>
      <w:r>
        <w:rPr>
          <w:rStyle w:val="OperatorTok"/>
        </w:rPr>
        <w:t xml:space="preserve">:</w:t>
      </w:r>
      <w:r>
        <w:rPr>
          <w:rStyle w:val="NormalTok"/>
        </w:rPr>
        <w:t xml:space="preserve"> modelPath)</w:t>
      </w:r>
      <w:r>
        <w:br/>
      </w:r>
      <w:r>
        <w:rPr>
          <w:rStyle w:val="NormalTok"/>
        </w:rPr>
        <w:t xml:space="preserve">        (</w:t>
      </w:r>
      <w:r>
        <w:rPr>
          <w:rStyle w:val="KeywordTok"/>
        </w:rPr>
        <w:t xml:space="preserve">self</w:t>
      </w:r>
      <w:r>
        <w:rPr>
          <w:rStyle w:val="OperatorTok"/>
        </w:rPr>
        <w:t xml:space="preserve">.</w:t>
      </w:r>
      <w:r>
        <w:rPr>
          <w:rStyle w:val="NormalTok"/>
        </w:rPr>
        <w:t xml:space="preserve">tokenStream</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continuation) </w:t>
      </w:r>
      <w:r>
        <w:rPr>
          <w:rStyle w:val="OperatorTok"/>
        </w:rPr>
        <w:t xml:space="preserve">=</w:t>
      </w:r>
      <w:r>
        <w:rPr>
          <w:rStyle w:val="NormalTok"/>
        </w:rPr>
        <w:t xml:space="preserve"> AsyncStream</w:t>
      </w:r>
      <w:r>
        <w:rPr>
          <w:rStyle w:val="OperatorTok"/>
        </w:rPr>
        <w:t xml:space="preserve">.</w:t>
      </w:r>
      <w:r>
        <w:rPr>
          <w:rStyle w:val="NormalTok"/>
        </w:rPr>
        <w:t xml:space="preserve">makeStream(of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KeywordTok"/>
        </w:rPr>
        <w:t xml:space="preserve">self</w:t>
      </w:r>
      <w:r>
        <w:rPr>
          <w:rStyle w:val="NormalTok"/>
        </w:rPr>
        <w:t xml:space="preserve">)</w:t>
      </w:r>
      <w:r>
        <w:br/>
      </w:r>
      <w:r>
        <w:rPr>
          <w:rStyle w:val="NormalTok"/>
        </w:rPr>
        <w:t xml:space="preserve">    </w:t>
      </w:r>
      <w:r>
        <w:rPr>
          <w:rStyle w:val="OperatorTok"/>
        </w:rPr>
        <w:t xml:space="preserve">}</w:t>
      </w:r>
      <w:r>
        <w:br/>
      </w:r>
      <w:r>
        <w:br/>
      </w:r>
      <w:r>
        <w:rPr>
          <w:rStyle w:val="NormalTok"/>
        </w:rPr>
        <w:t xml:space="preserve">    public func generate(prompt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async</w:t>
      </w:r>
      <w:r>
        <w:rPr>
          <w:rStyle w:val="NormalTok"/>
        </w:rPr>
        <w:t xml:space="preserve"> throws </w:t>
      </w:r>
      <w:r>
        <w:rPr>
          <w:rStyle w:val="OperatorTok"/>
        </w:rPr>
        <w:t xml:space="preserve">-&gt;</w:t>
      </w:r>
      <w:r>
        <w:rPr>
          <w:rStyle w:val="NormalTok"/>
        </w:rPr>
        <w:t xml:space="preserve"> GenerationStats </w:t>
      </w:r>
      <w:r>
        <w:rPr>
          <w:rStyle w:val="OperatorTok"/>
        </w:rPr>
        <w:t xml:space="preserve">{</w:t>
      </w:r>
      <w:r>
        <w:br/>
      </w:r>
      <w:r>
        <w:rPr>
          <w:rStyle w:val="NormalTok"/>
        </w:rPr>
        <w:t xml:space="preserve">        </w:t>
      </w:r>
      <w:r>
        <w:rPr>
          <w:rStyle w:val="KeywordTok"/>
        </w:rPr>
        <w:t xml:space="preserve">let</w:t>
      </w:r>
      <w:r>
        <w:rPr>
          <w:rStyle w:val="NormalTok"/>
        </w:rPr>
        <w:t xml:space="preserve"> callback </w:t>
      </w:r>
      <w:r>
        <w:rPr>
          <w:rStyle w:val="OperatorTok"/>
        </w:rPr>
        <w:t xml:space="preserve">=</w:t>
      </w:r>
      <w:r>
        <w:rPr>
          <w:rStyle w:val="NormalTok"/>
        </w:rPr>
        <w:t xml:space="preserve"> TokenCallbackImpl(continuation</w:t>
      </w:r>
      <w:r>
        <w:rPr>
          <w:rStyle w:val="OperatorTok"/>
        </w:rPr>
        <w:t xml:space="preserve">:</w:t>
      </w:r>
      <w:r>
        <w:rPr>
          <w:rStyle w:val="NormalTok"/>
        </w:rPr>
        <w:t xml:space="preserve"> continuation)</w:t>
      </w:r>
      <w:r>
        <w:br/>
      </w:r>
      <w:r>
        <w:rPr>
          <w:rStyle w:val="NormalTok"/>
        </w:rPr>
        <w:t xml:space="preserve">        </w:t>
      </w:r>
      <w:r>
        <w:rPr>
          <w:rStyle w:val="ControlFlowTok"/>
        </w:rPr>
        <w:t xml:space="preserve">return</w:t>
      </w:r>
      <w:r>
        <w:rPr>
          <w:rStyle w:val="NormalTok"/>
        </w:rPr>
        <w:t xml:space="preserve"> </w:t>
      </w:r>
      <w:r>
        <w:rPr>
          <w:rStyle w:val="KeywordTok"/>
        </w:rPr>
        <w:t xml:space="preserve">try</w:t>
      </w:r>
      <w:r>
        <w:rPr>
          <w:rStyle w:val="NormalTok"/>
        </w:rPr>
        <w:t xml:space="preserve"> </w:t>
      </w:r>
      <w:r>
        <w:rPr>
          <w:rStyle w:val="KeywordTok"/>
        </w:rPr>
        <w:t xml:space="preserve">await</w:t>
      </w:r>
      <w:r>
        <w:rPr>
          <w:rStyle w:val="NormalTok"/>
        </w:rPr>
        <w:t xml:space="preserve"> engine</w:t>
      </w:r>
      <w:r>
        <w:rPr>
          <w:rStyle w:val="OperatorTok"/>
        </w:rPr>
        <w:t xml:space="preserve">.</w:t>
      </w:r>
      <w:r>
        <w:rPr>
          <w:rStyle w:val="NormalTok"/>
        </w:rPr>
        <w:t xml:space="preserve">generate(prompt</w:t>
      </w:r>
      <w:r>
        <w:rPr>
          <w:rStyle w:val="OperatorTok"/>
        </w:rPr>
        <w:t xml:space="preserve">:</w:t>
      </w:r>
      <w:r>
        <w:rPr>
          <w:rStyle w:val="NormalTok"/>
        </w:rPr>
        <w:t xml:space="preserve"> prompt</w:t>
      </w:r>
      <w:r>
        <w:rPr>
          <w:rStyle w:val="OperatorTok"/>
        </w:rPr>
        <w:t xml:space="preserve">,</w:t>
      </w:r>
      <w:r>
        <w:rPr>
          <w:rStyle w:val="NormalTok"/>
        </w:rPr>
        <w:t xml:space="preserve"> callback</w:t>
      </w:r>
      <w:r>
        <w:rPr>
          <w:rStyle w:val="OperatorTok"/>
        </w:rPr>
        <w:t xml:space="preserve">:</w:t>
      </w:r>
      <w:r>
        <w:rPr>
          <w:rStyle w:val="NormalTok"/>
        </w:rPr>
        <w:t xml:space="preserve"> callback)</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SAFETY: RexEngine holds opaque Arc&lt;Mutex&lt;&gt;&gt;; Swift never dereferences</w:t>
      </w:r>
      <w:r>
        <w:br/>
      </w:r>
      <w:r>
        <w:rPr>
          <w:rStyle w:val="CommentTok"/>
        </w:rPr>
        <w:t xml:space="preserve">// raw pointers. All mutable state lives in Rust. Swift receives only String</w:t>
      </w:r>
      <w:r>
        <w:br/>
      </w:r>
      <w:r>
        <w:rPr>
          <w:rStyle w:val="CommentTok"/>
        </w:rPr>
        <w:t xml:space="preserve">// tokens and Sendable config structs.</w:t>
      </w:r>
    </w:p>
    <w:p>
      <w:pPr>
        <w:pStyle w:val="FirstParagraph"/>
      </w:pPr>
      <w:r>
        <w:t xml:space="preserve">The code block above illustrates the complete bridging architecture. On the Rust side,</w:t>
      </w:r>
      <w:r>
        <w:t xml:space="preserve"> </w:t>
      </w:r>
      <w:r>
        <w:rPr>
          <w:rStyle w:val="VerbatimChar"/>
        </w:rPr>
        <w:t xml:space="preserve">RexEngine</w:t>
      </w:r>
      <w:r>
        <w:t xml:space="preserve"> </w:t>
      </w:r>
      <w:r>
        <w:t xml:space="preserve">is a UniFFI-exported object that holds an</w:t>
      </w:r>
      <w:r>
        <w:t xml:space="preserve"> </w:t>
      </w:r>
      <w:r>
        <w:rPr>
          <w:rStyle w:val="VerbatimChar"/>
        </w:rPr>
        <w:t xml:space="preserve">Arc&lt;Mutex&lt;MLXModel&gt;&gt;</w:t>
      </w:r>
      <w:r>
        <w:t xml:space="preserve"> </w:t>
      </w:r>
      <w:r>
        <w:t xml:space="preserve">and an IOSurface-backed shared buffer. The</w:t>
      </w:r>
      <w:r>
        <w:t xml:space="preserve"> </w:t>
      </w:r>
      <w:r>
        <w:rPr>
          <w:rStyle w:val="VerbatimChar"/>
        </w:rPr>
        <w:t xml:space="preserve">generate</w:t>
      </w:r>
      <w:r>
        <w:t xml:space="preserve"> </w:t>
      </w:r>
      <w:r>
        <w:t xml:space="preserve">method is async: Swift’s concurrency runtime polls the Rust future, and each decoded token triggers a callback into Swift. On the Swift side,</w:t>
      </w:r>
      <w:r>
        <w:t xml:space="preserve"> </w:t>
      </w:r>
      <w:r>
        <w:rPr>
          <w:rStyle w:val="VerbatimChar"/>
        </w:rPr>
        <w:t xml:space="preserve">RexBridge</w:t>
      </w:r>
      <w:r>
        <w:t xml:space="preserve"> </w:t>
      </w:r>
      <w:r>
        <w:t xml:space="preserve">is an actor-isolated</w:t>
      </w:r>
      <w:r>
        <w:t xml:space="preserve"> </w:t>
      </w:r>
      <w:r>
        <w:rPr>
          <w:rStyle w:val="VerbatimChar"/>
        </w:rPr>
        <w:t xml:space="preserve">@unchecked Sendable</w:t>
      </w:r>
      <w:r>
        <w:t xml:space="preserve"> </w:t>
      </w:r>
      <w:r>
        <w:t xml:space="preserve">wrapper because the Rust engine handle is opaque to Swift — the Rust side guarantees</w:t>
      </w:r>
      <w:r>
        <w:t xml:space="preserve"> </w:t>
      </w:r>
      <w:r>
        <w:rPr>
          <w:rStyle w:val="VerbatimChar"/>
        </w:rPr>
        <w:t xml:space="preserve">Send + Sync</w:t>
      </w:r>
      <w:r>
        <w:t xml:space="preserve">. All mutable model state remains in Rust; Swift handles only immutable</w:t>
      </w:r>
      <w:r>
        <w:t xml:space="preserve"> </w:t>
      </w:r>
      <w:r>
        <w:rPr>
          <w:rStyle w:val="VerbatimChar"/>
        </w:rPr>
        <w:t xml:space="preserve">String</w:t>
      </w:r>
      <w:r>
        <w:t xml:space="preserve"> </w:t>
      </w:r>
      <w:r>
        <w:t xml:space="preserve">tokens and</w:t>
      </w:r>
      <w:r>
        <w:t xml:space="preserve"> </w:t>
      </w:r>
      <w:r>
        <w:rPr>
          <w:rStyle w:val="VerbatimChar"/>
        </w:rPr>
        <w:t xml:space="preserve">Sendable</w:t>
      </w:r>
      <w:r>
        <w:t xml:space="preserve"> </w:t>
      </w:r>
      <w:r>
        <w:t xml:space="preserve">configuration structs. This separation is not merely a performance optimization; it is a safety boundary that prevents data races by construction.</w:t>
      </w:r>
    </w:p>
    <w:bookmarkEnd w:id="126"/>
    <w:bookmarkStart w:id="127" w:name="X384a4e03b18b08f73c28c63996647dd0a685544"/>
    <w:p>
      <w:pPr>
        <w:pStyle w:val="Heading3"/>
      </w:pPr>
      <w:r>
        <w:t xml:space="preserve">7.3.3 Swift 6 Structured Concurrency + Sendable Enforcement + Rust Ownership</w:t>
      </w:r>
    </w:p>
    <w:p>
      <w:pPr>
        <w:pStyle w:val="FirstParagraph"/>
      </w:pPr>
      <w:r>
        <w:t xml:space="preserve">Swift 6 enables complete concurrency checking by default, requiring</w:t>
      </w:r>
      <w:r>
        <w:t xml:space="preserve"> </w:t>
      </w:r>
      <w:r>
        <w:rPr>
          <w:rStyle w:val="VerbatimChar"/>
        </w:rPr>
        <w:t xml:space="preserve">Sendable</w:t>
      </w:r>
      <w:r>
        <w:t xml:space="preserve"> </w:t>
      </w:r>
      <w:r>
        <w:t xml:space="preserve">conformance for all values crossing actor boundaries</w:t>
      </w:r>
      <w:r>
        <w:t xml:space="preserve"> </w:t>
      </w:r>
      <w:fldSimple w:instr="NOTEREF _Ref_Footnote_35 \h \f">
        <w:r>
          <w:rPr>
            <w:vertAlign w:val="superscript"/>
          </w:rPr>
          <w:t>35</w:t>
        </w:r>
      </w:fldSimple>
      <w:r>
        <w:t xml:space="preserve">. A</w:t>
      </w:r>
      <w:r>
        <w:t xml:space="preserve"> </w:t>
      </w:r>
      <w:r>
        <w:rPr>
          <w:rStyle w:val="VerbatimChar"/>
        </w:rPr>
        <w:t xml:space="preserve">Sendable</w:t>
      </w:r>
      <w:r>
        <w:t xml:space="preserve"> </w:t>
      </w:r>
      <w:r>
        <w:t xml:space="preserve">type in Swift is one that can be safely transferred across concurrency domains without introducing data races. For the Rex substrate, this creates a natural alignment with Rust’s ownership model: Swift’s</w:t>
      </w:r>
      <w:r>
        <w:t xml:space="preserve"> </w:t>
      </w:r>
      <w:r>
        <w:rPr>
          <w:rStyle w:val="VerbatimChar"/>
        </w:rPr>
        <w:t xml:space="preserve">Sendable</w:t>
      </w:r>
      <w:r>
        <w:t xml:space="preserve"> </w:t>
      </w:r>
      <w:r>
        <w:t xml:space="preserve">corresponds to Rust’s</w:t>
      </w:r>
      <w:r>
        <w:t xml:space="preserve"> </w:t>
      </w:r>
      <w:r>
        <w:rPr>
          <w:rStyle w:val="VerbatimChar"/>
        </w:rPr>
        <w:t xml:space="preserve">Send</w:t>
      </w:r>
      <w:r>
        <w:t xml:space="preserve"> </w:t>
      </w:r>
      <w:r>
        <w:t xml:space="preserve">trait, and Swift’s actor isolation corresponds to Rust’s</w:t>
      </w:r>
      <w:r>
        <w:t xml:space="preserve"> </w:t>
      </w:r>
      <w:r>
        <w:rPr>
          <w:rStyle w:val="VerbatimChar"/>
        </w:rPr>
        <w:t xml:space="preserve">Mutex</w:t>
      </w:r>
      <w:r>
        <w:t xml:space="preserve">/</w:t>
      </w:r>
      <w:r>
        <w:rPr>
          <w:rStyle w:val="VerbatimChar"/>
        </w:rPr>
        <w:t xml:space="preserve">RwLock</w:t>
      </w:r>
      <w:r>
        <w:t xml:space="preserve"> </w:t>
      </w:r>
      <w:r>
        <w:t xml:space="preserve">synchronization.</w:t>
      </w:r>
    </w:p>
    <w:p>
      <w:pPr>
        <w:pStyle w:val="BodyText"/>
      </w:pPr>
      <w:r>
        <w:t xml:space="preserve">The recommended pattern for multi-threaded inference is to isolate all Rust handles behind a Swift actor. The inference engine actor runs on a dedicated serial queue. Swift UI sends prompts and receives tokens via async methods that cross actor boundaries. All mutable model state lives in Rust; Swift only handles immutable token strings and</w:t>
      </w:r>
      <w:r>
        <w:t xml:space="preserve"> </w:t>
      </w:r>
      <w:r>
        <w:rPr>
          <w:rStyle w:val="VerbatimChar"/>
        </w:rPr>
        <w:t xml:space="preserve">Sendable</w:t>
      </w:r>
      <w:r>
        <w:t xml:space="preserve"> </w:t>
      </w:r>
      <w:r>
        <w:t xml:space="preserve">configuration structs</w:t>
      </w:r>
      <w:r>
        <w:t xml:space="preserve"> </w:t>
      </w:r>
      <w:fldSimple w:instr="NOTEREF _Ref_Footnote_63 \h \f">
        <w:r>
          <w:rPr>
            <w:vertAlign w:val="superscript"/>
          </w:rPr>
          <w:t>63</w:t>
        </w:r>
      </w:fldSimple>
      <w:r>
        <w:t xml:space="preserve">. This design prevents accidental sharing of non-thread-safe pointers and forces the architecture to maintain clean separation between the Rust kernel and Swift UI.</w:t>
      </w:r>
    </w:p>
    <w:p>
      <w:pPr>
        <w:pStyle w:val="BodyText"/>
      </w:pPr>
      <w:r>
        <w:t xml:space="preserve">The combination of Rust’s compile-time ownership (no data races at compile time), Swift 6’s</w:t>
      </w:r>
      <w:r>
        <w:t xml:space="preserve"> </w:t>
      </w:r>
      <w:r>
        <w:rPr>
          <w:rStyle w:val="VerbatimChar"/>
        </w:rPr>
        <w:t xml:space="preserve">Sendable</w:t>
      </w:r>
      <w:r>
        <w:t xml:space="preserve"> </w:t>
      </w:r>
      <w:r>
        <w:t xml:space="preserve">enforcement (no data races across actor boundaries), and UMA’s zero-copy shared memory (no serialization races) creates a deterministic, memory-safe boundary layer. On discrete GPU systems, the same guarantee would require explicit synchronization of DMA transfers and CUDA stream ordering — a substantially more complex correctness argument.</w:t>
      </w:r>
    </w:p>
    <w:bookmarkEnd w:id="127"/>
    <w:bookmarkEnd w:id="128"/>
    <w:bookmarkStart w:id="132" w:name="local-first-cognitive-operating-system"/>
    <w:p>
      <w:pPr>
        <w:pStyle w:val="Heading2"/>
      </w:pPr>
      <w:r>
        <w:t xml:space="preserve">7.4 Local-First Cognitive Operating System</w:t>
      </w:r>
    </w:p>
    <w:bookmarkStart w:id="129" w:name="X1b5ba5d464013e7d719556f216c4c60e1537502"/>
    <w:p>
      <w:pPr>
        <w:pStyle w:val="Heading3"/>
      </w:pPr>
      <w:r>
        <w:t xml:space="preserve">7.4.1 Tiered Hybrid Memory: Graph + Vector + Temporal</w:t>
      </w:r>
    </w:p>
    <w:p>
      <w:pPr>
        <w:pStyle w:val="FirstParagraph"/>
      </w:pPr>
      <w:r>
        <w:t xml:space="preserve">A deterministic cognitive substrate requires persistent memory that survives across sessions, devices, and agent restarts. The evidence supports a three-tier hybrid architecture combining graph structure, vector embeddings, and temporal indexing</w:t>
      </w:r>
      <w:r>
        <w:t xml:space="preserve"> </w:t>
      </w:r>
      <w:fldSimple w:instr="NOTEREF _Ref_Footnote_17 \h \f">
        <w:r>
          <w:rPr>
            <w:vertAlign w:val="superscript"/>
          </w:rPr>
          <w:t>17</w:t>
        </w:r>
      </w:fldSimple>
      <w:r>
        <w:t xml:space="preserve"> </w:t>
      </w:r>
      <w:fldSimple w:instr="NOTEREF _Ref_Footnote_4 \h \f">
        <w:r>
          <w:rPr>
            <w:vertAlign w:val="superscript"/>
          </w:rPr>
          <w:t>4</w:t>
        </w:r>
      </w:fldSimple>
      <w:r>
        <w:t xml:space="preserve"> </w:t>
      </w:r>
      <w:fldSimple w:instr="NOTEREF _Ref_Footnote_68 \h \f">
        <w:r>
          <w:rPr>
            <w:vertAlign w:val="superscript"/>
          </w:rPr>
          <w:t>68</w:t>
        </w:r>
      </w:fldSimple>
      <w:r>
        <w:t xml:space="preserve">.</w:t>
      </w:r>
    </w:p>
    <w:tbl>
      <w:tblPr>
        <w:tblStyle w:val="Table"/>
        <w:tblW w:type="pct" w:w="5000"/>
        <w:tblLook w:firstRow="1" w:lastRow="0" w:firstColumn="0" w:lastColumn="0" w:noHBand="0" w:noVBand="0" w:val="0020"/>
      </w:tblPr>
      <w:tblGrid>
        <w:gridCol w:w="779"/>
        <w:gridCol w:w="1428"/>
        <w:gridCol w:w="1298"/>
        <w:gridCol w:w="1168"/>
        <w:gridCol w:w="2466"/>
        <w:gridCol w:w="779"/>
      </w:tblGrid>
      <w:tr>
        <w:trPr>
          <w:tblHeader w:val="true"/>
        </w:trPr>
        <w:tc>
          <w:tcPr/>
          <w:p>
            <w:pPr>
              <w:pStyle w:val="Compact"/>
              <w:jc w:val="left"/>
            </w:pPr>
            <w:r>
              <w:t xml:space="preserve">Tier</w:t>
            </w:r>
          </w:p>
        </w:tc>
        <w:tc>
          <w:tcPr/>
          <w:p>
            <w:pPr>
              <w:pStyle w:val="Compact"/>
              <w:jc w:val="left"/>
            </w:pPr>
            <w:r>
              <w:t xml:space="preserve">Technology</w:t>
            </w:r>
          </w:p>
        </w:tc>
        <w:tc>
          <w:tcPr/>
          <w:p>
            <w:pPr>
              <w:pStyle w:val="Compact"/>
              <w:jc w:val="left"/>
            </w:pPr>
            <w:r>
              <w:t xml:space="preserve">Capacity</w:t>
            </w:r>
          </w:p>
        </w:tc>
        <w:tc>
          <w:tcPr/>
          <w:p>
            <w:pPr>
              <w:pStyle w:val="Compact"/>
              <w:jc w:val="left"/>
            </w:pPr>
            <w:r>
              <w:t xml:space="preserve">Latency</w:t>
            </w:r>
          </w:p>
        </w:tc>
        <w:tc>
          <w:tcPr/>
          <w:p>
            <w:pPr>
              <w:pStyle w:val="Compact"/>
              <w:jc w:val="left"/>
            </w:pPr>
            <w:r>
              <w:t xml:space="preserve">Consistency Model</w:t>
            </w:r>
          </w:p>
        </w:tc>
        <w:tc>
          <w:tcPr/>
          <w:p>
            <w:pPr>
              <w:pStyle w:val="Compact"/>
              <w:jc w:val="left"/>
            </w:pPr>
            <w:r>
              <w:t xml:space="preserve">Role</w:t>
            </w:r>
          </w:p>
        </w:tc>
      </w:tr>
      <w:tr>
        <w:tc>
          <w:tcPr/>
          <w:p>
            <w:pPr>
              <w:pStyle w:val="Compact"/>
              <w:jc w:val="left"/>
            </w:pPr>
            <w:r>
              <w:t xml:space="preserve">L1: Working Memory</w:t>
            </w:r>
          </w:p>
        </w:tc>
        <w:tc>
          <w:tcPr/>
          <w:p>
            <w:pPr>
              <w:pStyle w:val="Compact"/>
              <w:jc w:val="left"/>
            </w:pPr>
            <w:r>
              <w:t xml:space="preserve">MLX-compressed KV cache + context window</w:t>
            </w:r>
          </w:p>
        </w:tc>
        <w:tc>
          <w:tcPr/>
          <w:p>
            <w:pPr>
              <w:pStyle w:val="Compact"/>
              <w:jc w:val="left"/>
            </w:pPr>
            <w:r>
              <w:t xml:space="preserve">Context-limited (~128K tokens)</w:t>
            </w:r>
          </w:p>
        </w:tc>
        <w:tc>
          <w:tcPr/>
          <w:p>
            <w:pPr>
              <w:pStyle w:val="Compact"/>
              <w:jc w:val="left"/>
            </w:pPr>
            <w:r>
              <w:t xml:space="preserve">&lt;1 ms per token</w:t>
            </w:r>
          </w:p>
        </w:tc>
        <w:tc>
          <w:tcPr/>
          <w:p>
            <w:pPr>
              <w:pStyle w:val="Compact"/>
              <w:jc w:val="left"/>
            </w:pPr>
            <w:r>
              <w:t xml:space="preserve">Strong (single session)</w:t>
            </w:r>
          </w:p>
        </w:tc>
        <w:tc>
          <w:tcPr/>
          <w:p>
            <w:pPr>
              <w:pStyle w:val="Compact"/>
              <w:jc w:val="left"/>
            </w:pPr>
            <w:r>
              <w:t xml:space="preserve">Active reasoning, current conversation, tool outputs</w:t>
            </w:r>
            <w:r>
              <w:t xml:space="preserve"> </w:t>
            </w:r>
            <w:fldSimple w:instr="NOTEREF _Ref_Footnote_25 \h \f">
              <w:r>
                <w:rPr>
                  <w:vertAlign w:val="superscript"/>
                </w:rPr>
                <w:t>25</w:t>
              </w:r>
            </w:fldSimple>
          </w:p>
        </w:tc>
      </w:tr>
      <w:tr>
        <w:tc>
          <w:tcPr/>
          <w:p>
            <w:pPr>
              <w:pStyle w:val="Compact"/>
              <w:jc w:val="left"/>
            </w:pPr>
            <w:r>
              <w:t xml:space="preserve">L2: Associative Memory</w:t>
            </w:r>
          </w:p>
        </w:tc>
        <w:tc>
          <w:tcPr/>
          <w:p>
            <w:pPr>
              <w:pStyle w:val="Compact"/>
              <w:jc w:val="left"/>
            </w:pPr>
            <w:r>
              <w:t xml:space="preserve">SQLite-vec / LanceDB + Chroma embeddings</w:t>
            </w:r>
          </w:p>
        </w:tc>
        <w:tc>
          <w:tcPr/>
          <w:p>
            <w:pPr>
              <w:pStyle w:val="Compact"/>
              <w:jc w:val="left"/>
            </w:pPr>
            <w:r>
              <w:t xml:space="preserve">GB-scale local, millions of vectors</w:t>
            </w:r>
          </w:p>
        </w:tc>
        <w:tc>
          <w:tcPr/>
          <w:p>
            <w:pPr>
              <w:pStyle w:val="Compact"/>
              <w:jc w:val="left"/>
            </w:pPr>
            <w:r>
              <w:t xml:space="preserve">~10 ms retrieval</w:t>
            </w:r>
          </w:p>
        </w:tc>
        <w:tc>
          <w:tcPr/>
          <w:p>
            <w:pPr>
              <w:pStyle w:val="Compact"/>
              <w:jc w:val="left"/>
            </w:pPr>
            <w:r>
              <w:t xml:space="preserve">Eventual (CRDT-synced)</w:t>
            </w:r>
          </w:p>
        </w:tc>
        <w:tc>
          <w:tcPr/>
          <w:p>
            <w:pPr>
              <w:pStyle w:val="Compact"/>
              <w:jc w:val="left"/>
            </w:pPr>
            <w:r>
              <w:t xml:space="preserve">Semantic retrieval, document chunks, entity similarity</w:t>
            </w:r>
            <w:r>
              <w:t xml:space="preserve"> </w:t>
            </w:r>
            <w:r>
              <w:rPr>
                <w:vertAlign w:val="superscript"/>
              </w:rPr>
              <w:footnoteReference w:id="74"/>
            </w:r>
          </w:p>
        </w:tc>
      </w:tr>
      <w:tr>
        <w:tc>
          <w:tcPr/>
          <w:p>
            <w:pPr>
              <w:pStyle w:val="Compact"/>
              <w:jc w:val="left"/>
            </w:pPr>
            <w:r>
              <w:t xml:space="preserve">L3: Deep Memory</w:t>
            </w:r>
          </w:p>
        </w:tc>
        <w:tc>
          <w:tcPr/>
          <w:p>
            <w:pPr>
              <w:pStyle w:val="Compact"/>
              <w:jc w:val="left"/>
            </w:pPr>
            <w:r>
              <w:t xml:space="preserve">Zep/Graphiti temporal knowledge graph</w:t>
            </w:r>
          </w:p>
        </w:tc>
        <w:tc>
          <w:tcPr/>
          <w:p>
            <w:pPr>
              <w:pStyle w:val="Compact"/>
              <w:jc w:val="left"/>
            </w:pPr>
            <w:r>
              <w:t xml:space="preserve">TB-scale with disk-based indexing</w:t>
            </w:r>
          </w:p>
        </w:tc>
        <w:tc>
          <w:tcPr/>
          <w:p>
            <w:pPr>
              <w:pStyle w:val="Compact"/>
              <w:jc w:val="left"/>
            </w:pPr>
            <w:r>
              <w:t xml:space="preserve">P95 &lt;300 ms</w:t>
            </w:r>
            <w:r>
              <w:t xml:space="preserve"> </w:t>
            </w:r>
            <w:fldSimple w:instr="NOTEREF _Ref_Footnote_74 \h \f">
              <w:r>
                <w:rPr>
                  <w:vertAlign w:val="superscript"/>
                </w:rPr>
                <w:t>74</w:t>
              </w:r>
            </w:fldSimple>
          </w:p>
        </w:tc>
        <w:tc>
          <w:tcPr/>
          <w:p>
            <w:pPr>
              <w:pStyle w:val="Compact"/>
              <w:jc w:val="left"/>
            </w:pPr>
            <w:r>
              <w:t xml:space="preserve">Causal (event-sourced)</w:t>
            </w:r>
          </w:p>
        </w:tc>
        <w:tc>
          <w:tcPr/>
          <w:p>
            <w:pPr>
              <w:pStyle w:val="Compact"/>
              <w:jc w:val="left"/>
            </w:pPr>
            <w:r>
              <w:t xml:space="preserve">Persistent knowledge, provenance, temporal validity</w:t>
            </w:r>
            <w:r>
              <w:t xml:space="preserve"> </w:t>
            </w:r>
            <w:fldSimple w:instr="NOTEREF _Ref_Footnote_17 \h \f">
              <w:r>
                <w:rPr>
                  <w:vertAlign w:val="superscript"/>
                </w:rPr>
                <w:t>17</w:t>
              </w:r>
            </w:fldSimple>
          </w:p>
        </w:tc>
      </w:tr>
    </w:tbl>
    <w:p>
      <w:pPr>
        <w:pStyle w:val="BodyText"/>
      </w:pPr>
      <w:r>
        <w:t xml:space="preserve">The L1 tier corresponds to MemGPT’s</w:t>
      </w:r>
      <w:r>
        <w:t xml:space="preserve"> </w:t>
      </w:r>
      <w:r>
        <w:t xml:space="preserve">“</w:t>
      </w:r>
      <w:r>
        <w:t xml:space="preserve">main context</w:t>
      </w:r>
      <w:r>
        <w:t xml:space="preserve">”</w:t>
      </w:r>
      <w:r>
        <w:t xml:space="preserve"> </w:t>
      </w:r>
      <w:r>
        <w:t xml:space="preserve">or working memory: system instructions, agent persona, and the active conversation queue</w:t>
      </w:r>
      <w:r>
        <w:t xml:space="preserve"> </w:t>
      </w:r>
      <w:fldSimple w:instr="NOTEREF _Ref_Footnote_25 \h \f">
        <w:r>
          <w:rPr>
            <w:vertAlign w:val="superscript"/>
          </w:rPr>
          <w:t>25</w:t>
        </w:r>
      </w:fldSimple>
      <w:r>
        <w:t xml:space="preserve">. This tier lives entirely within the LLM’s KV cache and is lost on model unload. The L2 tier provides semantic retrieval via vector embeddings, using embedded databases such as SQLite-vec (which extends SQLite with native float32, int8, and bit vector types plus L2, cosine, and Hamming distance metrics</w:t>
      </w:r>
      <w:r>
        <w:t xml:space="preserve"> </w:t>
      </w:r>
      <w:fldSimple w:instr="NOTEREF _Ref_Footnote_65 \h \f">
        <w:r>
          <w:rPr>
            <w:vertAlign w:val="superscript"/>
          </w:rPr>
          <w:t>65</w:t>
        </w:r>
      </w:fldSimple>
      <w:r>
        <w:t xml:space="preserve">) or LanceDB for larger-than-memory datasets with disk-based indexing. Binary quantization combined with Hamming distance achieves 32x storage reduction, enabling hundreds of thousands of documents to be indexed in a database file under 100 MB</w:t>
      </w:r>
      <w:r>
        <w:t xml:space="preserve"> </w:t>
      </w:r>
      <w:r>
        <w:rPr>
          <w:vertAlign w:val="superscript"/>
        </w:rPr>
        <w:footnoteReference w:id="75"/>
      </w:r>
      <w:r>
        <w:t xml:space="preserve">.</w:t>
      </w:r>
    </w:p>
    <w:p>
      <w:pPr>
        <w:pStyle w:val="BodyText"/>
      </w:pPr>
      <w:r>
        <w:t xml:space="preserve">The L3 tier is the temporal knowledge graph, where Zep/Graphiti provides the most advanced open implementation. Graphiti’s bi-temporal model tracks both when a fact occurred and when it was ingested. Every edge carries a validity interval</w:t>
      </w:r>
      <w:r>
        <w:t xml:space="preserve"> </w:t>
      </w:r>
      <m:oMath>
        <m:d>
          <m:dPr>
            <m:begChr m:val="("/>
            <m:endChr m:val=")"/>
            <m:sepChr m:val=""/>
            <m:grow/>
          </m:dPr>
          <m:e>
            <m:sSub>
              <m:e>
                <m:r>
                  <m:t>t</m:t>
                </m:r>
              </m:e>
              <m:sub>
                <m:r>
                  <m:rPr>
                    <m:nor/>
                    <m:sty m:val="p"/>
                  </m:rPr>
                  <m:t>valid</m:t>
                </m:r>
              </m:sub>
            </m:sSub>
            <m:r>
              <m:rPr>
                <m:sty m:val="p"/>
              </m:rPr>
              <m:t>,</m:t>
            </m:r>
            <m:sSub>
              <m:e>
                <m:r>
                  <m:t>t</m:t>
                </m:r>
              </m:e>
              <m:sub>
                <m:r>
                  <m:rPr>
                    <m:nor/>
                    <m:sty m:val="p"/>
                  </m:rPr>
                  <m:t>invalid</m:t>
                </m:r>
              </m:sub>
            </m:sSub>
          </m:e>
        </m:d>
      </m:oMath>
      <w:r>
        <w:t xml:space="preserve">, enabling queries such as</w:t>
      </w:r>
      <w:r>
        <w:t xml:space="preserve"> </w:t>
      </w:r>
      <w:r>
        <w:t xml:space="preserve">“</w:t>
      </w:r>
      <w:r>
        <w:t xml:space="preserve">what was true in January 2024?</w:t>
      </w:r>
      <w:r>
        <w:t xml:space="preserve">”</w:t>
      </w:r>
      <w:r>
        <w:t xml:space="preserve"> </w:t>
      </w:r>
      <w:r>
        <w:t xml:space="preserve">versus</w:t>
      </w:r>
      <w:r>
        <w:t xml:space="preserve"> </w:t>
      </w:r>
      <w:r>
        <w:t xml:space="preserve">“</w:t>
      </w:r>
      <w:r>
        <w:t xml:space="preserve">what is true now?</w:t>
      </w:r>
      <w:r>
        <w:t xml:space="preserve">”</w:t>
      </w:r>
      <w:r>
        <w:t xml:space="preserve"> </w:t>
      </w:r>
      <w:fldSimple w:instr="NOTEREF _Ref_Footnote_74 \h \f">
        <w:r>
          <w:rPr>
            <w:vertAlign w:val="superscript"/>
          </w:rPr>
          <w:t>74</w:t>
        </w:r>
      </w:fldSimple>
      <w:r>
        <w:t xml:space="preserve">. The graph structure captures entities, relationships, and provenance — the reasoning memory that Neo4j identifies as essential for explainable agent behavior</w:t>
      </w:r>
      <w:r>
        <w:t xml:space="preserve"> </w:t>
      </w:r>
      <w:fldSimple w:instr="NOTEREF _Ref_Footnote_4 \h \f">
        <w:r>
          <w:rPr>
            <w:vertAlign w:val="superscript"/>
          </w:rPr>
          <w:t>4</w:t>
        </w:r>
      </w:fldSimple>
      <w:r>
        <w:t xml:space="preserve">. Graphiti achieves P95 retrieval latency of 300 ms through hybrid search combining semantic embeddings, BM25 keyword matching, and graph traversal without LLM calls during retrieval</w:t>
      </w:r>
      <w:r>
        <w:t xml:space="preserve"> </w:t>
      </w:r>
      <w:fldSimple w:instr="NOTEREF _Ref_Footnote_74 \h \f">
        <w:r>
          <w:rPr>
            <w:vertAlign w:val="superscript"/>
          </w:rPr>
          <w:t>74</w:t>
        </w:r>
      </w:fldSimple>
      <w:r>
        <w:t xml:space="preserve">.</w:t>
      </w:r>
    </w:p>
    <w:bookmarkEnd w:id="129"/>
    <w:bookmarkStart w:id="130" w:name="Xf84f691dc49e687c522e339f8f1864a3032c420"/>
    <w:p>
      <w:pPr>
        <w:pStyle w:val="Heading3"/>
      </w:pPr>
      <w:r>
        <w:t xml:space="preserve">7.4.2 CRDT Synchronization: Offline-First Agent State</w:t>
      </w:r>
    </w:p>
    <w:p>
      <w:pPr>
        <w:pStyle w:val="FirstParagraph"/>
      </w:pPr>
      <w:r>
        <w:t xml:space="preserve">Conflict-Free Replicated Data Types (CRDTs) provide the mathematical foundation for offline-first agent state synchronization. CRDTs can sync via any communication channel — server, peer-to-peer, Bluetooth, or USB stick — and changes can be as granular as a single keystroke</w:t>
      </w:r>
      <w:r>
        <w:t xml:space="preserve"> </w:t>
      </w:r>
      <w:fldSimple w:instr="NOTEREF _Ref_Footnote_6 \h \f">
        <w:r>
          <w:rPr>
            <w:vertAlign w:val="superscript"/>
          </w:rPr>
          <w:t>6</w:t>
        </w:r>
      </w:fldSimple>
      <w:r>
        <w:t xml:space="preserve">. For a local-first cognitive OS, this means agent state (goals, beliefs, conversation history, knowledge graph fragments) can be modified while offline and merged automatically when connectivity resumes.</w:t>
      </w:r>
    </w:p>
    <w:p>
      <w:pPr>
        <w:pStyle w:val="BodyText"/>
      </w:pPr>
      <w:r>
        <w:t xml:space="preserve">The 2026 ElectricSQL</w:t>
      </w:r>
      <w:r>
        <w:t xml:space="preserve"> </w:t>
      </w:r>
      <w:r>
        <w:t xml:space="preserve">“</w:t>
      </w:r>
      <w:r>
        <w:t xml:space="preserve">AI agents as CRDT peers</w:t>
      </w:r>
      <w:r>
        <w:t xml:space="preserve">”</w:t>
      </w:r>
      <w:r>
        <w:t xml:space="preserve"> </w:t>
      </w:r>
      <w:r>
        <w:t xml:space="preserve">demonstration validated this pattern at scale: AI agents operate as server-side Yjs peers, editing shared documents through the same sync protocol as human users, with visible cursors and real-time presence</w:t>
      </w:r>
      <w:r>
        <w:t xml:space="preserve"> </w:t>
      </w:r>
      <w:fldSimple w:instr="NOTEREF _Ref_Footnote_12 \h \f">
        <w:r>
          <w:rPr>
            <w:vertAlign w:val="superscript"/>
          </w:rPr>
          <w:t>12</w:t>
        </w:r>
      </w:fldSimple>
      <w:r>
        <w:t xml:space="preserve">. For the Rex substrate, the pattern translates directly: each agent maintains a Yjs document containing shared types for agent state (</w:t>
      </w:r>
      <w:r>
        <w:rPr>
          <w:rStyle w:val="VerbatimChar"/>
        </w:rPr>
        <w:t xml:space="preserve">Y.Map</w:t>
      </w:r>
      <w:r>
        <w:t xml:space="preserve">), conversation history (</w:t>
      </w:r>
      <w:r>
        <w:rPr>
          <w:rStyle w:val="VerbatimChar"/>
        </w:rPr>
        <w:t xml:space="preserve">Y.Array</w:t>
      </w:r>
      <w:r>
        <w:t xml:space="preserve">), and knowledge graph fragments (</w:t>
      </w:r>
      <w:r>
        <w:rPr>
          <w:rStyle w:val="VerbatimChar"/>
        </w:rPr>
        <w:t xml:space="preserve">Y.Map</w:t>
      </w:r>
      <w:r>
        <w:t xml:space="preserve"> </w:t>
      </w:r>
      <w:r>
        <w:t xml:space="preserve">of</w:t>
      </w:r>
      <w:r>
        <w:t xml:space="preserve"> </w:t>
      </w:r>
      <w:r>
        <w:rPr>
          <w:rStyle w:val="VerbatimChar"/>
        </w:rPr>
        <w:t xml:space="preserve">Y.Map</w:t>
      </w:r>
      <w:r>
        <w:t xml:space="preserve">s). Agent tool calls are translated into Yjs operations, ensuring that every action is versioned, mergeable, and auditable.</w:t>
      </w:r>
    </w:p>
    <w:p>
      <w:pPr>
        <w:pStyle w:val="BodyText"/>
      </w:pPr>
      <w:r>
        <w:t xml:space="preserve">CRDTs are not sufficient for all consistency requirements. Event sourcing with causal consistency, as implemented by Temporal.io for durable agent workflows, provides implicit checkpointing and long-running process recovery</w:t>
      </w:r>
      <w:r>
        <w:t xml:space="preserve"> </w:t>
      </w:r>
      <w:fldSimple w:instr="NOTEREF _Ref_Footnote_61 \h \f">
        <w:r>
          <w:rPr>
            <w:vertAlign w:val="superscript"/>
          </w:rPr>
          <w:t>61</w:t>
        </w:r>
      </w:fldSimple>
      <w:r>
        <w:t xml:space="preserve">. For critical structured data (financial records, medical data), SQLite transactions provide strong consistency within the local device. The recommended architecture uses CRDTs for collaborative document and note editing, event sourcing for agent workflow state, and SQLite transactions for critical structured data.</w:t>
      </w:r>
    </w:p>
    <w:bookmarkEnd w:id="130"/>
    <w:bookmarkStart w:id="131" w:name="Xf1cbb90940805d38abc41eb4951950986550ca3"/>
    <w:p>
      <w:pPr>
        <w:pStyle w:val="Heading3"/>
      </w:pPr>
      <w:r>
        <w:t xml:space="preserve">7.4.3</w:t>
      </w:r>
      <w:r>
        <w:t xml:space="preserve"> </w:t>
      </w:r>
      <w:r>
        <w:t xml:space="preserve">“</w:t>
      </w:r>
      <w:r>
        <w:t xml:space="preserve">Verified Research Mode</w:t>
      </w:r>
      <w:r>
        <w:t xml:space="preserve">”</w:t>
      </w:r>
      <w:r>
        <w:t xml:space="preserve">: Reproducible Cognitive Traces</w:t>
      </w:r>
    </w:p>
    <w:p>
      <w:pPr>
        <w:pStyle w:val="FirstParagraph"/>
      </w:pPr>
      <w:r>
        <w:t xml:space="preserve">The deterministic substrate enables a mode of operation absent from cloud AI systems: fully reproducible research workflows where every claim, every inference step, and every repair action carries a cryptographic trace. In Verified Research Mode, the agent maintains three epistemic categories for every statement it produces:</w:t>
      </w:r>
      <w:r>
        <w:t xml:space="preserve"> </w:t>
      </w:r>
      <w:r>
        <w:rPr>
          <w:bCs/>
          <w:b/>
        </w:rPr>
        <w:t xml:space="preserve">verified claims</w:t>
      </w:r>
      <w:r>
        <w:t xml:space="preserve"> </w:t>
      </w:r>
      <w:r>
        <w:t xml:space="preserve">(supported by extracted evidence with NLI entailment scores above threshold),</w:t>
      </w:r>
      <w:r>
        <w:t xml:space="preserve"> </w:t>
      </w:r>
      <w:r>
        <w:rPr>
          <w:bCs/>
          <w:b/>
        </w:rPr>
        <w:t xml:space="preserve">speculative claims</w:t>
      </w:r>
      <w:r>
        <w:t xml:space="preserve"> </w:t>
      </w:r>
      <w:r>
        <w:t xml:space="preserve">(flagged as provisional, awaiting external validation), and</w:t>
      </w:r>
      <w:r>
        <w:t xml:space="preserve"> </w:t>
      </w:r>
      <w:r>
        <w:rPr>
          <w:bCs/>
          <w:b/>
        </w:rPr>
        <w:t xml:space="preserve">contradictions</w:t>
      </w:r>
      <w:r>
        <w:t xml:space="preserve"> </w:t>
      </w:r>
      <w:r>
        <w:t xml:space="preserve">(detected via claim-graph consistency checking and queued for repair)</w:t>
      </w:r>
      <w:r>
        <w:t xml:space="preserve"> </w:t>
      </w:r>
      <w:fldSimple w:instr="NOTEREF _Ref_Footnote_4 \h \f">
        <w:r>
          <w:rPr>
            <w:vertAlign w:val="superscript"/>
          </w:rPr>
          <w:t>4</w:t>
        </w:r>
      </w:fldSimple>
      <w:r>
        <w:t xml:space="preserve"> </w:t>
      </w:r>
      <w:fldSimple w:instr="NOTEREF _Ref_Footnote_12 \h \f">
        <w:r>
          <w:rPr>
            <w:vertAlign w:val="superscript"/>
          </w:rPr>
          <w:t>12</w:t>
        </w:r>
      </w:fldSimple>
      <w:r>
        <w:t xml:space="preserve">.</w:t>
      </w:r>
    </w:p>
    <w:p>
      <w:pPr>
        <w:pStyle w:val="BodyText"/>
      </w:pPr>
      <w:r>
        <w:t xml:space="preserve">Each claim is linked to its provenance: the model weights hash, the prompt hash, the seed value, the constraint engine validation result, and the full computation trace. Because execution is deterministic, a recipient can replay the exact computation that produced the claim, given the same weights, prompt, and seed. This is the</w:t>
      </w:r>
      <w:r>
        <w:t xml:space="preserve"> </w:t>
      </w:r>
      <w:r>
        <w:t xml:space="preserve">“</w:t>
      </w:r>
      <w:r>
        <w:t xml:space="preserve">Proof-Carrying Response</w:t>
      </w:r>
      <w:r>
        <w:t xml:space="preserve">”</w:t>
      </w:r>
      <w:r>
        <w:t xml:space="preserve"> </w:t>
      </w:r>
      <w:r>
        <w:t xml:space="preserve">protocol: the Merkle root of the entire computation chain is embedded in the response metadata, enabling third-party verification that the stated model, the stated input, and the stated verifier all produced the stated output.</w:t>
      </w:r>
    </w:p>
    <w:p>
      <w:pPr>
        <w:pStyle w:val="BodyText"/>
      </w:pPr>
      <w:r>
        <w:t xml:space="preserve">The unit-checking and assumption-graph components enforce dimensional and ontological consistency. When the agent reasons about physical quantities, Rust const generics enforce dimensional analysis at compile time — rejecting operations such as</w:t>
      </w:r>
      <w:r>
        <w:t xml:space="preserve"> </w:t>
      </w:r>
      <w:r>
        <w:rPr>
          <w:rStyle w:val="VerbatimChar"/>
        </w:rPr>
        <w:t xml:space="preserve">Length + Time</w:t>
      </w:r>
      <w:r>
        <w:t xml:space="preserve"> </w:t>
      </w:r>
      <w:r>
        <w:t xml:space="preserve">before they reach the model. Assumption graphs track the dependency structure of every inference: if a foundational assumption is later contradicted by new evidence, all downstream claims derived from that assumption are automatically flagged for re-evaluation.</w:t>
      </w:r>
    </w:p>
    <w:p>
      <w:pPr>
        <w:pStyle w:val="BodyText"/>
      </w:pPr>
      <w:r>
        <w:t xml:space="preserve">Cloud AI cannot replicate this triad of determinism, provenance, and local persistence because multi-tenant scheduling introduces non-determinism, data transmission breaks the provenance chain at the API boundary, and user-owned persistent memory is structurally incompatible with stateless request-response serving. The deterministic substrate is not merely faster or more private; it is a different class of computing system, one where inference outputs are traceable, auditable, and reproducible by design.</w:t>
      </w:r>
    </w:p>
    <w:p>
      <w:r>
        <w:pict>
          <v:rect style="width:0;height:1.5pt" o:hralign="center" o:hrstd="t" o:hr="t"/>
        </w:pict>
      </w:r>
    </w:p>
    <w:bookmarkEnd w:id="131"/>
    <w:bookmarkEnd w:id="132"/>
    <w:bookmarkEnd w:id="133"/>
    <w:bookmarkStart w:id="187" w:name="X37e7fd72dee2772c3e2ce0bd75c31be8cd7e891"/>
    <w:p>
      <w:pPr>
        <w:pStyle w:val="Heading1"/>
      </w:pPr>
      <w:r>
        <w:t xml:space="preserve">8. Benchmark Intelligence and Evaluation Without Execution</w:t>
      </w:r>
    </w:p>
    <w:p>
      <w:pPr>
        <w:pStyle w:val="FirstParagraph"/>
      </w:pPr>
      <w:r>
        <w:t xml:space="preserve">Evaluating a single large language model on the Holistic Evaluation of Language Models (HELM) suite consumes over 4,000 GPU-hours—exceeding $10,000 in API costs for one pass</w:t>
      </w:r>
      <w:r>
        <w:t xml:space="preserve"> </w:t>
      </w:r>
      <w:r>
        <w:rPr>
          <w:vertAlign w:val="superscript"/>
        </w:rPr>
        <w:footnoteReference w:id="76"/>
      </w:r>
      <w:r>
        <w:t xml:space="preserve">. At the scale of modern model development, where dozens of candidate checkpoints are produced weekly, exhaustive benchmark execution has become the dominant cost in the training pipeline. This chapter addresses whether evaluation can be performed</w:t>
      </w:r>
      <w:r>
        <w:t xml:space="preserve"> </w:t>
      </w:r>
      <w:r>
        <w:rPr>
          <w:iCs/>
          <w:i/>
        </w:rPr>
        <w:t xml:space="preserve">without</w:t>
      </w:r>
      <w:r>
        <w:t xml:space="preserve"> </w:t>
      </w:r>
      <w:r>
        <w:t xml:space="preserve">execution—by reading the model’s internal representation of a benchmark rather than its output on it. The methodology rests on Sparse Autoencoder (SAE) feature fingerprinting: treating each benchmark as a set of latent feature activations that can be compared, measured for redundancy, and used to guide targeted improvement.</w:t>
      </w:r>
    </w:p>
    <w:bookmarkStart w:id="140" w:name="sae-feature-fingerprinting"/>
    <w:p>
      <w:pPr>
        <w:pStyle w:val="Heading2"/>
      </w:pPr>
      <w:r>
        <w:t xml:space="preserve">8.1 SAE Feature Fingerprinting</w:t>
      </w:r>
    </w:p>
    <w:bookmarkStart w:id="134" w:name="X50f1519d6cf61960e5295589701364f6fb913ab"/>
    <w:p>
      <w:pPr>
        <w:pStyle w:val="Heading3"/>
      </w:pPr>
      <w:r>
        <w:t xml:space="preserve">8.1.1 From Feature Activations to Benchmark Signatures</w:t>
      </w:r>
    </w:p>
    <w:p>
      <w:pPr>
        <w:pStyle w:val="FirstParagraph"/>
      </w:pPr>
      <w:r>
        <w:t xml:space="preserve">The foundational observation is that a benchmark’s questions activate a characteristic subset of a model’s latent features, and this activation pattern constitutes a compact signature of the capabilities the benchmark probes. Qwen-Scope, an open-source suite of SAEs built across the Qwen model family (14 SAE groups, 7 variants, both dense and Mixture-of-Expert architectures), formalizes this mapping</w:t>
      </w:r>
      <w:r>
        <w:t xml:space="preserve"> </w:t>
      </w:r>
      <w:fldSimple w:instr="NOTEREF _Ref_Footnote_3 \h \f">
        <w:r>
          <w:rPr>
            <w:vertAlign w:val="superscript"/>
          </w:rPr>
          <w:t>3</w:t>
        </w:r>
      </w:fldSimple>
      <w:r>
        <w:t xml:space="preserve">. For a benchmark</w:t>
      </w:r>
      <w:r>
        <w:t xml:space="preserve"> </w:t>
      </w:r>
      <m:oMath>
        <m:r>
          <m:t>D</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the active feature set of an individual sample</w:t>
      </w:r>
      <w:r>
        <w:t xml:space="preserve"> </w:t>
      </w:r>
      <m:oMath>
        <m:sSub>
          <m:e>
            <m:r>
              <m:t>x</m:t>
            </m:r>
          </m:e>
          <m:sub>
            <m:r>
              <m:t>i</m:t>
            </m:r>
          </m:sub>
        </m:sSub>
      </m:oMath>
      <w:r>
        <w:t xml:space="preserve"> </w:t>
      </w:r>
      <w:r>
        <w:t xml:space="preserve">is defined as the indices of SAE latents that fire above threshold:</w:t>
      </w:r>
    </w:p>
    <w:p>
      <w:pPr>
        <w:pStyle w:val="BodyText"/>
      </w:pPr>
      <m:oMathPara>
        <m:oMathParaPr>
          <m:jc m:val="center"/>
        </m:oMathParaPr>
        <m:oMath>
          <m:r>
            <m:t>F</m:t>
          </m:r>
          <m:d>
            <m:dPr>
              <m:begChr m:val="("/>
              <m:endChr m:val=")"/>
              <m:sepChr m:val=""/>
              <m:grow/>
            </m:dPr>
            <m:e>
              <m:sSub>
                <m:e>
                  <m:r>
                    <m:t>x</m:t>
                  </m:r>
                </m:e>
                <m:sub>
                  <m:r>
                    <m:t>i</m:t>
                  </m:r>
                </m:sub>
              </m:sSub>
            </m:e>
          </m:d>
          <m:r>
            <m:rPr>
              <m:sty m:val="p"/>
            </m:rPr>
            <m:t>=</m:t>
          </m:r>
          <m:d>
            <m:dPr>
              <m:begChr m:val="{"/>
              <m:endChr m:val="}"/>
              <m:sepChr m:val=""/>
              <m:grow/>
            </m:dPr>
            <m:e>
              <m:r>
                <m:t>j</m:t>
              </m:r>
              <m:r>
                <m:rPr>
                  <m:sty m:val="p"/>
                </m:rPr>
                <m:t>∈</m:t>
              </m:r>
              <m:r>
                <m:rPr>
                  <m:sty m:val="p"/>
                </m:rPr>
                <m:t>{</m:t>
              </m:r>
              <m:r>
                <m:t>1</m:t>
              </m:r>
              <m:r>
                <m:rPr>
                  <m:sty m:val="p"/>
                </m:rPr>
                <m:t>,</m:t>
              </m:r>
              <m:r>
                <m:rPr>
                  <m:sty m:val="p"/>
                </m:rPr>
                <m:t>…</m:t>
              </m:r>
              <m:r>
                <m:rPr>
                  <m:sty m:val="p"/>
                </m:rPr>
                <m:t>,</m:t>
              </m:r>
              <m:r>
                <m:t>d</m:t>
              </m:r>
              <m:r>
                <m:rPr>
                  <m:sty m:val="p"/>
                </m:rPr>
                <m:t>}</m:t>
              </m:r>
              <m:r>
                <m:rPr>
                  <m:sty m:val="p"/>
                </m:rPr>
                <m:t>:</m:t>
              </m:r>
              <m:sSub>
                <m:e>
                  <m:r>
                    <m:t>z</m:t>
                  </m:r>
                </m:e>
                <m:sub>
                  <m:r>
                    <m:t>j</m:t>
                  </m:r>
                </m:sub>
              </m:sSub>
              <m:d>
                <m:dPr>
                  <m:begChr m:val="("/>
                  <m:endChr m:val=")"/>
                  <m:sepChr m:val=""/>
                  <m:grow/>
                </m:dPr>
                <m:e>
                  <m:sSub>
                    <m:e>
                      <m:r>
                        <m:t>x</m:t>
                      </m:r>
                    </m:e>
                    <m:sub>
                      <m:r>
                        <m:t>i</m:t>
                      </m:r>
                    </m:sub>
                  </m:sSub>
                </m:e>
              </m:d>
              <m:r>
                <m:rPr>
                  <m:sty m:val="p"/>
                </m:rPr>
                <m:t>&gt;</m:t>
              </m:r>
              <m:r>
                <m:t>0</m:t>
              </m:r>
            </m:e>
          </m:d>
        </m:oMath>
      </m:oMathPara>
    </w:p>
    <w:p>
      <w:pPr>
        <w:pStyle w:val="FirstParagraph"/>
      </w:pPr>
      <w:r>
        <w:t xml:space="preserve">where</w:t>
      </w:r>
      <w:r>
        <w:t xml:space="preserve"> </w:t>
      </w:r>
      <m:oMath>
        <m:sSub>
          <m:e>
            <m:r>
              <m:t>z</m:t>
            </m:r>
          </m:e>
          <m:sub>
            <m:r>
              <m:t>j</m:t>
            </m:r>
          </m:sub>
        </m:sSub>
        <m:d>
          <m:dPr>
            <m:begChr m:val="("/>
            <m:endChr m:val=")"/>
            <m:sepChr m:val=""/>
            <m:grow/>
          </m:dPr>
          <m:e>
            <m:sSub>
              <m:e>
                <m:r>
                  <m:t>x</m:t>
                </m:r>
              </m:e>
              <m:sub>
                <m:r>
                  <m:t>i</m:t>
                </m:r>
              </m:sub>
            </m:sSub>
          </m:e>
        </m:d>
      </m:oMath>
      <w:r>
        <w:t xml:space="preserve"> </w:t>
      </w:r>
      <w:r>
        <w:t xml:space="preserve">is the</w:t>
      </w:r>
      <w:r>
        <w:t xml:space="preserve"> </w:t>
      </w:r>
      <m:oMath>
        <m:r>
          <m:t>j</m:t>
        </m:r>
      </m:oMath>
      <w:r>
        <w:t xml:space="preserve">-th component of the Top-</w:t>
      </w:r>
      <m:oMath>
        <m:r>
          <m:t>k</m:t>
        </m:r>
      </m:oMath>
      <w:r>
        <w:t xml:space="preserve"> </w:t>
      </w:r>
      <w:r>
        <w:t xml:space="preserve">ReLU SAE latent representation extracted at the last token position</w:t>
      </w:r>
      <w:r>
        <w:t xml:space="preserve"> </w:t>
      </w:r>
      <w:fldSimple w:instr="NOTEREF _Ref_Footnote_3 \h \f">
        <w:r>
          <w:rPr>
            <w:vertAlign w:val="superscript"/>
          </w:rPr>
          <w:t>3</w:t>
        </w:r>
      </w:fldSimple>
      <w:r>
        <w:t xml:space="preserve">. The</w:t>
      </w:r>
      <w:r>
        <w:t xml:space="preserve"> </w:t>
      </w:r>
      <w:r>
        <w:rPr>
          <w:iCs/>
          <w:i/>
        </w:rPr>
        <w:t xml:space="preserve">feature footprint</w:t>
      </w:r>
      <w:r>
        <w:t xml:space="preserve"> </w:t>
      </w:r>
      <w:r>
        <w:t xml:space="preserve">of the entire benchmark is the union over all samples:</w:t>
      </w:r>
    </w:p>
    <w:p>
      <w:pPr>
        <w:pStyle w:val="BodyText"/>
      </w:pPr>
      <m:oMathPara>
        <m:oMathParaPr>
          <m:jc m:val="center"/>
        </m:oMathParaPr>
        <m:oMath>
          <m:r>
            <m:t>F</m:t>
          </m:r>
          <m:d>
            <m:dPr>
              <m:begChr m:val="("/>
              <m:endChr m:val=")"/>
              <m:sepChr m:val=""/>
              <m:grow/>
            </m:dPr>
            <m:e>
              <m:r>
                <m:t>D</m:t>
              </m:r>
            </m:e>
          </m:d>
          <m:r>
            <m:rPr>
              <m:sty m:val="p"/>
            </m:rPr>
            <m:t>=</m:t>
          </m:r>
          <m:limLow>
            <m:e>
              <m:limUpp>
                <m:e>
                  <m:r>
                    <m:rPr>
                      <m:sty m:val="p"/>
                    </m:rPr>
                    <m:t>⋃</m:t>
                  </m:r>
                </m:e>
                <m:lim>
                  <m:r>
                    <m:t>N</m:t>
                  </m:r>
                </m:lim>
              </m:limUpp>
            </m:e>
            <m:lim>
              <m:r>
                <m:t>i</m:t>
              </m:r>
              <m:r>
                <m:rPr>
                  <m:sty m:val="p"/>
                </m:rPr>
                <m:t>=</m:t>
              </m:r>
              <m:r>
                <m:t>1</m:t>
              </m:r>
            </m:lim>
          </m:limLow>
          <m:r>
            <m:t>F</m:t>
          </m:r>
          <m:d>
            <m:dPr>
              <m:begChr m:val="("/>
              <m:endChr m:val=")"/>
              <m:sepChr m:val=""/>
              <m:grow/>
            </m:dPr>
            <m:e>
              <m:sSub>
                <m:e>
                  <m:r>
                    <m:t>x</m:t>
                  </m:r>
                </m:e>
                <m:sub>
                  <m:r>
                    <m:t>i</m:t>
                  </m:r>
                </m:sub>
              </m:sSub>
            </m:e>
          </m:d>
        </m:oMath>
      </m:oMathPara>
    </w:p>
    <w:p>
      <w:pPr>
        <w:pStyle w:val="FirstParagraph"/>
      </w:pPr>
      <w:r>
        <w:t xml:space="preserve">This footprint</w:t>
      </w:r>
      <w:r>
        <w:t xml:space="preserve"> </w:t>
      </w:r>
      <m:oMath>
        <m:r>
          <m:t>F</m:t>
        </m:r>
        <m:d>
          <m:dPr>
            <m:begChr m:val="("/>
            <m:endChr m:val=")"/>
            <m:sepChr m:val=""/>
            <m:grow/>
          </m:dPr>
          <m:e>
            <m:r>
              <m:t>D</m:t>
            </m:r>
          </m:e>
        </m:d>
      </m:oMath>
      <w:r>
        <w:t xml:space="preserve"> </w:t>
      </w:r>
      <w:r>
        <w:t xml:space="preserve">is the benchmark’s fingerprint: a sparse binary vector (or set) in feature-index space encoding what representational directions the benchmark exercises. Because the SAE is orders of magnitude smaller than the base model—often a shallow encoder-decoder attached to a single hidden layer—computing</w:t>
      </w:r>
      <w:r>
        <w:t xml:space="preserve"> </w:t>
      </w:r>
      <m:oMath>
        <m:r>
          <m:t>F</m:t>
        </m:r>
        <m:d>
          <m:dPr>
            <m:begChr m:val="("/>
            <m:endChr m:val=")"/>
            <m:sepChr m:val=""/>
            <m:grow/>
          </m:dPr>
          <m:e>
            <m:r>
              <m:t>D</m:t>
            </m:r>
          </m:e>
        </m:d>
      </m:oMath>
      <w:r>
        <w:t xml:space="preserve"> </w:t>
      </w:r>
      <w:r>
        <w:t xml:space="preserve">requires only one lightweight forward pass per sample, not a full model inference with token generation.</w:t>
      </w:r>
    </w:p>
    <w:p>
      <w:pPr>
        <w:pStyle w:val="BodyText"/>
      </w:pPr>
      <w:r>
        <w:t xml:space="preserve">The geometric organization of these features is not random. SAE features exhibit</w:t>
      </w:r>
      <w:r>
        <w:t xml:space="preserve"> </w:t>
      </w:r>
      <w:r>
        <w:rPr>
          <w:iCs/>
          <w:i/>
        </w:rPr>
        <w:t xml:space="preserve">meso-scale modularity</w:t>
      </w:r>
      <w:r>
        <w:t xml:space="preserve">: features that co-occur functionally tend to cluster geometrically, with math and code features forming distinct spatial</w:t>
      </w:r>
      <w:r>
        <w:t xml:space="preserve"> </w:t>
      </w:r>
      <w:r>
        <w:t xml:space="preserve">“</w:t>
      </w:r>
      <w:r>
        <w:t xml:space="preserve">lobes</w:t>
      </w:r>
      <w:r>
        <w:t xml:space="preserve">”</w:t>
      </w:r>
      <w:r>
        <w:t xml:space="preserve"> </w:t>
      </w:r>
      <w:r>
        <w:t xml:space="preserve">separate from general language features</w:t>
      </w:r>
      <w:r>
        <w:t xml:space="preserve"> </w:t>
      </w:r>
      <w:r>
        <w:rPr>
          <w:vertAlign w:val="superscript"/>
        </w:rPr>
        <w:footnoteReference w:id="77"/>
      </w:r>
      <w:r>
        <w:t xml:space="preserve">. The phi coefficient for co-occurrence affinity was found to best predict this spatial structure, and mutual information between functional and geometric clusters ruled out the null hypothesis at 954 standard deviations</w:t>
      </w:r>
      <w:r>
        <w:t xml:space="preserve"> </w:t>
      </w:r>
      <w:fldSimple w:instr="NOTEREF _Ref_Footnote_77 \h \f">
        <w:r>
          <w:rPr>
            <w:vertAlign w:val="superscript"/>
          </w:rPr>
          <w:t>77</w:t>
        </w:r>
      </w:fldSimple>
      <w:r>
        <w:t xml:space="preserve">. This modularity means that benchmark fingerprints are not arbitrary point clouds; they occupy structured regions of latent space that can be reasoned about.</w:t>
      </w:r>
    </w:p>
    <w:p>
      <w:pPr>
        <w:pStyle w:val="BodyText"/>
      </w:pPr>
      <w:r>
        <w:t xml:space="preserve">Layer-wise analysis adds further resolution. Feature activations tend to peak at specific depths, with features at early layers more spread across groups, and larger models distributing features more broadly across layers</w:t>
      </w:r>
      <w:r>
        <w:t xml:space="preserve"> </w:t>
      </w:r>
      <w:r>
        <w:rPr>
          <w:vertAlign w:val="superscript"/>
        </w:rPr>
        <w:footnoteReference w:id="78"/>
      </w:r>
      <w:r>
        <w:t xml:space="preserve">. A benchmark that probes early-layer syntactic features (e.g., code parsing) will have a fingerprint concentrated at shallow depths, while one probing multi-step reasoning will activate deeper layers. Qwen-Scope currently uses a single-layer SAE for fingerprinting; extending to multi-layer feature tensors would improve fidelity, though the computational cost remains negligible relative to full evaluation.</w:t>
      </w:r>
    </w:p>
    <w:p>
      <w:pPr>
        <w:pStyle w:val="BodyText"/>
      </w:pPr>
      <w:r>
        <w:t xml:space="preserve">The asymmetric overlap between two benchmarks reveals containment relationships that are invisible to standard accuracy comparisons. Define:</w:t>
      </w:r>
    </w:p>
    <w:p>
      <w:pPr>
        <w:pStyle w:val="BodyText"/>
      </w:pPr>
      <m:oMathPara>
        <m:oMathParaPr>
          <m:jc m:val="center"/>
        </m:oMathParaPr>
        <m:oMath>
          <m:r>
            <m:rPr>
              <m:nor/>
              <m:sty m:val="p"/>
            </m:rPr>
            <m:t>overlap</m:t>
          </m:r>
          <m:d>
            <m:dPr>
              <m:begChr m:val="("/>
              <m:endChr m:val=")"/>
              <m:sepChr m:val=""/>
              <m:grow/>
            </m:dPr>
            <m:e>
              <m:sSub>
                <m:e>
                  <m:r>
                    <m:t>D</m:t>
                  </m:r>
                </m:e>
                <m:sub>
                  <m:r>
                    <m:t>1</m:t>
                  </m:r>
                </m:sub>
              </m:sSub>
              <m:r>
                <m:rPr>
                  <m:sty m:val="p"/>
                </m:rPr>
                <m:t>,</m:t>
              </m:r>
              <m:sSub>
                <m:e>
                  <m:r>
                    <m:t>D</m:t>
                  </m:r>
                </m:e>
                <m:sub>
                  <m:r>
                    <m:t>2</m:t>
                  </m:r>
                </m:sub>
              </m:sSub>
            </m:e>
          </m:d>
          <m:r>
            <m:rPr>
              <m:sty m:val="p"/>
            </m:rPr>
            <m:t>=</m:t>
          </m:r>
          <m:f>
            <m:fPr>
              <m:type m:val="bar"/>
            </m:fPr>
            <m:num>
              <m:d>
                <m:dPr>
                  <m:begChr m:val="|"/>
                  <m:endChr m:val="|"/>
                  <m:sepChr m:val=""/>
                  <m:grow/>
                </m:dPr>
                <m:e>
                  <m:r>
                    <m:t>F</m:t>
                  </m:r>
                  <m:d>
                    <m:dPr>
                      <m:begChr m:val="("/>
                      <m:endChr m:val=")"/>
                      <m:sepChr m:val=""/>
                      <m:grow/>
                    </m:dPr>
                    <m:e>
                      <m:sSub>
                        <m:e>
                          <m:r>
                            <m:t>D</m:t>
                          </m:r>
                        </m:e>
                        <m:sub>
                          <m:r>
                            <m:t>1</m:t>
                          </m:r>
                        </m:sub>
                      </m:sSub>
                    </m:e>
                  </m:d>
                  <m:r>
                    <m:rPr>
                      <m:sty m:val="p"/>
                    </m:rPr>
                    <m:t>∩</m:t>
                  </m:r>
                  <m:r>
                    <m:t>F</m:t>
                  </m:r>
                  <m:d>
                    <m:dPr>
                      <m:begChr m:val="("/>
                      <m:endChr m:val=")"/>
                      <m:sepChr m:val=""/>
                      <m:grow/>
                    </m:dPr>
                    <m:e>
                      <m:sSub>
                        <m:e>
                          <m:r>
                            <m:t>D</m:t>
                          </m:r>
                        </m:e>
                        <m:sub>
                          <m:r>
                            <m:t>2</m:t>
                          </m:r>
                        </m:sub>
                      </m:sSub>
                    </m:e>
                  </m:d>
                </m:e>
              </m:d>
            </m:num>
            <m:den>
              <m:d>
                <m:dPr>
                  <m:begChr m:val="|"/>
                  <m:endChr m:val="|"/>
                  <m:sepChr m:val=""/>
                  <m:grow/>
                </m:dPr>
                <m:e>
                  <m:r>
                    <m:t>F</m:t>
                  </m:r>
                  <m:d>
                    <m:dPr>
                      <m:begChr m:val="("/>
                      <m:endChr m:val=")"/>
                      <m:sepChr m:val=""/>
                      <m:grow/>
                    </m:dPr>
                    <m:e>
                      <m:sSub>
                        <m:e>
                          <m:r>
                            <m:t>D</m:t>
                          </m:r>
                        </m:e>
                        <m:sub>
                          <m:r>
                            <m:t>1</m:t>
                          </m:r>
                        </m:sub>
                      </m:sSub>
                    </m:e>
                  </m:d>
                </m:e>
              </m:d>
            </m:den>
          </m:f>
        </m:oMath>
      </m:oMathPara>
    </w:p>
    <w:p>
      <w:pPr>
        <w:pStyle w:val="FirstParagraph"/>
      </w:pPr>
      <w:r>
        <w:t xml:space="preserve">This measures what fraction of</w:t>
      </w:r>
      <w:r>
        <w:t xml:space="preserve"> </w:t>
      </w:r>
      <m:oMath>
        <m:sSub>
          <m:e>
            <m:r>
              <m:t>D</m:t>
            </m:r>
          </m:e>
          <m:sub>
            <m:r>
              <m:t>1</m:t>
            </m:r>
          </m:sub>
        </m:sSub>
      </m:oMath>
      <w:r>
        <w:t xml:space="preserve">’s feature footprint is also activated by</w:t>
      </w:r>
      <w:r>
        <w:t xml:space="preserve"> </w:t>
      </w:r>
      <m:oMath>
        <m:sSub>
          <m:e>
            <m:r>
              <m:t>D</m:t>
            </m:r>
          </m:e>
          <m:sub>
            <m:r>
              <m:t>2</m:t>
            </m:r>
          </m:sub>
        </m:sSub>
      </m:oMath>
      <w:r>
        <w:t xml:space="preserve">. The overlap matrix across the Qwen-Scope 17-benchmark suite exposes a hierarchy of capability containment</w:t>
      </w:r>
      <w:r>
        <w:t xml:space="preserve"> </w:t>
      </w:r>
      <w:fldSimple w:instr="NOTEREF _Ref_Footnote_3 \h \f">
        <w:r>
          <w:rPr>
            <w:vertAlign w:val="superscript"/>
          </w:rPr>
          <w:t>3</w:t>
        </w:r>
      </w:fldSimple>
      <w:r>
        <w:t xml:space="preserve">:</w:t>
      </w:r>
    </w:p>
    <w:tbl>
      <w:tblPr>
        <w:tblStyle w:val="Table"/>
        <w:tblW w:type="pct" w:w="5000"/>
        <w:tblLook w:firstRow="1" w:lastRow="0" w:firstColumn="0" w:lastColumn="0" w:noHBand="0" w:noVBand="0" w:val="0020"/>
      </w:tblPr>
      <w:tblGrid>
        <w:gridCol w:w="2436"/>
        <w:gridCol w:w="3046"/>
        <w:gridCol w:w="2436"/>
      </w:tblGrid>
      <w:tr>
        <w:trPr>
          <w:tblHeader w:val="true"/>
        </w:trPr>
        <w:tc>
          <w:tcPr/>
          <w:p>
            <w:pPr>
              <w:pStyle w:val="Compact"/>
              <w:jc w:val="left"/>
            </w:pPr>
            <w:r>
              <w:t xml:space="preserve">Benchmark Pair</w:t>
            </w:r>
          </w:p>
        </w:tc>
        <w:tc>
          <w:tcPr/>
          <w:p>
            <w:pPr>
              <w:pStyle w:val="Compact"/>
              <w:jc w:val="left"/>
            </w:pPr>
            <w:r>
              <w:t xml:space="preserve">Asymmetric Overlap</w:t>
            </w:r>
          </w:p>
        </w:tc>
        <w:tc>
          <w:tcPr/>
          <w:p>
            <w:pPr>
              <w:pStyle w:val="Compact"/>
              <w:jc w:val="left"/>
            </w:pPr>
            <w:r>
              <w:t xml:space="preserve">Interpretation</w:t>
            </w:r>
          </w:p>
        </w:tc>
      </w:tr>
      <w:tr>
        <w:tc>
          <w:tcPr/>
          <w:p>
            <w:pPr>
              <w:pStyle w:val="Compact"/>
              <w:jc w:val="left"/>
            </w:pPr>
            <w:r>
              <w:t xml:space="preserve">GSM8K</w:t>
            </w:r>
            <w:r>
              <w:t xml:space="preserve"> </w:t>
            </w:r>
            <m:oMath>
              <m:r>
                <m:rPr>
                  <m:sty m:val="p"/>
                </m:rPr>
                <m:t>→</m:t>
              </m:r>
            </m:oMath>
            <w:r>
              <w:t xml:space="preserve"> </w:t>
            </w:r>
            <w:r>
              <w:t xml:space="preserve">MATH</w:t>
            </w:r>
          </w:p>
        </w:tc>
        <w:tc>
          <w:tcPr/>
          <w:p>
            <w:pPr>
              <w:pStyle w:val="Compact"/>
              <w:jc w:val="left"/>
            </w:pPr>
            <w:r>
              <w:t xml:space="preserve">0.63</w:t>
            </w:r>
          </w:p>
        </w:tc>
        <w:tc>
          <w:tcPr/>
          <w:p>
            <w:pPr>
              <w:pStyle w:val="Compact"/>
              <w:jc w:val="left"/>
            </w:pPr>
            <w:r>
              <w:t xml:space="preserve">63% of elementary-math features are present in competition math</w:t>
            </w:r>
            <w:r>
              <w:t xml:space="preserve"> </w:t>
            </w:r>
            <w:fldSimple w:instr="NOTEREF _Ref_Footnote_3 \h \f">
              <w:r>
                <w:rPr>
                  <w:vertAlign w:val="superscript"/>
                </w:rPr>
                <w:t>3</w:t>
              </w:r>
            </w:fldSimple>
          </w:p>
        </w:tc>
      </w:tr>
      <w:tr>
        <w:tc>
          <w:tcPr/>
          <w:p>
            <w:pPr>
              <w:pStyle w:val="Compact"/>
              <w:jc w:val="left"/>
            </w:pPr>
            <w:r>
              <w:t xml:space="preserve">MATH</w:t>
            </w:r>
            <w:r>
              <w:t xml:space="preserve"> </w:t>
            </w:r>
            <m:oMath>
              <m:r>
                <m:rPr>
                  <m:sty m:val="p"/>
                </m:rPr>
                <m:t>→</m:t>
              </m:r>
            </m:oMath>
            <w:r>
              <w:t xml:space="preserve"> </w:t>
            </w:r>
            <w:r>
              <w:t xml:space="preserve">GSM8K</w:t>
            </w:r>
          </w:p>
        </w:tc>
        <w:tc>
          <w:tcPr/>
          <w:p>
            <w:pPr>
              <w:pStyle w:val="Compact"/>
              <w:jc w:val="left"/>
            </w:pPr>
            <w:r>
              <w:t xml:space="preserve">0.10</w:t>
            </w:r>
          </w:p>
        </w:tc>
        <w:tc>
          <w:tcPr/>
          <w:p>
            <w:pPr>
              <w:pStyle w:val="Compact"/>
              <w:jc w:val="left"/>
            </w:pPr>
            <w:r>
              <w:t xml:space="preserve">Only 10% of competition-math features are present in elementary math</w:t>
            </w:r>
            <w:r>
              <w:t xml:space="preserve"> </w:t>
            </w:r>
            <w:fldSimple w:instr="NOTEREF _Ref_Footnote_3 \h \f">
              <w:r>
                <w:rPr>
                  <w:vertAlign w:val="superscript"/>
                </w:rPr>
                <w:t>3</w:t>
              </w:r>
            </w:fldSimple>
          </w:p>
        </w:tc>
      </w:tr>
      <w:tr>
        <w:tc>
          <w:tcPr/>
          <w:p>
            <w:pPr>
              <w:pStyle w:val="Compact"/>
              <w:jc w:val="left"/>
            </w:pPr>
            <w:r>
              <w:t xml:space="preserve">EvalPlus</w:t>
            </w:r>
            <w:r>
              <w:t xml:space="preserve"> </w:t>
            </w:r>
            <m:oMath>
              <m:r>
                <m:rPr>
                  <m:sty m:val="p"/>
                </m:rPr>
                <m:t>↔</m:t>
              </m:r>
            </m:oMath>
            <w:r>
              <w:t xml:space="preserve"> </w:t>
            </w:r>
            <w:r>
              <w:t xml:space="preserve">MBPP</w:t>
            </w:r>
          </w:p>
        </w:tc>
        <w:tc>
          <w:tcPr/>
          <w:p>
            <w:pPr>
              <w:pStyle w:val="Compact"/>
              <w:jc w:val="left"/>
            </w:pPr>
            <w:r>
              <w:t xml:space="preserve">0.35–0.53</w:t>
            </w:r>
          </w:p>
        </w:tc>
        <w:tc>
          <w:tcPr/>
          <w:p>
            <w:pPr>
              <w:pStyle w:val="Compact"/>
              <w:jc w:val="left"/>
            </w:pPr>
            <w:r>
              <w:t xml:space="preserve">Code benchmarks form a tight feature cluster</w:t>
            </w:r>
            <w:r>
              <w:t xml:space="preserve"> </w:t>
            </w:r>
            <w:fldSimple w:instr="NOTEREF _Ref_Footnote_3 \h \f">
              <w:r>
                <w:rPr>
                  <w:vertAlign w:val="superscript"/>
                </w:rPr>
                <w:t>3</w:t>
              </w:r>
            </w:fldSimple>
          </w:p>
        </w:tc>
      </w:tr>
      <w:tr>
        <w:tc>
          <w:tcPr/>
          <w:p>
            <w:pPr>
              <w:pStyle w:val="Compact"/>
              <w:jc w:val="left"/>
            </w:pPr>
            <w:r>
              <w:t xml:space="preserve">MMLU-Pro</w:t>
            </w:r>
            <w:r>
              <w:t xml:space="preserve"> </w:t>
            </w:r>
            <m:oMath>
              <m:r>
                <m:rPr>
                  <m:sty m:val="p"/>
                </m:rPr>
                <m:t>↔</m:t>
              </m:r>
            </m:oMath>
            <w:r>
              <w:t xml:space="preserve"> </w:t>
            </w:r>
            <w:r>
              <w:t xml:space="preserve">TheoremQA</w:t>
            </w:r>
          </w:p>
        </w:tc>
        <w:tc>
          <w:tcPr/>
          <w:p>
            <w:pPr>
              <w:pStyle w:val="Compact"/>
              <w:jc w:val="left"/>
            </w:pPr>
            <w:r>
              <w:t xml:space="preserve">0.56–0.68</w:t>
            </w:r>
          </w:p>
        </w:tc>
        <w:tc>
          <w:tcPr/>
          <w:p>
            <w:pPr>
              <w:pStyle w:val="Compact"/>
              <w:jc w:val="left"/>
            </w:pPr>
            <w:r>
              <w:t xml:space="preserve">Broad knowledge subsumes specialized theorem-proving features</w:t>
            </w:r>
            <w:r>
              <w:t xml:space="preserve"> </w:t>
            </w:r>
            <w:fldSimple w:instr="NOTEREF _Ref_Footnote_3 \h \f">
              <w:r>
                <w:rPr>
                  <w:vertAlign w:val="superscript"/>
                </w:rPr>
                <w:t>3</w:t>
              </w:r>
            </w:fldSimple>
          </w:p>
        </w:tc>
      </w:tr>
      <w:tr>
        <w:tc>
          <w:tcPr/>
          <w:p>
            <w:pPr>
              <w:pStyle w:val="Compact"/>
              <w:jc w:val="left"/>
            </w:pPr>
            <w:r>
              <w:t xml:space="preserve">MATH</w:t>
            </w:r>
            <w:r>
              <w:t xml:space="preserve"> </w:t>
            </w:r>
            <m:oMath>
              <m:r>
                <m:rPr>
                  <m:sty m:val="p"/>
                </m:rPr>
                <m:t>↔</m:t>
              </m:r>
            </m:oMath>
            <w:r>
              <w:t xml:space="preserve"> </w:t>
            </w:r>
            <w:r>
              <w:t xml:space="preserve">EvalPlus</w:t>
            </w:r>
          </w:p>
        </w:tc>
        <w:tc>
          <w:tcPr/>
          <w:p>
            <w:pPr>
              <w:pStyle w:val="Compact"/>
              <w:jc w:val="left"/>
            </w:pPr>
            <w:r>
              <w:t xml:space="preserve">0.32</w:t>
            </w:r>
          </w:p>
        </w:tc>
        <w:tc>
          <w:tcPr/>
          <w:p>
            <w:pPr>
              <w:pStyle w:val="Compact"/>
              <w:jc w:val="left"/>
            </w:pPr>
            <w:r>
              <w:t xml:space="preserve">Math and code share a modest but non-trivial feature intersection</w:t>
            </w:r>
            <w:r>
              <w:t xml:space="preserve"> </w:t>
            </w:r>
            <w:fldSimple w:instr="NOTEREF _Ref_Footnote_3 \h \f">
              <w:r>
                <w:rPr>
                  <w:vertAlign w:val="superscript"/>
                </w:rPr>
                <w:t>3</w:t>
              </w:r>
            </w:fldSimple>
          </w:p>
        </w:tc>
      </w:tr>
    </w:tbl>
    <w:p>
      <w:pPr>
        <w:pStyle w:val="BodyText"/>
      </w:pPr>
      <w:r>
        <w:t xml:space="preserve">The GSM8K–MATH asymmetry is the most striking result: elementary arithmetic is almost entirely representable within the feature space of competition mathematics, but competition mathematics exercises a vastly broader representational vocabulary that GSM8K never touches</w:t>
      </w:r>
      <w:r>
        <w:t xml:space="preserve"> </w:t>
      </w:r>
      <w:fldSimple w:instr="NOTEREF _Ref_Footnote_3 \h \f">
        <w:r>
          <w:rPr>
            <w:vertAlign w:val="superscript"/>
          </w:rPr>
          <w:t>3</w:t>
        </w:r>
      </w:fldSimple>
      <w:r>
        <w:t xml:space="preserve">. This implies that a model passing GSM8K reveals little about its MATH capability, while a model passing MATH has almost certainly mastered GSM8K. For evaluation suite design, this means GSM8K is dispensable once MATH is included—execution on both adds marginal information.</w:t>
      </w:r>
    </w:p>
    <w:bookmarkEnd w:id="134"/>
    <w:bookmarkStart w:id="138" w:name="Xe3ee42456b5bf83365a29d4aa6bbafa29435fb5"/>
    <w:p>
      <w:pPr>
        <w:pStyle w:val="Heading3"/>
      </w:pPr>
      <w:r>
        <w:t xml:space="preserve">8.1.2 Feature Redundancy as a Proxy for Performance Redundancy</w:t>
      </w:r>
    </w:p>
    <w:p>
      <w:pPr>
        <w:pStyle w:val="FirstParagraph"/>
      </w:pPr>
      <w:r>
        <w:t xml:space="preserve">Ground-truth redundancy measurement requires ranking a panel of models on the full benchmark and on random subsets, then computing Kendall’s tau correlation between the two ranking vectors</w:t>
      </w:r>
      <w:r>
        <w:t xml:space="preserve"> </w:t>
      </w:r>
      <w:fldSimple w:instr="NOTEREF _Ref_Footnote_3 \h \f">
        <w:r>
          <w:rPr>
            <w:vertAlign w:val="superscript"/>
          </w:rPr>
          <w:t>3</w:t>
        </w:r>
      </w:fldSimple>
      <w:r>
        <w:t xml:space="preserve">. Formally, for subset</w:t>
      </w:r>
      <w:r>
        <w:t xml:space="preserve"> </w:t>
      </w:r>
      <m:oMath>
        <m:r>
          <m:t>S</m:t>
        </m:r>
        <m:r>
          <m:rPr>
            <m:sty m:val="p"/>
          </m:rPr>
          <m:t>⊆</m:t>
        </m:r>
        <m:r>
          <m:t>D</m:t>
        </m:r>
      </m:oMath>
      <w:r>
        <w:t xml:space="preserve"> </w:t>
      </w:r>
      <w:r>
        <w:t xml:space="preserve">with</w:t>
      </w:r>
      <w:r>
        <w:t xml:space="preserve"> </w:t>
      </w:r>
      <m:oMath>
        <m:d>
          <m:dPr>
            <m:begChr m:val="|"/>
            <m:endChr m:val="|"/>
            <m:sepChr m:val=""/>
            <m:grow/>
          </m:dPr>
          <m:e>
            <m:r>
              <m:t>S</m:t>
            </m:r>
          </m:e>
        </m:d>
        <m:r>
          <m:rPr>
            <m:sty m:val="p"/>
          </m:rPr>
          <m:t>=</m:t>
        </m:r>
        <m:r>
          <m:t>n</m:t>
        </m:r>
      </m:oMath>
      <w:r>
        <w:t xml:space="preserve">, the expected Kendall’s tau is:</w:t>
      </w:r>
    </w:p>
    <w:p>
      <w:pPr>
        <w:pStyle w:val="BodyText"/>
      </w:pPr>
      <m:oMathPara>
        <m:oMathParaPr>
          <m:jc m:val="center"/>
        </m:oMathParaPr>
        <m:oMath>
          <m:sSub>
            <m:e>
              <m:r>
                <m:t>τ</m:t>
              </m:r>
            </m:e>
            <m:sub>
              <m:r>
                <m:t>n</m:t>
              </m:r>
            </m:sub>
          </m:sSub>
          <m:r>
            <m:rPr>
              <m:sty m:val="p"/>
            </m:rPr>
            <m:t>=</m:t>
          </m:r>
          <m:sSub>
            <m:e>
              <m:r>
                <m:rPr>
                  <m:sty m:val="p"/>
                  <m:scr m:val="double-struck"/>
                </m:rPr>
                <m:t>E</m:t>
              </m:r>
            </m:e>
            <m:sub>
              <m:r>
                <m:t>S</m:t>
              </m:r>
              <m:r>
                <m:rPr>
                  <m:sty m:val="p"/>
                </m:rPr>
                <m:t>⊆</m:t>
              </m:r>
              <m:r>
                <m:t>D</m:t>
              </m:r>
              <m:r>
                <m:rPr>
                  <m:sty m:val="p"/>
                </m:rPr>
                <m:t>,</m:t>
              </m:r>
              <m:d>
                <m:dPr>
                  <m:begChr m:val="|"/>
                  <m:endChr m:val="|"/>
                  <m:sepChr m:val=""/>
                  <m:grow/>
                </m:dPr>
                <m:e>
                  <m:r>
                    <m:t>S</m:t>
                  </m:r>
                </m:e>
              </m:d>
              <m:r>
                <m:rPr>
                  <m:sty m:val="p"/>
                </m:rPr>
                <m:t>=</m:t>
              </m:r>
              <m:r>
                <m:t>n</m:t>
              </m:r>
            </m:sub>
          </m:sSub>
          <m:r>
            <m:rPr>
              <m:sty m:val="p"/>
            </m:rPr>
            <m:t>[</m:t>
          </m:r>
          <m:r>
            <m:t>τ</m:t>
          </m:r>
          <m:d>
            <m:dPr>
              <m:begChr m:val="("/>
              <m:endChr m:val=")"/>
              <m:sepChr m:val=""/>
              <m:grow/>
            </m:dPr>
            <m:e>
              <m:r>
                <m:t>S</m:t>
              </m:r>
              <m:r>
                <m:rPr>
                  <m:sty m:val="p"/>
                </m:rPr>
                <m:t>,</m:t>
              </m:r>
              <m:r>
                <m:t>D</m:t>
              </m:r>
            </m:e>
          </m:d>
          <m:r>
            <m:rPr>
              <m:sty m:val="p"/>
            </m:rPr>
            <m:t>]</m:t>
          </m:r>
        </m:oMath>
      </m:oMathPara>
    </w:p>
    <w:p>
      <w:pPr>
        <w:pStyle w:val="FirstParagraph"/>
      </w:pPr>
      <w:r>
        <w:t xml:space="preserve">and the redundancy scalar is the area under the</w:t>
      </w:r>
      <w:r>
        <w:t xml:space="preserve"> </w:t>
      </w:r>
      <m:oMath>
        <m:sSub>
          <m:e>
            <m:r>
              <m:t>τ</m:t>
            </m:r>
          </m:e>
          <m:sub>
            <m:r>
              <m:t>n</m:t>
            </m:r>
          </m:sub>
        </m:sSub>
      </m:oMath>
      <w:r>
        <w:t xml:space="preserve"> </w:t>
      </w:r>
      <w:r>
        <w:t xml:space="preserve">curve:</w:t>
      </w:r>
    </w:p>
    <w:p>
      <w:pPr>
        <w:pStyle w:val="BodyText"/>
      </w:pPr>
      <m:oMathPara>
        <m:oMathParaPr>
          <m:jc m:val="center"/>
        </m:oMathParaPr>
        <m:oMath>
          <m:r>
            <m:t>R</m:t>
          </m:r>
          <m:d>
            <m:dPr>
              <m:begChr m:val="("/>
              <m:endChr m:val=")"/>
              <m:sepChr m:val=""/>
              <m:grow/>
            </m:dPr>
            <m:e>
              <m:r>
                <m:t>D</m:t>
              </m:r>
            </m:e>
          </m:d>
          <m:r>
            <m:rPr>
              <m:sty m:val="p"/>
            </m:rPr>
            <m:t>=</m:t>
          </m:r>
          <m:f>
            <m:fPr>
              <m:type m:val="bar"/>
            </m:fPr>
            <m:num>
              <m:r>
                <m:t>1</m:t>
              </m:r>
            </m:num>
            <m:den>
              <m:r>
                <m:t>N</m:t>
              </m:r>
            </m:den>
          </m:f>
          <m:nary>
            <m:naryPr>
              <m:chr m:val="∑"/>
              <m:limLoc m:val="undOvr"/>
              <m:subHide m:val="0"/>
              <m:supHide m:val="0"/>
            </m:naryPr>
            <m:sub>
              <m:r>
                <m:t>n</m:t>
              </m:r>
              <m:r>
                <m:rPr>
                  <m:sty m:val="p"/>
                </m:rPr>
                <m:t>=</m:t>
              </m:r>
              <m:r>
                <m:t>1</m:t>
              </m:r>
            </m:sub>
            <m:sup>
              <m:r>
                <m:t>N</m:t>
              </m:r>
            </m:sup>
            <m:e>
              <m:sSub>
                <m:e>
                  <m:r>
                    <m:t>τ</m:t>
                  </m:r>
                </m:e>
                <m:sub>
                  <m:r>
                    <m:t>n</m:t>
                  </m:r>
                </m:sub>
              </m:sSub>
            </m:e>
          </m:nary>
        </m:oMath>
      </m:oMathPara>
    </w:p>
    <w:p>
      <w:pPr>
        <w:pStyle w:val="FirstParagraph"/>
      </w:pPr>
      <w:r>
        <w:t xml:space="preserve">Computing</w:t>
      </w:r>
      <w:r>
        <w:t xml:space="preserve"> </w:t>
      </w:r>
      <m:oMath>
        <m:r>
          <m:t>R</m:t>
        </m:r>
        <m:d>
          <m:dPr>
            <m:begChr m:val="("/>
            <m:endChr m:val=")"/>
            <m:sepChr m:val=""/>
            <m:grow/>
          </m:dPr>
          <m:e>
            <m:r>
              <m:t>D</m:t>
            </m:r>
          </m:e>
        </m:d>
      </m:oMath>
      <w:r>
        <w:t xml:space="preserve"> </w:t>
      </w:r>
      <w:r>
        <w:t xml:space="preserve">demands</w:t>
      </w:r>
      <w:r>
        <w:t xml:space="preserve"> </w:t>
      </w:r>
      <m:oMath>
        <m:r>
          <m:t>O</m:t>
        </m:r>
        <m:d>
          <m:dPr>
            <m:begChr m:val="("/>
            <m:endChr m:val=")"/>
            <m:sepChr m:val=""/>
            <m:grow/>
          </m:dPr>
          <m:e>
            <m:r>
              <m:t>M</m:t>
            </m:r>
            <m:r>
              <m:rPr>
                <m:sty m:val="p"/>
              </m:rPr>
              <m:t>×</m:t>
            </m:r>
            <m:r>
              <m:t>N</m:t>
            </m:r>
          </m:e>
        </m:d>
      </m:oMath>
      <w:r>
        <w:t xml:space="preserve"> </w:t>
      </w:r>
      <w:r>
        <w:t xml:space="preserve">forward passes—prohibitively expensive for large-scale curation</w:t>
      </w:r>
      <w:r>
        <w:t xml:space="preserve"> </w:t>
      </w:r>
      <w:fldSimple w:instr="NOTEREF _Ref_Footnote_3 \h \f">
        <w:r>
          <w:rPr>
            <w:vertAlign w:val="superscript"/>
          </w:rPr>
          <w:t>3</w:t>
        </w:r>
      </w:fldSimple>
      <w:r>
        <w:t xml:space="preserve">. The SAE-based proxy replaces rank-correlation with</w:t>
      </w:r>
      <w:r>
        <w:t xml:space="preserve"> </w:t>
      </w:r>
      <w:r>
        <w:rPr>
          <w:iCs/>
          <w:i/>
        </w:rPr>
        <w:t xml:space="preserve">feature-coverage curves</w:t>
      </w:r>
      <w:r>
        <w:t xml:space="preserve">. The expected normalized feature coverage at subset size</w:t>
      </w:r>
      <w:r>
        <w:t xml:space="preserve"> </w:t>
      </w:r>
      <m:oMath>
        <m:r>
          <m:t>n</m:t>
        </m:r>
      </m:oMath>
      <w:r>
        <w:t xml:space="preserve"> </w:t>
      </w:r>
      <w:r>
        <w:t xml:space="preserve">is:</w:t>
      </w:r>
    </w:p>
    <w:p>
      <w:pPr>
        <w:pStyle w:val="BodyText"/>
      </w:pPr>
      <m:oMathPara>
        <m:oMathParaPr>
          <m:jc m:val="center"/>
        </m:oMathParaPr>
        <m:oMath>
          <m:sSub>
            <m:e>
              <m:r>
                <m:t>c</m:t>
              </m:r>
            </m:e>
            <m:sub>
              <m:r>
                <m:t>n</m:t>
              </m:r>
            </m:sub>
          </m:sSub>
          <m:r>
            <m:rPr>
              <m:sty m:val="p"/>
            </m:rPr>
            <m:t>=</m:t>
          </m:r>
          <m:sSub>
            <m:e>
              <m:r>
                <m:rPr>
                  <m:sty m:val="p"/>
                  <m:scr m:val="double-struck"/>
                </m:rPr>
                <m:t>E</m:t>
              </m:r>
            </m:e>
            <m:sub>
              <m:r>
                <m:t>S</m:t>
              </m:r>
              <m:r>
                <m:rPr>
                  <m:sty m:val="p"/>
                </m:rPr>
                <m:t>⊆</m:t>
              </m:r>
              <m:r>
                <m:t>D</m:t>
              </m:r>
              <m:r>
                <m:rPr>
                  <m:sty m:val="p"/>
                </m:rPr>
                <m:t>,</m:t>
              </m:r>
              <m:d>
                <m:dPr>
                  <m:begChr m:val="|"/>
                  <m:endChr m:val="|"/>
                  <m:sepChr m:val=""/>
                  <m:grow/>
                </m:dPr>
                <m:e>
                  <m:r>
                    <m:t>S</m:t>
                  </m:r>
                </m:e>
              </m:d>
              <m:r>
                <m:rPr>
                  <m:sty m:val="p"/>
                </m:rPr>
                <m:t>=</m:t>
              </m:r>
              <m:r>
                <m:t>n</m:t>
              </m:r>
            </m:sub>
          </m:sSub>
          <m:d>
            <m:dPr>
              <m:begChr m:val="["/>
              <m:endChr m:val="]"/>
              <m:sepChr m:val=""/>
              <m:grow/>
            </m:dPr>
            <m:e>
              <m:f>
                <m:fPr>
                  <m:type m:val="bar"/>
                </m:fPr>
                <m:num>
                  <m:d>
                    <m:dPr>
                      <m:begChr m:val="|"/>
                      <m:endChr m:val="|"/>
                      <m:sepChr m:val=""/>
                      <m:grow/>
                    </m:dPr>
                    <m:e>
                      <m:r>
                        <m:t>F</m:t>
                      </m:r>
                      <m:d>
                        <m:dPr>
                          <m:begChr m:val="("/>
                          <m:endChr m:val=")"/>
                          <m:sepChr m:val=""/>
                          <m:grow/>
                        </m:dPr>
                        <m:e>
                          <m:r>
                            <m:t>S</m:t>
                          </m:r>
                        </m:e>
                      </m:d>
                    </m:e>
                  </m:d>
                </m:num>
                <m:den>
                  <m:d>
                    <m:dPr>
                      <m:begChr m:val="|"/>
                      <m:endChr m:val="|"/>
                      <m:sepChr m:val=""/>
                      <m:grow/>
                    </m:dPr>
                    <m:e>
                      <m:r>
                        <m:t>F</m:t>
                      </m:r>
                      <m:d>
                        <m:dPr>
                          <m:begChr m:val="("/>
                          <m:endChr m:val=")"/>
                          <m:sepChr m:val=""/>
                          <m:grow/>
                        </m:dPr>
                        <m:e>
                          <m:r>
                            <m:t>D</m:t>
                          </m:r>
                        </m:e>
                      </m:d>
                    </m:e>
                  </m:d>
                </m:den>
              </m:f>
            </m:e>
          </m:d>
        </m:oMath>
      </m:oMathPara>
    </w:p>
    <w:p>
      <w:pPr>
        <w:pStyle w:val="FirstParagraph"/>
      </w:pPr>
      <w:r>
        <w:t xml:space="preserve">and the feature redundancy metric combines coverage AUC with a growth-rate correction:</w:t>
      </w:r>
    </w:p>
    <w:p>
      <w:pPr>
        <w:pStyle w:val="BodyText"/>
      </w:pPr>
      <m:oMathPara>
        <m:oMathParaPr>
          <m:jc m:val="center"/>
        </m:oMathParaPr>
        <m:oMath>
          <m:acc>
            <m:accPr>
              <m:chr m:val="̂"/>
            </m:accPr>
            <m:e>
              <m:r>
                <m:t>R</m:t>
              </m:r>
            </m:e>
          </m:acc>
          <m:d>
            <m:dPr>
              <m:begChr m:val="("/>
              <m:endChr m:val=")"/>
              <m:sepChr m:val=""/>
              <m:grow/>
            </m:dPr>
            <m:e>
              <m:r>
                <m:t>D</m:t>
              </m:r>
            </m:e>
          </m:d>
          <m:r>
            <m:rPr>
              <m:sty m:val="p"/>
            </m:rPr>
            <m:t>=</m:t>
          </m:r>
          <m:f>
            <m:fPr>
              <m:type m:val="bar"/>
            </m:fPr>
            <m:num>
              <m:nary>
                <m:naryPr>
                  <m:chr m:val="∑"/>
                  <m:limLoc m:val="undOvr"/>
                  <m:subHide m:val="0"/>
                  <m:supHide m:val="0"/>
                </m:naryPr>
                <m:sub>
                  <m:r>
                    <m:t>n</m:t>
                  </m:r>
                  <m:r>
                    <m:rPr>
                      <m:sty m:val="p"/>
                    </m:rPr>
                    <m:t>=</m:t>
                  </m:r>
                  <m:r>
                    <m:t>1</m:t>
                  </m:r>
                </m:sub>
                <m:sup>
                  <m:r>
                    <m:t>N</m:t>
                  </m:r>
                </m:sup>
                <m:e>
                  <m:sSub>
                    <m:e>
                      <m:r>
                        <m:t>c</m:t>
                      </m:r>
                    </m:e>
                    <m:sub>
                      <m:r>
                        <m:t>n</m:t>
                      </m:r>
                    </m:sub>
                  </m:sSub>
                </m:e>
              </m:nary>
            </m:num>
            <m:den>
              <m:d>
                <m:dPr>
                  <m:begChr m:val="|"/>
                  <m:endChr m:val="|"/>
                  <m:sepChr m:val=""/>
                  <m:grow/>
                </m:dPr>
                <m:e>
                  <m:r>
                    <m:t>F</m:t>
                  </m:r>
                  <m:d>
                    <m:dPr>
                      <m:begChr m:val="("/>
                      <m:endChr m:val=")"/>
                      <m:sepChr m:val=""/>
                      <m:grow/>
                    </m:dPr>
                    <m:e>
                      <m:r>
                        <m:t>D</m:t>
                      </m:r>
                    </m:e>
                  </m:d>
                </m:e>
              </m:d>
            </m:den>
          </m:f>
        </m:oMath>
      </m:oMathPara>
    </w:p>
    <w:p>
      <w:pPr>
        <w:pStyle w:val="FirstParagraph"/>
      </w:pPr>
      <w:r>
        <w:t xml:space="preserve">This metric is high when coverage saturates quickly (many samples activate the same features) and when the total feature count</w:t>
      </w:r>
      <w:r>
        <w:t xml:space="preserve"> </w:t>
      </w:r>
      <m:oMath>
        <m:d>
          <m:dPr>
            <m:begChr m:val="|"/>
            <m:endChr m:val="|"/>
            <m:sepChr m:val=""/>
            <m:grow/>
          </m:dPr>
          <m:e>
            <m:r>
              <m:t>F</m:t>
            </m:r>
            <m:d>
              <m:dPr>
                <m:begChr m:val="("/>
                <m:endChr m:val=")"/>
                <m:sepChr m:val=""/>
                <m:grow/>
              </m:dPr>
              <m:e>
                <m:r>
                  <m:t>D</m:t>
                </m:r>
              </m:e>
            </m:d>
          </m:e>
        </m:d>
      </m:oMath>
      <w:r>
        <w:t xml:space="preserve"> </w:t>
      </w:r>
      <w:r>
        <w:t xml:space="preserve">is small relative to sample count</w:t>
      </w:r>
      <w:r>
        <w:t xml:space="preserve"> </w:t>
      </w:r>
      <m:oMath>
        <m:r>
          <m:t>N</m:t>
        </m:r>
      </m:oMath>
      <w:r>
        <w:t xml:space="preserve">. The critical validation result is the rank correlation between</w:t>
      </w:r>
      <w:r>
        <w:t xml:space="preserve"> </w:t>
      </w:r>
      <m:oMath>
        <m:acc>
          <m:accPr>
            <m:chr m:val="̂"/>
          </m:accPr>
          <m:e>
            <m:r>
              <m:t>R</m:t>
            </m:r>
          </m:e>
        </m:acc>
        <m:d>
          <m:dPr>
            <m:begChr m:val="("/>
            <m:endChr m:val=")"/>
            <m:sepChr m:val=""/>
            <m:grow/>
          </m:dPr>
          <m:e>
            <m:r>
              <m:t>D</m:t>
            </m:r>
          </m:e>
        </m:d>
      </m:oMath>
      <w:r>
        <w:t xml:space="preserve"> </w:t>
      </w:r>
      <w:r>
        <w:t xml:space="preserve">and</w:t>
      </w:r>
      <w:r>
        <w:t xml:space="preserve"> </w:t>
      </w:r>
      <m:oMath>
        <m:r>
          <m:t>R</m:t>
        </m:r>
        <m:d>
          <m:dPr>
            <m:begChr m:val="("/>
            <m:endChr m:val=")"/>
            <m:sepChr m:val=""/>
            <m:grow/>
          </m:dPr>
          <m:e>
            <m:r>
              <m:t>D</m:t>
            </m:r>
          </m:e>
        </m:d>
      </m:oMath>
      <w:r>
        <w:t xml:space="preserve"> </w:t>
      </w:r>
      <w:r>
        <w:t xml:space="preserve">across 17 benchmarks: Spearman</w:t>
      </w:r>
      <w:r>
        <w:t xml:space="preserve"> </w:t>
      </w:r>
      <m:oMath>
        <m:r>
          <m:t>ρ</m:t>
        </m:r>
        <m:r>
          <m:rPr>
            <m:sty m:val="p"/>
          </m:rPr>
          <m:t>≈</m:t>
        </m:r>
        <m:r>
          <m:t>0.85</m:t>
        </m:r>
      </m:oMath>
      <w:r>
        <w:t xml:space="preserve"> </w:t>
      </w:r>
      <w:fldSimple w:instr="NOTEREF _Ref_Footnote_3 \h \f">
        <w:r>
          <w:rPr>
            <w:vertAlign w:val="superscript"/>
          </w:rPr>
          <w:t>3</w:t>
        </w:r>
      </w:fldSimple>
      <w:r>
        <w:t xml:space="preserve">. After controlling for general model ability by partialing out MMLU as a proxy, the partial Pearson correlation between feature overlap and performance correlation improves to 75.5%</w:t>
      </w:r>
      <w:r>
        <w:t xml:space="preserve"> </w:t>
      </w:r>
      <w:fldSimple w:instr="NOTEREF _Ref_Footnote_3 \h \f">
        <w:r>
          <w:rPr>
            <w:vertAlign w:val="superscript"/>
          </w:rPr>
          <w:t>3</w:t>
        </w:r>
      </w:fldSimple>
      <w:r>
        <w:t xml:space="preserve">. Figure 8.1 illustrates the relationship between feature-based and performance-based redundancy.</w:t>
      </w:r>
    </w:p>
    <w:p>
      <w:pPr>
        <w:pStyle w:val="CaptionedFigure"/>
      </w:pPr>
      <w:r>
        <w:drawing>
          <wp:inline>
            <wp:extent cx="5334000" cy="2051538"/>
            <wp:effectExtent b="0" l="0" r="0" t="0"/>
            <wp:docPr descr="Feature coverage curves and redundancy correlation" title="" id="136" name="Picture"/>
            <a:graphic>
              <a:graphicData uri="http://schemas.openxmlformats.org/drawingml/2006/picture">
                <pic:pic>
                  <pic:nvPicPr>
                    <pic:cNvPr descr="/mnt/agents/output/fig_8_1_coverage_redundancy.png" id="137" name="Picture"/>
                    <pic:cNvPicPr>
                      <a:picLocks noChangeArrowheads="1" noChangeAspect="1"/>
                    </pic:cNvPicPr>
                  </pic:nvPicPr>
                  <pic:blipFill>
                    <a:blip r:embed="rId135"/>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Feature coverage curves and redundancy correlation</w:t>
      </w:r>
    </w:p>
    <w:p>
      <w:pPr>
        <w:pStyle w:val="BodyText"/>
      </w:pPr>
      <w:r>
        <w:rPr>
          <w:bCs/>
          <w:b/>
        </w:rPr>
        <w:t xml:space="preserve">Figure 8.1</w:t>
      </w:r>
      <w:r>
        <w:t xml:space="preserve"> </w:t>
      </w:r>
      <w:r>
        <w:t xml:space="preserve">(a) Normalized feature coverage curves for benchmarks with different redundancy profiles. GSM8K saturates rapidly, indicating high redundancy; SuperGPQA approaches saturation slowly, indicating diverse capability probing. (b) Scatter of feature-based redundancy</w:t>
      </w:r>
      <w:r>
        <w:t xml:space="preserve"> </w:t>
      </w:r>
      <m:oMath>
        <m:acc>
          <m:accPr>
            <m:chr m:val="̂"/>
          </m:accPr>
          <m:e>
            <m:r>
              <m:t>R</m:t>
            </m:r>
          </m:e>
        </m:acc>
        <m:d>
          <m:dPr>
            <m:begChr m:val="("/>
            <m:endChr m:val=")"/>
            <m:sepChr m:val=""/>
            <m:grow/>
          </m:dPr>
          <m:e>
            <m:r>
              <m:t>D</m:t>
            </m:r>
          </m:e>
        </m:d>
      </m:oMath>
      <w:r>
        <w:t xml:space="preserve"> </w:t>
      </w:r>
      <w:r>
        <w:t xml:space="preserve">versus performance-based redundancy</w:t>
      </w:r>
      <w:r>
        <w:t xml:space="preserve"> </w:t>
      </w:r>
      <m:oMath>
        <m:r>
          <m:t>R</m:t>
        </m:r>
        <m:d>
          <m:dPr>
            <m:begChr m:val="("/>
            <m:endChr m:val=")"/>
            <m:sepChr m:val=""/>
            <m:grow/>
          </m:dPr>
          <m:e>
            <m:r>
              <m:t>D</m:t>
            </m:r>
          </m:e>
        </m:d>
      </m:oMath>
      <w:r>
        <w:t xml:space="preserve"> </w:t>
      </w:r>
      <w:r>
        <w:t xml:space="preserve">across 17 benchmarks, with trend line reflecting the Spearman</w:t>
      </w:r>
      <w:r>
        <w:t xml:space="preserve"> </w:t>
      </w:r>
      <m:oMath>
        <m:r>
          <m:t>ρ</m:t>
        </m:r>
        <m:r>
          <m:rPr>
            <m:sty m:val="p"/>
          </m:rPr>
          <m:t>≈</m:t>
        </m:r>
        <m:r>
          <m:t>0.85</m:t>
        </m:r>
      </m:oMath>
      <w:r>
        <w:t xml:space="preserve"> </w:t>
      </w:r>
      <w:r>
        <w:t xml:space="preserve">correlation reported by Qwen-Scope</w:t>
      </w:r>
      <w:r>
        <w:t xml:space="preserve"> </w:t>
      </w:r>
      <w:fldSimple w:instr="NOTEREF _Ref_Footnote_3 \h \f">
        <w:r>
          <w:rPr>
            <w:vertAlign w:val="superscript"/>
          </w:rPr>
          <w:t>3</w:t>
        </w:r>
      </w:fldSimple>
      <w:r>
        <w:t xml:space="preserve">.</w:t>
      </w:r>
    </w:p>
    <w:p>
      <w:pPr>
        <w:pStyle w:val="BodyText"/>
      </w:pPr>
      <w:r>
        <w:t xml:space="preserve">Several important caveats temper this strong correlation. High redundancy does not imply low benchmark quality—redundancy may be desirable to reduce evaluation variance. SuperGPQA, with 26,529 questions, exhibits relatively low redundancy despite its large absolute size, confirming that scale alone does not produce saturation</w:t>
      </w:r>
      <w:r>
        <w:t xml:space="preserve"> </w:t>
      </w:r>
      <w:fldSimple w:instr="NOTEREF _Ref_Footnote_3 \h \f">
        <w:r>
          <w:rPr>
            <w:vertAlign w:val="superscript"/>
          </w:rPr>
          <w:t>3</w:t>
        </w:r>
      </w:fldSimple>
      <w:r>
        <w:t xml:space="preserve">. Conversely, GSM8K’s high redundancy means only a small subset suffices to preserve model rankings. The feature proxy does not predict absolute accuracy scores; it predicts whether two benchmarks measure similar capabilities and whether a subset preserves the ranking structure of the full set. For suite design, this is precisely the decision that matters.</w:t>
      </w:r>
    </w:p>
    <w:bookmarkEnd w:id="138"/>
    <w:bookmarkStart w:id="139" w:name="evaluation-compute-reduction"/>
    <w:p>
      <w:pPr>
        <w:pStyle w:val="Heading3"/>
      </w:pPr>
      <w:r>
        <w:t xml:space="preserve">8.1.3 Evaluation Compute Reduction</w:t>
      </w:r>
    </w:p>
    <w:p>
      <w:pPr>
        <w:pStyle w:val="FirstParagraph"/>
      </w:pPr>
      <w:r>
        <w:t xml:space="preserve">The computational savings from fingerprinting are substantial. Performance-based redundancy for</w:t>
      </w:r>
      <w:r>
        <w:t xml:space="preserve"> </w:t>
      </w:r>
      <m:oMath>
        <m:r>
          <m:t>M</m:t>
        </m:r>
      </m:oMath>
      <w:r>
        <w:t xml:space="preserve"> </w:t>
      </w:r>
      <w:r>
        <w:t xml:space="preserve">models on an</w:t>
      </w:r>
      <w:r>
        <w:t xml:space="preserve"> </w:t>
      </w:r>
      <m:oMath>
        <m:r>
          <m:t>N</m:t>
        </m:r>
      </m:oMath>
      <w:r>
        <w:t xml:space="preserve">-sample benchmark requires</w:t>
      </w:r>
      <w:r>
        <w:t xml:space="preserve"> </w:t>
      </w:r>
      <m:oMath>
        <m:r>
          <m:t>M</m:t>
        </m:r>
        <m:r>
          <m:rPr>
            <m:sty m:val="p"/>
          </m:rPr>
          <m:t>×</m:t>
        </m:r>
        <m:r>
          <m:t>N</m:t>
        </m:r>
      </m:oMath>
      <w:r>
        <w:t xml:space="preserve"> </w:t>
      </w:r>
      <w:r>
        <w:t xml:space="preserve">full forward passes. Feature-based redundancy requires</w:t>
      </w:r>
      <w:r>
        <w:t xml:space="preserve"> </w:t>
      </w:r>
      <m:oMath>
        <m:r>
          <m:t>N</m:t>
        </m:r>
      </m:oMath>
      <w:r>
        <w:t xml:space="preserve"> </w:t>
      </w:r>
      <w:r>
        <w:t xml:space="preserve">SAE encodings—one per sample, through an encoder that is typically a single linear layer with ReLU and Top-</w:t>
      </w:r>
      <m:oMath>
        <m:r>
          <m:t>k</m:t>
        </m:r>
      </m:oMath>
      <w:r>
        <w:t xml:space="preserve"> </w:t>
      </w:r>
      <w:r>
        <w:t xml:space="preserve">sparsification. For 26 models on GSM8K (1,319 samples), this reduces from approximately 34,294 full evaluations to 1,319 SAE passes, a</w:t>
      </w:r>
      <w:r>
        <w:t xml:space="preserve"> </w:t>
      </w:r>
      <m:oMath>
        <m:r>
          <m:rPr>
            <m:sty m:val="b"/>
          </m:rPr>
          <m:t>26</m:t>
        </m:r>
        <m:r>
          <m:rPr>
            <m:sty m:val="b"/>
          </m:rPr>
          <m:t>×</m:t>
        </m:r>
      </m:oMath>
      <w:r>
        <w:t xml:space="preserve"> </w:t>
      </w:r>
      <w:r>
        <w:t xml:space="preserve">reduction</w:t>
      </w:r>
      <w:r>
        <w:t xml:space="preserve"> </w:t>
      </w:r>
      <w:r>
        <w:rPr>
          <w:iCs/>
          <w:i/>
        </w:rPr>
        <w:t xml:space="preserve">before</w:t>
      </w:r>
      <w:r>
        <w:t xml:space="preserve"> </w:t>
      </w:r>
      <w:r>
        <w:t xml:space="preserve">accounting for the SAE’s smaller computational footprint</w:t>
      </w:r>
      <w:r>
        <w:t xml:space="preserve"> </w:t>
      </w:r>
      <w:fldSimple w:instr="NOTEREF _Ref_Footnote_3 \h \f">
        <w:r>
          <w:rPr>
            <w:vertAlign w:val="superscript"/>
          </w:rPr>
          <w:t>3</w:t>
        </w:r>
      </w:fldSimple>
      <w:r>
        <w:t xml:space="preserve">.</w:t>
      </w:r>
    </w:p>
    <w:p>
      <w:pPr>
        <w:pStyle w:val="BodyText"/>
      </w:pPr>
      <w:r>
        <w:t xml:space="preserve">Complementary methods can compound this reduction. SubLIME uses a Rank Correlation Prediction model trained on 5–20 anchor LLMs to adaptively sample subsets, achieving 10–100× cost reduction while preserving Spearman</w:t>
      </w:r>
      <w:r>
        <w:t xml:space="preserve"> </w:t>
      </w:r>
      <m:oMath>
        <m:r>
          <m:t>ρ</m:t>
        </m:r>
        <m:r>
          <m:rPr>
            <m:sty m:val="p"/>
          </m:rPr>
          <m:t>&gt;</m:t>
        </m:r>
        <m:r>
          <m:t>0.9</m:t>
        </m:r>
      </m:oMath>
      <w:r>
        <w:t xml:space="preserve"> </w:t>
      </w:r>
      <w:r>
        <w:rPr>
          <w:vertAlign w:val="superscript"/>
        </w:rPr>
        <w:footnoteReference w:id="79"/>
      </w:r>
      <w:r>
        <w:t xml:space="preserve">. tinyBenchmarks applies Item Response Theory (IRT) with approximately 100 curated examples per scenario, achieving within ~2% error of full evaluation</w:t>
      </w:r>
      <w:r>
        <w:t xml:space="preserve"> </w:t>
      </w:r>
      <w:r>
        <w:rPr>
          <w:vertAlign w:val="superscript"/>
        </w:rPr>
        <w:footnoteReference w:id="80"/>
      </w:r>
      <w:r>
        <w:t xml:space="preserve">. Fluid Benchmarking adapts IRT item characteristics dynamically, using 50× fewer items while improving validity and lowering variance</w:t>
      </w:r>
      <w:r>
        <w:t xml:space="preserve"> </w:t>
      </w:r>
      <w:r>
        <w:rPr>
          <w:vertAlign w:val="superscript"/>
        </w:rPr>
        <w:footnoteReference w:id="81"/>
      </w:r>
      <w:r>
        <w:t xml:space="preserve">. ACE (Active learning for Capability Evaluation) uses Gaussian Processes in a latent capability space to reach 0.01 RMSE of exhaustive evaluation by assessing fewer than half of all capabilities</w:t>
      </w:r>
      <w:r>
        <w:t xml:space="preserve"> </w:t>
      </w:r>
      <w:r>
        <w:rPr>
          <w:vertAlign w:val="superscript"/>
        </w:rPr>
        <w:footnoteReference w:id="82"/>
      </w:r>
      <w:r>
        <w:t xml:space="preserve">.</w:t>
      </w:r>
    </w:p>
    <w:tbl>
      <w:tblPr>
        <w:tblStyle w:val="Table"/>
        <w:tblW w:type="pct" w:w="5000"/>
        <w:tblLook w:firstRow="1" w:lastRow="0" w:firstColumn="0" w:lastColumn="0" w:noHBand="0" w:noVBand="0" w:val="0020"/>
      </w:tblPr>
      <w:tblGrid>
        <w:gridCol w:w="1038"/>
        <w:gridCol w:w="1298"/>
        <w:gridCol w:w="1947"/>
        <w:gridCol w:w="2077"/>
        <w:gridCol w:w="1558"/>
      </w:tblGrid>
      <w:tr>
        <w:trPr>
          <w:tblHeader w:val="true"/>
        </w:trPr>
        <w:tc>
          <w:tcPr/>
          <w:p>
            <w:pPr>
              <w:pStyle w:val="Compact"/>
              <w:jc w:val="left"/>
            </w:pPr>
            <w:r>
              <w:t xml:space="preserve">Method</w:t>
            </w:r>
          </w:p>
        </w:tc>
        <w:tc>
          <w:tcPr/>
          <w:p>
            <w:pPr>
              <w:pStyle w:val="Compact"/>
              <w:jc w:val="left"/>
            </w:pPr>
            <w:r>
              <w:t xml:space="preserve">Approach</w:t>
            </w:r>
          </w:p>
        </w:tc>
        <w:tc>
          <w:tcPr/>
          <w:p>
            <w:pPr>
              <w:pStyle w:val="Compact"/>
              <w:jc w:val="left"/>
            </w:pPr>
            <w:r>
              <w:t xml:space="preserve">Data Required</w:t>
            </w:r>
          </w:p>
        </w:tc>
        <w:tc>
          <w:tcPr/>
          <w:p>
            <w:pPr>
              <w:pStyle w:val="Compact"/>
              <w:jc w:val="left"/>
            </w:pPr>
            <w:r>
              <w:t xml:space="preserve">Cost Reduction</w:t>
            </w:r>
          </w:p>
        </w:tc>
        <w:tc>
          <w:tcPr/>
          <w:p>
            <w:pPr>
              <w:pStyle w:val="Compact"/>
              <w:jc w:val="left"/>
            </w:pPr>
            <w:r>
              <w:t xml:space="preserve">Key Metric</w:t>
            </w:r>
          </w:p>
        </w:tc>
      </w:tr>
      <w:tr>
        <w:tc>
          <w:tcPr/>
          <w:p>
            <w:pPr>
              <w:pStyle w:val="Compact"/>
              <w:jc w:val="left"/>
            </w:pPr>
            <w:r>
              <w:t xml:space="preserve">SAE Feature Redundancy</w:t>
            </w:r>
          </w:p>
        </w:tc>
        <w:tc>
          <w:tcPr/>
          <w:p>
            <w:pPr>
              <w:pStyle w:val="Compact"/>
              <w:jc w:val="left"/>
            </w:pPr>
            <w:r>
              <w:t xml:space="preserve">Feature coverage curves</w:t>
            </w:r>
          </w:p>
        </w:tc>
        <w:tc>
          <w:tcPr/>
          <w:p>
            <w:pPr>
              <w:pStyle w:val="Compact"/>
              <w:jc w:val="left"/>
            </w:pPr>
            <w:r>
              <w:t xml:space="preserve">SAE activations on benchmark</w:t>
            </w:r>
          </w:p>
        </w:tc>
        <w:tc>
          <w:tcPr/>
          <w:p>
            <w:pPr>
              <w:pStyle w:val="Compact"/>
              <w:jc w:val="left"/>
            </w:pPr>
            <w:r>
              <w:t xml:space="preserve">26×+</w:t>
            </w:r>
            <w:r>
              <w:t xml:space="preserve"> </w:t>
            </w:r>
            <w:fldSimple w:instr="NOTEREF _Ref_Footnote_3 \h \f">
              <w:r>
                <w:rPr>
                  <w:vertAlign w:val="superscript"/>
                </w:rPr>
                <w:t>3</w:t>
              </w:r>
            </w:fldSimple>
          </w:p>
        </w:tc>
        <w:tc>
          <w:tcPr/>
          <w:p>
            <w:pPr>
              <w:pStyle w:val="Compact"/>
              <w:jc w:val="left"/>
            </w:pPr>
            <w:r>
              <w:t xml:space="preserve">Spearman</w:t>
            </w:r>
            <w:r>
              <w:t xml:space="preserve"> </w:t>
            </w:r>
            <m:oMath>
              <m:r>
                <m:t>ρ</m:t>
              </m:r>
              <m:r>
                <m:rPr>
                  <m:sty m:val="p"/>
                </m:rPr>
                <m:t>≈</m:t>
              </m:r>
              <m:r>
                <m:t>0.85</m:t>
              </m:r>
            </m:oMath>
            <w:r>
              <w:t xml:space="preserve"> </w:t>
            </w:r>
            <w:r>
              <w:t xml:space="preserve">vs. ground truth</w:t>
            </w:r>
          </w:p>
        </w:tc>
      </w:tr>
      <w:tr>
        <w:tc>
          <w:tcPr/>
          <w:p>
            <w:pPr>
              <w:pStyle w:val="Compact"/>
              <w:jc w:val="left"/>
            </w:pPr>
            <w:r>
              <w:t xml:space="preserve">SubLIME</w:t>
            </w:r>
          </w:p>
        </w:tc>
        <w:tc>
          <w:tcPr/>
          <w:p>
            <w:pPr>
              <w:pStyle w:val="Compact"/>
              <w:jc w:val="left"/>
            </w:pPr>
            <w:r>
              <w:t xml:space="preserve">Rank Correlation Prediction</w:t>
            </w:r>
          </w:p>
        </w:tc>
        <w:tc>
          <w:tcPr/>
          <w:p>
            <w:pPr>
              <w:pStyle w:val="Compact"/>
              <w:jc w:val="left"/>
            </w:pPr>
            <w:r>
              <w:t xml:space="preserve">5–20 anchor LLMs</w:t>
            </w:r>
          </w:p>
        </w:tc>
        <w:tc>
          <w:tcPr/>
          <w:p>
            <w:pPr>
              <w:pStyle w:val="Compact"/>
              <w:jc w:val="left"/>
            </w:pPr>
            <w:r>
              <w:t xml:space="preserve">10–100×</w:t>
            </w:r>
            <w:r>
              <w:t xml:space="preserve"> </w:t>
            </w:r>
            <w:fldSimple w:instr="NOTEREF _Ref_Footnote_79 \h \f">
              <w:r>
                <w:rPr>
                  <w:vertAlign w:val="superscript"/>
                </w:rPr>
                <w:t>79</w:t>
              </w:r>
            </w:fldSimple>
          </w:p>
        </w:tc>
        <w:tc>
          <w:tcPr/>
          <w:p>
            <w:pPr>
              <w:pStyle w:val="Compact"/>
              <w:jc w:val="left"/>
            </w:pPr>
            <w:r>
              <w:t xml:space="preserve">Spearman</w:t>
            </w:r>
            <w:r>
              <w:t xml:space="preserve"> </w:t>
            </w:r>
            <m:oMath>
              <m:r>
                <m:t>ρ</m:t>
              </m:r>
              <m:r>
                <m:rPr>
                  <m:sty m:val="p"/>
                </m:rPr>
                <m:t>&gt;</m:t>
              </m:r>
              <m:r>
                <m:t>0.9</m:t>
              </m:r>
            </m:oMath>
          </w:p>
        </w:tc>
      </w:tr>
      <w:tr>
        <w:tc>
          <w:tcPr/>
          <w:p>
            <w:pPr>
              <w:pStyle w:val="Compact"/>
              <w:jc w:val="left"/>
            </w:pPr>
            <w:r>
              <w:t xml:space="preserve">tinyBenchmarks (IRT)</w:t>
            </w:r>
          </w:p>
        </w:tc>
        <w:tc>
          <w:tcPr/>
          <w:p>
            <w:pPr>
              <w:pStyle w:val="Compact"/>
              <w:jc w:val="left"/>
            </w:pPr>
            <w:r>
              <w:t xml:space="preserve">Item Response Theory</w:t>
            </w:r>
          </w:p>
        </w:tc>
        <w:tc>
          <w:tcPr/>
          <w:p>
            <w:pPr>
              <w:pStyle w:val="Compact"/>
              <w:jc w:val="left"/>
            </w:pPr>
            <w:r>
              <w:t xml:space="preserve">Historical evaluation results</w:t>
            </w:r>
          </w:p>
        </w:tc>
        <w:tc>
          <w:tcPr/>
          <w:p>
            <w:pPr>
              <w:pStyle w:val="Compact"/>
              <w:jc w:val="left"/>
            </w:pPr>
            <w:r>
              <w:t xml:space="preserve">~13× (100 of 1,319 samples)</w:t>
            </w:r>
            <w:r>
              <w:t xml:space="preserve"> </w:t>
            </w:r>
            <w:fldSimple w:instr="NOTEREF _Ref_Footnote_80 \h \f">
              <w:r>
                <w:rPr>
                  <w:vertAlign w:val="superscript"/>
                </w:rPr>
                <w:t>80</w:t>
              </w:r>
            </w:fldSimple>
          </w:p>
        </w:tc>
        <w:tc>
          <w:tcPr/>
          <w:p>
            <w:pPr>
              <w:pStyle w:val="Compact"/>
              <w:jc w:val="left"/>
            </w:pPr>
            <w:r>
              <w:t xml:space="preserve">~2% error</w:t>
            </w:r>
          </w:p>
        </w:tc>
      </w:tr>
      <w:tr>
        <w:tc>
          <w:tcPr/>
          <w:p>
            <w:pPr>
              <w:pStyle w:val="Compact"/>
              <w:jc w:val="left"/>
            </w:pPr>
            <w:r>
              <w:t xml:space="preserve">Fluid Benchmarking</w:t>
            </w:r>
          </w:p>
        </w:tc>
        <w:tc>
          <w:tcPr/>
          <w:p>
            <w:pPr>
              <w:pStyle w:val="Compact"/>
              <w:jc w:val="left"/>
            </w:pPr>
            <w:r>
              <w:t xml:space="preserve">Adaptive IRT selection</w:t>
            </w:r>
          </w:p>
        </w:tc>
        <w:tc>
          <w:tcPr/>
          <w:p>
            <w:pPr>
              <w:pStyle w:val="Compact"/>
              <w:jc w:val="left"/>
            </w:pPr>
            <w:r>
              <w:t xml:space="preserve">Public evaluation logs</w:t>
            </w:r>
          </w:p>
        </w:tc>
        <w:tc>
          <w:tcPr/>
          <w:p>
            <w:pPr>
              <w:pStyle w:val="Compact"/>
              <w:jc w:val="left"/>
            </w:pPr>
            <w:r>
              <w:t xml:space="preserve">50×</w:t>
            </w:r>
            <w:r>
              <w:t xml:space="preserve"> </w:t>
            </w:r>
            <w:fldSimple w:instr="NOTEREF _Ref_Footnote_81 \h \f">
              <w:r>
                <w:rPr>
                  <w:vertAlign w:val="superscript"/>
                </w:rPr>
                <w:t>81</w:t>
              </w:r>
            </w:fldSimple>
          </w:p>
        </w:tc>
        <w:tc>
          <w:tcPr/>
          <w:p>
            <w:pPr>
              <w:pStyle w:val="Compact"/>
              <w:jc w:val="left"/>
            </w:pPr>
            <w:r>
              <w:t xml:space="preserve">Higher validity, lower variance</w:t>
            </w:r>
          </w:p>
        </w:tc>
      </w:tr>
      <w:tr>
        <w:tc>
          <w:tcPr/>
          <w:p>
            <w:pPr>
              <w:pStyle w:val="Compact"/>
              <w:jc w:val="left"/>
            </w:pPr>
            <w:r>
              <w:t xml:space="preserve">ACE</w:t>
            </w:r>
          </w:p>
        </w:tc>
        <w:tc>
          <w:tcPr/>
          <w:p>
            <w:pPr>
              <w:pStyle w:val="Compact"/>
              <w:jc w:val="left"/>
            </w:pPr>
            <w:r>
              <w:t xml:space="preserve">Gaussian Process in latent space</w:t>
            </w:r>
          </w:p>
        </w:tc>
        <w:tc>
          <w:tcPr/>
          <w:p>
            <w:pPr>
              <w:pStyle w:val="Compact"/>
              <w:jc w:val="left"/>
            </w:pPr>
            <w:r>
              <w:t xml:space="preserve">Frontier model for capability decomposition</w:t>
            </w:r>
          </w:p>
        </w:tc>
        <w:tc>
          <w:tcPr/>
          <w:p>
            <w:pPr>
              <w:pStyle w:val="Compact"/>
              <w:jc w:val="left"/>
            </w:pPr>
            <w:r>
              <w:t xml:space="preserve">&gt;2×</w:t>
            </w:r>
            <w:r>
              <w:t xml:space="preserve"> </w:t>
            </w:r>
            <w:fldSimple w:instr="NOTEREF _Ref_Footnote_82 \h \f">
              <w:r>
                <w:rPr>
                  <w:vertAlign w:val="superscript"/>
                </w:rPr>
                <w:t>82</w:t>
              </w:r>
            </w:fldSimple>
          </w:p>
        </w:tc>
        <w:tc>
          <w:tcPr/>
          <w:p>
            <w:pPr>
              <w:pStyle w:val="Compact"/>
              <w:jc w:val="left"/>
            </w:pPr>
            <w:r>
              <w:t xml:space="preserve">0.01 RMSE, &lt;50% capabilities evaluated</w:t>
            </w:r>
          </w:p>
        </w:tc>
      </w:tr>
    </w:tbl>
    <w:p>
      <w:pPr>
        <w:pStyle w:val="BodyText"/>
      </w:pPr>
      <w:r>
        <w:t xml:space="preserve">The SAE approach is unique in requiring</w:t>
      </w:r>
      <w:r>
        <w:t xml:space="preserve"> </w:t>
      </w:r>
      <w:r>
        <w:rPr>
          <w:iCs/>
          <w:i/>
        </w:rPr>
        <w:t xml:space="preserve">no historical evaluation data</w:t>
      </w:r>
      <w:r>
        <w:t xml:space="preserve"> </w:t>
      </w:r>
      <w:r>
        <w:t xml:space="preserve">and</w:t>
      </w:r>
      <w:r>
        <w:t xml:space="preserve"> </w:t>
      </w:r>
      <w:r>
        <w:rPr>
          <w:iCs/>
          <w:i/>
        </w:rPr>
        <w:t xml:space="preserve">no model execution whatsoever</w:t>
      </w:r>
      <w:r>
        <w:t xml:space="preserve"> </w:t>
      </w:r>
      <w:r>
        <w:t xml:space="preserve">once the benchmark has been fingerprinted. IRT-based methods need prior model responses to estimate item parameters; SubLIME needs anchor model rankings. SAE fingerprinting is evaluation-free after an initial encoding pass, making it suitable for newly created benchmarks or proprietary evaluation suites where model access is restricted.</w:t>
      </w:r>
    </w:p>
    <w:bookmarkEnd w:id="139"/>
    <w:bookmarkEnd w:id="140"/>
    <w:bookmarkStart w:id="144" w:name="feature-guided-data-synthesis"/>
    <w:p>
      <w:pPr>
        <w:pStyle w:val="Heading2"/>
      </w:pPr>
      <w:r>
        <w:t xml:space="preserve">8.2 Feature-Guided Data Synthesis</w:t>
      </w:r>
    </w:p>
    <w:bookmarkStart w:id="141" w:name="Xa3b9d72657d4bcb0a11c48838d887f51152ed22"/>
    <w:p>
      <w:pPr>
        <w:pStyle w:val="Heading3"/>
      </w:pPr>
      <w:r>
        <w:t xml:space="preserve">8.2.1 FAC Synthesis: Targeted Training Data Generation</w:t>
      </w:r>
    </w:p>
    <w:p>
      <w:pPr>
        <w:pStyle w:val="FirstParagraph"/>
      </w:pPr>
      <w:r>
        <w:t xml:space="preserve">If feature footprints can predict benchmark redundancy, they can also identify</w:t>
      </w:r>
      <w:r>
        <w:t xml:space="preserve"> </w:t>
      </w:r>
      <w:r>
        <w:rPr>
          <w:iCs/>
          <w:i/>
        </w:rPr>
        <w:t xml:space="preserve">gaps</w:t>
      </w:r>
      <w:r>
        <w:t xml:space="preserve">—capabilities that a model has not been trained to represent. Feature Activation Coverage (FAC) quantifies data diversity not in token space but in the model’s internal feature space, and FAC Synthesis uses missing features to guide targeted training data generation</w:t>
      </w:r>
      <w:r>
        <w:t xml:space="preserve"> </w:t>
      </w:r>
      <w:fldSimple w:instr="NOTEREF _Ref_Footnote_11 \h \f">
        <w:r>
          <w:rPr>
            <w:vertAlign w:val="superscript"/>
          </w:rPr>
          <w:t>11</w:t>
        </w:r>
      </w:fldSimple>
      <w:r>
        <w:t xml:space="preserve">. The core insight is that reducing the distribution gap at the SAE feature level, rather than in raw text space, produces semantically aligned training data that is less sensitive to surface linguistic variation</w:t>
      </w:r>
      <w:r>
        <w:t xml:space="preserve"> </w:t>
      </w:r>
      <w:fldSimple w:instr="NOTEREF _Ref_Footnote_11 \h \f">
        <w:r>
          <w:rPr>
            <w:vertAlign w:val="superscript"/>
          </w:rPr>
          <w:t>11</w:t>
        </w:r>
      </w:fldSimple>
      <w:r>
        <w:t xml:space="preserve">.</w:t>
      </w:r>
    </w:p>
    <w:p>
      <w:pPr>
        <w:pStyle w:val="BodyText"/>
      </w:pPr>
      <w:r>
        <w:t xml:space="preserve">The synthesis pipeline proceeds as follows. Given anchor data</w:t>
      </w:r>
      <w:r>
        <w:t xml:space="preserve"> </w:t>
      </w:r>
      <m:oMath>
        <m:r>
          <m:t>D</m:t>
        </m:r>
      </m:oMath>
      <w:r>
        <w:t xml:space="preserve"> </w:t>
      </w:r>
      <w:r>
        <w:t xml:space="preserve">(the target capability distribution) and current generated data</w:t>
      </w:r>
      <w:r>
        <w:t xml:space="preserve"> </w:t>
      </w:r>
      <m:oMath>
        <m:sSub>
          <m:e>
            <m:r>
              <m:t>D</m:t>
            </m:r>
          </m:e>
          <m:sub>
            <m:r>
              <m:rPr>
                <m:nor/>
                <m:sty m:val="p"/>
              </m:rPr>
              <m:t>gen</m:t>
            </m:r>
          </m:sub>
        </m:sSub>
      </m:oMath>
      <w:r>
        <w:t xml:space="preserve">, extract task-relevant features from both. Define missing features as:</w:t>
      </w:r>
    </w:p>
    <w:p>
      <w:pPr>
        <w:pStyle w:val="BodyText"/>
      </w:pPr>
      <m:oMathPara>
        <m:oMathParaPr>
          <m:jc m:val="center"/>
        </m:oMathParaPr>
        <m:oMath>
          <m:sSub>
            <m:e>
              <m:r>
                <m:t>F</m:t>
              </m:r>
            </m:e>
            <m:sub>
              <m:r>
                <m:rPr>
                  <m:nor/>
                  <m:sty m:val="p"/>
                </m:rPr>
                <m:t>miss</m:t>
              </m:r>
            </m:sub>
          </m:sSub>
          <m:r>
            <m:rPr>
              <m:sty m:val="p"/>
            </m:rPr>
            <m:t>=</m:t>
          </m:r>
          <m:r>
            <m:t>F</m:t>
          </m:r>
          <m:d>
            <m:dPr>
              <m:begChr m:val="("/>
              <m:endChr m:val=")"/>
              <m:sepChr m:val=""/>
              <m:grow/>
            </m:dPr>
            <m:e>
              <m:r>
                <m:t>D</m:t>
              </m:r>
            </m:e>
          </m:d>
          <m:r>
            <m:rPr>
              <m:sty m:val="p"/>
            </m:rPr>
            <m:t>\</m:t>
          </m:r>
          <m:r>
            <m:t>F</m:t>
          </m:r>
          <m:d>
            <m:dPr>
              <m:begChr m:val="("/>
              <m:endChr m:val=")"/>
              <m:sepChr m:val=""/>
              <m:grow/>
            </m:dPr>
            <m:e>
              <m:sSub>
                <m:e>
                  <m:r>
                    <m:t>D</m:t>
                  </m:r>
                </m:e>
                <m:sub>
                  <m:r>
                    <m:rPr>
                      <m:nor/>
                      <m:sty m:val="p"/>
                    </m:rPr>
                    <m:t>gen</m:t>
                  </m:r>
                </m:sub>
              </m:sSub>
            </m:e>
          </m:d>
        </m:oMath>
      </m:oMathPara>
    </w:p>
    <w:p>
      <w:pPr>
        <w:pStyle w:val="FirstParagraph"/>
      </w:pPr>
      <w:r>
        <w:t xml:space="preserve">For each missing feature</w:t>
      </w:r>
      <w:r>
        <w:t xml:space="preserve"> </w:t>
      </w:r>
      <m:oMath>
        <m:r>
          <m:t>i</m:t>
        </m:r>
        <m:r>
          <m:rPr>
            <m:sty m:val="p"/>
          </m:rPr>
          <m:t>∈</m:t>
        </m:r>
        <m:sSub>
          <m:e>
            <m:r>
              <m:t>F</m:t>
            </m:r>
          </m:e>
          <m:sub>
            <m:r>
              <m:rPr>
                <m:nor/>
                <m:sty m:val="p"/>
              </m:rPr>
              <m:t>miss</m:t>
            </m:r>
          </m:sub>
        </m:sSub>
      </m:oMath>
      <w:r>
        <w:t xml:space="preserve">, generate contrastive pairs</w:t>
      </w:r>
      <w:r>
        <w:t xml:space="preserve"> </w:t>
      </w:r>
      <m:oMath>
        <m:d>
          <m:dPr>
            <m:begChr m:val="("/>
            <m:endChr m:val=")"/>
            <m:sepChr m:val=""/>
            <m:grow/>
          </m:dPr>
          <m:e>
            <m:sSubSup>
              <m:e>
                <m:r>
                  <m:t>x</m:t>
                </m:r>
              </m:e>
              <m:sub>
                <m:r>
                  <m:t>i</m:t>
                </m:r>
              </m:sub>
              <m:sup>
                <m:r>
                  <m:rPr>
                    <m:sty m:val="p"/>
                  </m:rPr>
                  <m:t>+</m:t>
                </m:r>
              </m:sup>
            </m:sSubSup>
            <m:r>
              <m:rPr>
                <m:sty m:val="p"/>
              </m:rPr>
              <m:t>,</m:t>
            </m:r>
            <m:sSubSup>
              <m:e>
                <m:r>
                  <m:t>x</m:t>
                </m:r>
              </m:e>
              <m:sub>
                <m:r>
                  <m:t>i</m:t>
                </m:r>
              </m:sub>
              <m:sup>
                <m:r>
                  <m:rPr>
                    <m:sty m:val="p"/>
                  </m:rPr>
                  <m:t>−</m:t>
                </m:r>
              </m:sup>
            </m:sSubSup>
          </m:e>
        </m:d>
      </m:oMath>
      <w:r>
        <w:t xml:space="preserve"> </w:t>
      </w:r>
      <w:r>
        <w:t xml:space="preserve">where</w:t>
      </w:r>
      <w:r>
        <w:t xml:space="preserve"> </w:t>
      </w:r>
      <m:oMath>
        <m:sSubSup>
          <m:e>
            <m:r>
              <m:t>x</m:t>
            </m:r>
          </m:e>
          <m:sub>
            <m:r>
              <m:t>i</m:t>
            </m:r>
          </m:sub>
          <m:sup>
            <m:r>
              <m:rPr>
                <m:sty m:val="p"/>
              </m:rPr>
              <m:t>+</m:t>
            </m:r>
          </m:sup>
        </m:sSubSup>
      </m:oMath>
      <w:r>
        <w:t xml:space="preserve"> </w:t>
      </w:r>
      <w:r>
        <w:t xml:space="preserve">strongly activates feature</w:t>
      </w:r>
      <w:r>
        <w:t xml:space="preserve"> </w:t>
      </w:r>
      <m:oMath>
        <m:r>
          <m:t>i</m:t>
        </m:r>
      </m:oMath>
      <w:r>
        <w:t xml:space="preserve"> </w:t>
      </w:r>
      <w:r>
        <w:t xml:space="preserve">and</w:t>
      </w:r>
      <w:r>
        <w:t xml:space="preserve"> </w:t>
      </w:r>
      <m:oMath>
        <m:sSubSup>
          <m:e>
            <m:r>
              <m:t>x</m:t>
            </m:r>
          </m:e>
          <m:sub>
            <m:r>
              <m:t>i</m:t>
            </m:r>
          </m:sub>
          <m:sup>
            <m:r>
              <m:rPr>
                <m:sty m:val="p"/>
              </m:rPr>
              <m:t>−</m:t>
            </m:r>
          </m:sup>
        </m:sSubSup>
      </m:oMath>
      <w:r>
        <w:t xml:space="preserve"> </w:t>
      </w:r>
      <w:r>
        <w:t xml:space="preserve">weakly activates it. These pairs serve as few-shot demonstrations to guide a generator toward samples that close the coverage gap. Generated candidates are filtered by an SAE activation threshold</w:t>
      </w:r>
      <w:r>
        <w:t xml:space="preserve"> </w:t>
      </w:r>
      <m:oMath>
        <m:r>
          <m:t>δ</m:t>
        </m:r>
      </m:oMath>
      <w:r>
        <w:t xml:space="preserve">, ensuring that only samples that genuinely activate the target features are retained</w:t>
      </w:r>
      <w:r>
        <w:t xml:space="preserve"> </w:t>
      </w:r>
      <w:fldSimple w:instr="NOTEREF _Ref_Footnote_11 \h \f">
        <w:r>
          <w:rPr>
            <w:vertAlign w:val="superscript"/>
          </w:rPr>
          <w:t>11</w:t>
        </w:r>
      </w:fldSimple>
      <w:r>
        <w:t xml:space="preserve">.</w:t>
      </w:r>
    </w:p>
    <w:p>
      <w:pPr>
        <w:pStyle w:val="BodyText"/>
      </w:pPr>
      <w:r>
        <w:t xml:space="preserve">The efficiency gains are dramatic. FAC Synthesis achieves comparable downstream performance to MAGPIE—a state-of-the-art synthetic data pipeline—using only 2,000 synthetic samples versus MAGPIE’s approximately 300,000 samples, a</w:t>
      </w:r>
      <w:r>
        <w:t xml:space="preserve"> </w:t>
      </w:r>
      <w:r>
        <w:rPr>
          <w:bCs/>
          <w:b/>
        </w:rPr>
        <w:t xml:space="preserve">150×</w:t>
      </w:r>
      <w:r>
        <w:t xml:space="preserve"> </w:t>
      </w:r>
      <w:r>
        <w:t xml:space="preserve">reduction</w:t>
      </w:r>
      <w:r>
        <w:t xml:space="preserve"> </w:t>
      </w:r>
      <w:fldSimple w:instr="NOTEREF _Ref_Footnote_11 \h \f">
        <w:r>
          <w:rPr>
            <w:vertAlign w:val="superscript"/>
          </w:rPr>
          <w:t>11</w:t>
        </w:r>
      </w:fldSimple>
      <w:r>
        <w:t xml:space="preserve">. FAC also correlates strongly with downstream task performance (Pearson</w:t>
      </w:r>
      <w:r>
        <w:t xml:space="preserve"> </w:t>
      </w:r>
      <m:oMath>
        <m:r>
          <m:t>r</m:t>
        </m:r>
        <m:r>
          <m:rPr>
            <m:sty m:val="p"/>
          </m:rPr>
          <m:t>=</m:t>
        </m:r>
        <m:r>
          <m:t>0.95</m:t>
        </m:r>
      </m:oMath>
      <w:r>
        <w:t xml:space="preserve">, Spearman</w:t>
      </w:r>
      <w:r>
        <w:t xml:space="preserve"> </w:t>
      </w:r>
      <m:oMath>
        <m:r>
          <m:t>ρ</m:t>
        </m:r>
        <m:r>
          <m:rPr>
            <m:sty m:val="p"/>
          </m:rPr>
          <m:t>=</m:t>
        </m:r>
        <m:r>
          <m:t>0.90</m:t>
        </m:r>
      </m:oMath>
      <w:r>
        <w:t xml:space="preserve">), validating that feature-space coverage is a reliable proxy for learning signal</w:t>
      </w:r>
      <w:r>
        <w:t xml:space="preserve"> </w:t>
      </w:r>
      <w:fldSimple w:instr="NOTEREF _Ref_Footnote_11 \h \f">
        <w:r>
          <w:rPr>
            <w:vertAlign w:val="superscript"/>
          </w:rPr>
          <w:t>11</w:t>
        </w:r>
      </w:fldSimple>
      <w:r>
        <w:t xml:space="preserve">.</w:t>
      </w:r>
    </w:p>
    <w:p>
      <w:pPr>
        <w:pStyle w:val="BodyText"/>
      </w:pPr>
      <w:r>
        <w:t xml:space="preserve">The theoretical foundation supporting this result is an upper bound on post-training generalization error that identifies</w:t>
      </w:r>
      <w:r>
        <w:t xml:space="preserve"> </w:t>
      </w:r>
      <w:r>
        <w:rPr>
          <w:iCs/>
          <w:i/>
        </w:rPr>
        <w:t xml:space="preserve">task-relevant feature coverage</w:t>
      </w:r>
      <w:r>
        <w:t xml:space="preserve"> </w:t>
      </w:r>
      <w:r>
        <w:t xml:space="preserve">as a key determinant of downstream performance</w:t>
      </w:r>
      <w:r>
        <w:t xml:space="preserve"> </w:t>
      </w:r>
      <w:fldSimple w:instr="NOTEREF _Ref_Footnote_11 \h \f">
        <w:r>
          <w:rPr>
            <w:vertAlign w:val="superscript"/>
          </w:rPr>
          <w:t>11</w:t>
        </w:r>
      </w:fldSimple>
      <w:r>
        <w:t xml:space="preserve">. When a model’s training distribution under-represents certain feature directions, those directions remain poorly optimized even if the model has sufficient capacity to represent them. FAC Synthesis explicitly targets these underrepresented directions, creating a form of representation-level curriculum rather than domain-level curriculum.</w:t>
      </w:r>
    </w:p>
    <w:p>
      <w:pPr>
        <w:pStyle w:val="BodyText"/>
      </w:pPr>
      <w:r>
        <w:t xml:space="preserve">Cross-model feature transfer strengthens the practical case. SAE-derived features achieve macro F1 &gt; 0.8 and demonstrate cross-model transfer from Gemma 2 2B to 9B-IT models; remarkably, 2B-based SAE features can predict 9B-IT’s correctness nearly as well as, and sometimes better than, 9B-IT’s own features</w:t>
      </w:r>
      <w:r>
        <w:t xml:space="preserve"> </w:t>
      </w:r>
      <w:r>
        <w:rPr>
          <w:vertAlign w:val="superscript"/>
        </w:rPr>
        <w:footnoteReference w:id="83"/>
      </w:r>
      <w:r>
        <w:t xml:space="preserve">. This suggests that feature directions are to some extent</w:t>
      </w:r>
      <w:r>
        <w:t xml:space="preserve"> </w:t>
      </w:r>
      <w:r>
        <w:rPr>
          <w:iCs/>
          <w:i/>
        </w:rPr>
        <w:t xml:space="preserve">universal</w:t>
      </w:r>
      <w:r>
        <w:t xml:space="preserve"> </w:t>
      </w:r>
      <w:r>
        <w:t xml:space="preserve">across model scales within a family, meaning feature gaps identified on a small model can guide data synthesis for a larger one—a critical efficiency for resource-constrained local training.</w:t>
      </w:r>
    </w:p>
    <w:bookmarkEnd w:id="141"/>
    <w:bookmarkStart w:id="142" w:name="X5e586c5b1096df6c1748f4fff5bb4209dd4ab2c"/>
    <w:p>
      <w:pPr>
        <w:pStyle w:val="Heading3"/>
      </w:pPr>
      <w:r>
        <w:t xml:space="preserve">8.2.2 Automatic Curriculum Design for GRPO Training</w:t>
      </w:r>
    </w:p>
    <w:p>
      <w:pPr>
        <w:pStyle w:val="FirstParagraph"/>
      </w:pPr>
      <w:r>
        <w:t xml:space="preserve">Feature gaps identified through fingerprinting can directly inform the reward structure and data sampling strategy in Group Relative Policy Optimization (GRPO), the reinforcement learning algorithm used by DeepSeek-R1 to eliminate the critic model and reduce memory overhead by approximately 50%</w:t>
      </w:r>
      <w:r>
        <w:t xml:space="preserve"> </w:t>
      </w:r>
      <w:fldSimple w:instr="NOTEREF _Ref_Footnote_12 \h \f">
        <w:r>
          <w:rPr>
            <w:vertAlign w:val="superscript"/>
          </w:rPr>
          <w:t>12</w:t>
        </w:r>
      </w:fldSimple>
      <w:r>
        <w:t xml:space="preserve"> </w:t>
      </w:r>
      <w:fldSimple w:instr="NOTEREF _Ref_Footnote_57 \h \f">
        <w:r>
          <w:rPr>
            <w:vertAlign w:val="superscript"/>
          </w:rPr>
          <w:t>57</w:t>
        </w:r>
      </w:fldSimple>
      <w:r>
        <w:t xml:space="preserve">. The integration creates a closed evaluation-training loop: SAE fingerprinting profiles the model across all benchmarks, identifies feature directions that are underdeveloped, FAC Synthesis generates targeted training data, and GRPO trains with rule-based rewards on that data. Re-evaluation with fingerprinting closes the loop.</w:t>
      </w:r>
    </w:p>
    <w:p>
      <w:pPr>
        <w:pStyle w:val="BodyText"/>
      </w:pPr>
      <w:r>
        <w:t xml:space="preserve">This is</w:t>
      </w:r>
      <w:r>
        <w:t xml:space="preserve"> </w:t>
      </w:r>
      <w:r>
        <w:rPr>
          <w:iCs/>
          <w:i/>
        </w:rPr>
        <w:t xml:space="preserve">representation-level curriculum design</w:t>
      </w:r>
      <w:r>
        <w:t xml:space="preserve">, finer-grained than domain-level (math, code, science) curricula. Instead of</w:t>
      </w:r>
      <w:r>
        <w:t xml:space="preserve"> </w:t>
      </w:r>
      <w:r>
        <w:t xml:space="preserve">“</w:t>
      </w:r>
      <w:r>
        <w:t xml:space="preserve">the model needs more math practice,</w:t>
      </w:r>
      <w:r>
        <w:t xml:space="preserve">”</w:t>
      </w:r>
      <w:r>
        <w:t xml:space="preserve"> </w:t>
      </w:r>
      <w:r>
        <w:t xml:space="preserve">the system identifies</w:t>
      </w:r>
      <w:r>
        <w:t xml:space="preserve"> </w:t>
      </w:r>
      <w:r>
        <w:t xml:space="preserve">“</w:t>
      </w:r>
      <w:r>
        <w:t xml:space="preserve">feature direction 3,247—which encodes algebraic substitution—is underrepresented in the training distribution.</w:t>
      </w:r>
      <w:r>
        <w:t xml:space="preserve">”</w:t>
      </w:r>
      <w:r>
        <w:t xml:space="preserve"> </w:t>
      </w:r>
      <w:r>
        <w:t xml:space="preserve">The GRPO reward function can then incorporate a bonus for responses that activate this feature direction above threshold</w:t>
      </w:r>
      <w:r>
        <w:t xml:space="preserve"> </w:t>
      </w:r>
      <m:oMath>
        <m:r>
          <m:t>δ</m:t>
        </m:r>
      </m:oMath>
      <w:r>
        <w:t xml:space="preserve">:</w:t>
      </w:r>
    </w:p>
    <w:p>
      <w:pPr>
        <w:pStyle w:val="BodyText"/>
      </w:pPr>
      <m:oMathPara>
        <m:oMathParaPr>
          <m:jc m:val="center"/>
        </m:oMathParaPr>
        <m:oMath>
          <m:sSub>
            <m:e>
              <m:r>
                <m:t>R</m:t>
              </m:r>
            </m:e>
            <m:sub>
              <m:r>
                <m:rPr>
                  <m:nor/>
                  <m:sty m:val="p"/>
                </m:rPr>
                <m:t>total</m:t>
              </m:r>
            </m:sub>
          </m:sSub>
          <m:r>
            <m:rPr>
              <m:sty m:val="p"/>
            </m:rPr>
            <m:t>=</m:t>
          </m:r>
          <m:sSub>
            <m:e>
              <m:r>
                <m:t>R</m:t>
              </m:r>
            </m:e>
            <m:sub>
              <m:r>
                <m:rPr>
                  <m:nor/>
                  <m:sty m:val="p"/>
                </m:rPr>
                <m:t>correctness</m:t>
              </m:r>
            </m:sub>
          </m:sSub>
          <m:r>
            <m:rPr>
              <m:sty m:val="p"/>
            </m:rPr>
            <m:t>+</m:t>
          </m:r>
          <m:r>
            <m:t>λ</m:t>
          </m:r>
          <m:r>
            <m:rPr>
              <m:sty m:val="p"/>
            </m:rPr>
            <m:t>⋅</m:t>
          </m:r>
          <m:r>
            <m:rPr>
              <m:sty m:val="p"/>
              <m:scr m:val="double-struck"/>
            </m:rPr>
            <m:t>1</m:t>
          </m:r>
          <m:d>
            <m:dPr>
              <m:begChr m:val="["/>
              <m:endChr m:val="]"/>
              <m:sepChr m:val=""/>
              <m:grow/>
            </m:dPr>
            <m:e>
              <m:sSub>
                <m:e>
                  <m:r>
                    <m:t>z</m:t>
                  </m:r>
                </m:e>
                <m:sub>
                  <m:r>
                    <m:t>3247</m:t>
                  </m:r>
                </m:sub>
              </m:sSub>
              <m:d>
                <m:dPr>
                  <m:begChr m:val="("/>
                  <m:endChr m:val=")"/>
                  <m:sepChr m:val=""/>
                  <m:grow/>
                </m:dPr>
                <m:e>
                  <m:r>
                    <m:t>x</m:t>
                  </m:r>
                </m:e>
              </m:d>
              <m:r>
                <m:rPr>
                  <m:sty m:val="p"/>
                </m:rPr>
                <m:t>&gt;</m:t>
              </m:r>
              <m:r>
                <m:t>δ</m:t>
              </m:r>
            </m:e>
          </m:d>
        </m:oMath>
      </m:oMathPara>
    </w:p>
    <w:p>
      <w:pPr>
        <w:pStyle w:val="FirstParagraph"/>
      </w:pPr>
      <w:r>
        <w:t xml:space="preserve">where</w:t>
      </w:r>
      <w:r>
        <w:t xml:space="preserve"> </w:t>
      </w:r>
      <m:oMath>
        <m:sSub>
          <m:e>
            <m:r>
              <m:t>R</m:t>
            </m:r>
          </m:e>
          <m:sub>
            <m:r>
              <m:rPr>
                <m:nor/>
                <m:sty m:val="p"/>
              </m:rPr>
              <m:t>correctness</m:t>
            </m:r>
          </m:sub>
        </m:sSub>
      </m:oMath>
      <w:r>
        <w:t xml:space="preserve"> </w:t>
      </w:r>
      <w:r>
        <w:t xml:space="preserve">is the standard accuracy reward and</w:t>
      </w:r>
      <w:r>
        <w:t xml:space="preserve"> </w:t>
      </w:r>
      <m:oMath>
        <m:r>
          <m:t>λ</m:t>
        </m:r>
      </m:oMath>
      <w:r>
        <w:t xml:space="preserve"> </w:t>
      </w:r>
      <w:r>
        <w:t xml:space="preserve">is a scalar weighting the feature-activation bonus. Because GRPO uses group-relative advantages computed within a batch of responses to the same question, no critic model is required, and the feature-activation reward can be evaluated inexpensively via the SAE encoder during training</w:t>
      </w:r>
      <w:r>
        <w:t xml:space="preserve"> </w:t>
      </w:r>
      <w:fldSimple w:instr="NOTEREF _Ref_Footnote_12 \h \f">
        <w:r>
          <w:rPr>
            <w:vertAlign w:val="superscript"/>
          </w:rPr>
          <w:t>12</w:t>
        </w:r>
      </w:fldSimple>
      <w:r>
        <w:t xml:space="preserve">.</w:t>
      </w:r>
    </w:p>
    <w:p>
      <w:pPr>
        <w:pStyle w:val="BodyText"/>
      </w:pPr>
      <w:r>
        <w:t xml:space="preserve">The convergence properties of this approach align with findings from repair-loop analysis: tool-augmented feedback converges in 1–3 iterations for math and code tasks</w:t>
      </w:r>
      <w:r>
        <w:t xml:space="preserve"> </w:t>
      </w:r>
      <w:fldSimple w:instr="NOTEREF _Ref_Footnote_27 \h \f">
        <w:r>
          <w:rPr>
            <w:vertAlign w:val="superscript"/>
          </w:rPr>
          <w:t>27</w:t>
        </w:r>
      </w:fldSimple>
      <w:r>
        <w:t xml:space="preserve">, while intrinsic self-correction fails 64.5% of the time</w:t>
      </w:r>
      <w:r>
        <w:t xml:space="preserve"> </w:t>
      </w:r>
      <w:fldSimple w:instr="NOTEREF _Ref_Footnote_4 \h \f">
        <w:r>
          <w:rPr>
            <w:vertAlign w:val="superscript"/>
          </w:rPr>
          <w:t>4</w:t>
        </w:r>
      </w:fldSimple>
      <w:r>
        <w:t xml:space="preserve">. Feature-guided GRPO operates as an</w:t>
      </w:r>
      <w:r>
        <w:t xml:space="preserve"> </w:t>
      </w:r>
      <w:r>
        <w:rPr>
          <w:iCs/>
          <w:i/>
        </w:rPr>
        <w:t xml:space="preserve">extrinsic</w:t>
      </w:r>
      <w:r>
        <w:t xml:space="preserve"> </w:t>
      </w:r>
      <w:r>
        <w:t xml:space="preserve">feedback mechanism—the SAE provides an external verification signal that the model is activating the right representational directions—consistent with the successful correction pattern.</w:t>
      </w:r>
    </w:p>
    <w:p>
      <w:pPr>
        <w:pStyle w:val="BodyText"/>
      </w:pPr>
      <w:r>
        <w:t xml:space="preserve">Resa provides an extreme demonstration of SAE-guided training efficiency: sparse autoencoder tuning retains 97% of an RL-trained counterpart’s performance while reducing training costs by 2,000× (to roughly $1) and training time by 450× (to approximately 20 minutes)</w:t>
      </w:r>
      <w:r>
        <w:t xml:space="preserve"> </w:t>
      </w:r>
      <w:r>
        <w:rPr>
          <w:vertAlign w:val="superscript"/>
        </w:rPr>
        <w:footnoteReference w:id="84"/>
      </w:r>
      <w:r>
        <w:t xml:space="preserve">. Although Resa uses SAE tuning rather than feature-guided synthesis, the underlying principle—that representational structure can be manipulated far more efficiently than weights or data alone—is the same.</w:t>
      </w:r>
    </w:p>
    <w:bookmarkEnd w:id="142"/>
    <w:bookmarkStart w:id="143" w:name="temporal-feature-drift-detection"/>
    <w:p>
      <w:pPr>
        <w:pStyle w:val="Heading3"/>
      </w:pPr>
      <w:r>
        <w:t xml:space="preserve">8.2.3 Temporal Feature Drift Detection</w:t>
      </w:r>
    </w:p>
    <w:p>
      <w:pPr>
        <w:pStyle w:val="FirstParagraph"/>
      </w:pPr>
      <w:r>
        <w:t xml:space="preserve">SAE feature activation distributions can serve as</w:t>
      </w:r>
      <w:r>
        <w:t xml:space="preserve"> </w:t>
      </w:r>
      <w:r>
        <w:t xml:space="preserve">“</w:t>
      </w:r>
      <w:r>
        <w:t xml:space="preserve">model ECGs</w:t>
      </w:r>
      <w:r>
        <w:t xml:space="preserve">”</w:t>
      </w:r>
      <w:r>
        <w:t xml:space="preserve"> </w:t>
      </w:r>
      <w:r>
        <w:t xml:space="preserve">for detecting temporal drift in capabilities before benchmark scores degrade. The procedure is conceptually simple: record a baseline feature distribution</w:t>
      </w:r>
      <w:r>
        <w:t xml:space="preserve"> </w:t>
      </w:r>
      <m:oMath>
        <m:sSub>
          <m:e>
            <m:r>
              <m:t>p</m:t>
            </m:r>
          </m:e>
          <m:sub>
            <m:r>
              <m:t>0</m:t>
            </m:r>
          </m:sub>
        </m:sSub>
        <m:d>
          <m:dPr>
            <m:begChr m:val="("/>
            <m:endChr m:val=")"/>
            <m:sepChr m:val=""/>
            <m:grow/>
          </m:dPr>
          <m:e>
            <m:r>
              <m:t>z</m:t>
            </m:r>
          </m:e>
        </m:d>
      </m:oMath>
      <w:r>
        <w:t xml:space="preserve"> </w:t>
      </w:r>
      <w:r>
        <w:t xml:space="preserve">on a validation set at deployment, then monitor the distribution</w:t>
      </w:r>
      <w:r>
        <w:t xml:space="preserve"> </w:t>
      </w:r>
      <m:oMath>
        <m:sSub>
          <m:e>
            <m:r>
              <m:t>p</m:t>
            </m:r>
          </m:e>
          <m:sub>
            <m:r>
              <m:t>t</m:t>
            </m:r>
          </m:sub>
        </m:sSub>
        <m:d>
          <m:dPr>
            <m:begChr m:val="("/>
            <m:endChr m:val=")"/>
            <m:sepChr m:val=""/>
            <m:grow/>
          </m:dPr>
          <m:e>
            <m:r>
              <m:t>z</m:t>
            </m:r>
          </m:e>
        </m:d>
      </m:oMath>
      <w:r>
        <w:t xml:space="preserve"> </w:t>
      </w:r>
      <w:r>
        <w:t xml:space="preserve">during production use. Statistical divergence from baseline—measured by Kullback-Leibler (KL) divergence or Wasserstein distance—signals representational shift:</w:t>
      </w:r>
    </w:p>
    <w:p>
      <w:pPr>
        <w:pStyle w:val="BodyText"/>
      </w:pPr>
      <m:oMathPara>
        <m:oMathParaPr>
          <m:jc m:val="center"/>
        </m:oMathParaPr>
        <m:oMath>
          <m:sSub>
            <m:e>
              <m:r>
                <m:t>D</m:t>
              </m:r>
            </m:e>
            <m:sub>
              <m:r>
                <m:rPr>
                  <m:nor/>
                  <m:sty m:val="p"/>
                </m:rPr>
                <m:t>KL</m:t>
              </m:r>
            </m:sub>
          </m:sSub>
          <m:d>
            <m:dPr>
              <m:begChr m:val="("/>
              <m:endChr m:val=")"/>
              <m:sepChr m:val=""/>
              <m:grow/>
            </m:dPr>
            <m:e>
              <m:sSub>
                <m:e>
                  <m:r>
                    <m:t>p</m:t>
                  </m:r>
                </m:e>
                <m:sub>
                  <m:r>
                    <m:t>t</m:t>
                  </m:r>
                </m:sub>
              </m:sSub>
              <m:r>
                <m:rPr>
                  <m:sty m:val="p"/>
                </m:rPr>
                <m:t>∥</m:t>
              </m:r>
              <m:sSub>
                <m:e>
                  <m:r>
                    <m:t>p</m:t>
                  </m:r>
                </m:e>
                <m:sub>
                  <m:r>
                    <m:t>0</m:t>
                  </m:r>
                </m:sub>
              </m:sSub>
            </m:e>
          </m:d>
          <m:r>
            <m:rPr>
              <m:sty m:val="p"/>
            </m:rPr>
            <m:t>=</m:t>
          </m:r>
          <m:nary>
            <m:naryPr>
              <m:chr m:val="∑"/>
              <m:limLoc m:val="undOvr"/>
              <m:subHide m:val="0"/>
              <m:supHide m:val="1"/>
            </m:naryPr>
            <m:sub>
              <m:r>
                <m:t>j</m:t>
              </m:r>
            </m:sub>
            <m:sup>
              <m:r>
                <m:t>​</m:t>
              </m:r>
            </m:sup>
            <m:e>
              <m:sSub>
                <m:e>
                  <m:r>
                    <m:t>p</m:t>
                  </m:r>
                </m:e>
                <m:sub>
                  <m:r>
                    <m:t>t</m:t>
                  </m:r>
                </m:sub>
              </m:sSub>
            </m:e>
          </m:nary>
          <m:d>
            <m:dPr>
              <m:begChr m:val="("/>
              <m:endChr m:val=")"/>
              <m:sepChr m:val=""/>
              <m:grow/>
            </m:dPr>
            <m:e>
              <m:sSub>
                <m:e>
                  <m:r>
                    <m:t>z</m:t>
                  </m:r>
                </m:e>
                <m:sub>
                  <m:r>
                    <m:t>j</m:t>
                  </m:r>
                </m:sub>
              </m:sSub>
            </m:e>
          </m:d>
          <m:r>
            <m:rPr>
              <m:sty m:val="p"/>
            </m:rPr>
            <m:t>log</m:t>
          </m:r>
          <m:f>
            <m:fPr>
              <m:type m:val="bar"/>
            </m:fPr>
            <m:num>
              <m:sSub>
                <m:e>
                  <m:r>
                    <m:t>p</m:t>
                  </m:r>
                </m:e>
                <m:sub>
                  <m:r>
                    <m:t>t</m:t>
                  </m:r>
                </m:sub>
              </m:sSub>
              <m:d>
                <m:dPr>
                  <m:begChr m:val="("/>
                  <m:endChr m:val=")"/>
                  <m:sepChr m:val=""/>
                  <m:grow/>
                </m:dPr>
                <m:e>
                  <m:sSub>
                    <m:e>
                      <m:r>
                        <m:t>z</m:t>
                      </m:r>
                    </m:e>
                    <m:sub>
                      <m:r>
                        <m:t>j</m:t>
                      </m:r>
                    </m:sub>
                  </m:sSub>
                </m:e>
              </m:d>
            </m:num>
            <m:den>
              <m:sSub>
                <m:e>
                  <m:r>
                    <m:t>p</m:t>
                  </m:r>
                </m:e>
                <m:sub>
                  <m:r>
                    <m:t>0</m:t>
                  </m:r>
                </m:sub>
              </m:sSub>
              <m:d>
                <m:dPr>
                  <m:begChr m:val="("/>
                  <m:endChr m:val=")"/>
                  <m:sepChr m:val=""/>
                  <m:grow/>
                </m:dPr>
                <m:e>
                  <m:sSub>
                    <m:e>
                      <m:r>
                        <m:t>z</m:t>
                      </m:r>
                    </m:e>
                    <m:sub>
                      <m:r>
                        <m:t>j</m:t>
                      </m:r>
                    </m:sub>
                  </m:sSub>
                </m:e>
              </m:d>
            </m:den>
          </m:f>
        </m:oMath>
      </m:oMathPara>
    </w:p>
    <w:p>
      <w:pPr>
        <w:pStyle w:val="FirstParagraph"/>
      </w:pPr>
      <w:r>
        <w:t xml:space="preserve">Because the Spearman correlation between feature coverage and benchmark performance is</w:t>
      </w:r>
      <w:r>
        <w:t xml:space="preserve"> </w:t>
      </w:r>
      <m:oMath>
        <m:r>
          <m:t>ρ</m:t>
        </m:r>
        <m:r>
          <m:rPr>
            <m:sty m:val="p"/>
          </m:rPr>
          <m:t>≈</m:t>
        </m:r>
        <m:r>
          <m:t>0.85</m:t>
        </m:r>
      </m:oMath>
      <w:r>
        <w:t xml:space="preserve"> </w:t>
      </w:r>
      <w:fldSimple w:instr="NOTEREF _Ref_Footnote_3 \h \f">
        <w:r>
          <w:rPr>
            <w:vertAlign w:val="superscript"/>
          </w:rPr>
          <w:t>3</w:t>
        </w:r>
      </w:fldSimple>
      <w:r>
        <w:t xml:space="preserve">, a measurable drift in feature activation statistics can be translated into an estimated performance drift before any evaluation is run. This enables</w:t>
      </w:r>
      <w:r>
        <w:t xml:space="preserve"> </w:t>
      </w:r>
      <w:r>
        <w:rPr>
          <w:iCs/>
          <w:i/>
        </w:rPr>
        <w:t xml:space="preserve">predictive maintenance</w:t>
      </w:r>
      <w:r>
        <w:t xml:space="preserve"> </w:t>
      </w:r>
      <w:r>
        <w:t xml:space="preserve">for deployed models: trigger targeted data synthesis and retraining when KL divergence exceeds a threshold, rather than waiting for user-facing accuracy to drop.</w:t>
      </w:r>
    </w:p>
    <w:p>
      <w:pPr>
        <w:pStyle w:val="BodyText"/>
      </w:pPr>
      <w:r>
        <w:t xml:space="preserve">The detection pipeline integrates naturally with the Apple Silicon substrate described in Chapter 7. The Apple Neural Engine (ANE) can run SAE feature monitoring concurrently with GPU generation, providing sub-millisecond feature extraction without interrupting inference. The ANE handles the SAE encoder (a lightweight linear+ReLU network) while the GPU handles token generation, producing a continuous feature-distribution telemetry stream. When KL divergence exceeds a learned threshold—calibrated on historical drift episodes—the system flags the model for re-evaluation.</w:t>
      </w:r>
    </w:p>
    <w:p>
      <w:pPr>
        <w:pStyle w:val="BodyText"/>
      </w:pPr>
      <w:r>
        <w:t xml:space="preserve">Several practical considerations govern deployment. Feature drift can arise from distribution shift in inputs (the model sees harder questions, not degraded capabilities), from legitimate learning (the model’s internal representations reorganize during continued pre-training), or from genuine capability decay (weights drift due to quantization, pruning, or repeated fine-tuning). Distinguishing these cases requires baseline distributions recorded under multiple conditions: easy and hard inputs, before and after legitimate training updates. The threshold should be set per-feature-group rather than globally, since different capabilities (math, code, language) may drift independently.</w:t>
      </w:r>
    </w:p>
    <w:p>
      <w:pPr>
        <w:pStyle w:val="BodyText"/>
      </w:pPr>
      <w:r>
        <w:t xml:space="preserve">The complete evaluation intelligence pipeline—fingerprinting, redundancy detection, gap identification, targeted synthesis, and drift monitoring—transforms benchmark evaluation from a post-hoc measurement into a continuous, closed-loop control system. The model’s own latent features become the sensor array through which its capabilities are observed, diagnosed, and repaired, without requiring the expensive act of inference on full benchmark suites.</w:t>
      </w:r>
    </w:p>
    <w:p>
      <w:r>
        <w:pict>
          <v:rect style="width:0;height:1.5pt" o:hralign="center" o:hrstd="t" o:hr="t"/>
        </w:pict>
      </w:r>
    </w:p>
    <w:bookmarkEnd w:id="143"/>
    <w:bookmarkEnd w:id="144"/>
    <w:bookmarkStart w:id="157" w:name="X547530964604cfd9e1ff45998a6131ea963332c"/>
    <w:p>
      <w:pPr>
        <w:pStyle w:val="Heading2"/>
      </w:pPr>
      <w:r>
        <w:t xml:space="preserve">9. Hallucination and Repetition: Root-Cause Elimination</w:t>
      </w:r>
    </w:p>
    <w:p>
      <w:pPr>
        <w:pStyle w:val="FirstParagraph"/>
      </w:pPr>
      <w:r>
        <w:t xml:space="preserve">Hallucination and repetition are not surface symptoms to be patched with post-hoc filters; they are deep dynamical pathologies that emerge from the geometry of hidden-state trajectories. Token-level repetition penalties and temperature tuning address the symptom while the underlying neural circuitry continues to spiral. This chapter maps the trajectory from reactive mitigation to root-cause elimination through a three-layer architecture: a multi-signal early warning system that detects failure modes before they reach the surface; a reinforcement-learning pipeline that manufactures negative evidence to teach the model avoidance of its own attractor states; and a claim-level neuro-symbolic constraint loop that grounds every assertion in verifiable structure before it is emitted.</w:t>
      </w:r>
    </w:p>
    <w:bookmarkStart w:id="148" w:name="the-early-warning-system-architecture"/>
    <w:p>
      <w:pPr>
        <w:pStyle w:val="Heading3"/>
      </w:pPr>
      <w:r>
        <w:t xml:space="preserve">9.1 The Early Warning System Architecture</w:t>
      </w:r>
    </w:p>
    <w:p>
      <w:pPr>
        <w:pStyle w:val="FirstParagraph"/>
      </w:pPr>
      <w:r>
        <w:t xml:space="preserve">The central insight from recent mechanistic interpretability research is that both hallucination and repetition leave detectable signatures in the latent trajectory</w:t>
      </w:r>
      <w:r>
        <w:t xml:space="preserve"> </w:t>
      </w:r>
      <w:r>
        <w:rPr>
          <w:iCs/>
          <w:i/>
        </w:rPr>
        <w:t xml:space="preserve">before</w:t>
      </w:r>
      <w:r>
        <w:t xml:space="preserve"> </w:t>
      </w:r>
      <w:r>
        <w:t xml:space="preserve">any token is generated. SAVE (Sparse Autoencoder-Driven Visual Information Enhancement) shows that steering toward identified visual-understanding features reduces the CHAIR_S hallucination score from 31.2 to 21.4 on LLaVA-1.6, while steering toward hallucination features increases it to 38.0—confirming that these failure modes are encoded as separable directions in activation space</w:t>
      </w:r>
      <w:r>
        <w:t xml:space="preserve"> </w:t>
      </w:r>
      <w:fldSimple w:instr="NOTEREF _Ref_Footnote_25 \h \f">
        <w:r>
          <w:rPr>
            <w:vertAlign w:val="superscript"/>
          </w:rPr>
          <w:t>25</w:t>
        </w:r>
      </w:fldSimple>
      <w:r>
        <w:t xml:space="preserve">. Qwen-Scope extends this causal finding to repetition: a specific SAE feature spikes sharply and sustains high activation at the exact onset of a textual loop</w:t>
      </w:r>
      <w:r>
        <w:t xml:space="preserve"> </w:t>
      </w:r>
      <w:fldSimple w:instr="NOTEREF _Ref_Footnote_17 \h \f">
        <w:r>
          <w:rPr>
            <w:vertAlign w:val="superscript"/>
          </w:rPr>
          <w:t>17</w:t>
        </w:r>
      </w:fldSimple>
      <w:r>
        <w:t xml:space="preserve">. These discoveries transform the detection problem from</w:t>
      </w:r>
      <w:r>
        <w:t xml:space="preserve"> </w:t>
      </w:r>
      <w:r>
        <w:t xml:space="preserve">“</w:t>
      </w:r>
      <w:r>
        <w:t xml:space="preserve">inspect the output</w:t>
      </w:r>
      <w:r>
        <w:t xml:space="preserve">”</w:t>
      </w:r>
      <w:r>
        <w:t xml:space="preserve"> </w:t>
      </w:r>
      <w:r>
        <w:t xml:space="preserve">to</w:t>
      </w:r>
      <w:r>
        <w:t xml:space="preserve"> </w:t>
      </w:r>
      <w:r>
        <w:t xml:space="preserve">“</w:t>
      </w:r>
      <w:r>
        <w:t xml:space="preserve">monitor the latent trajectory.</w:t>
      </w:r>
      <w:r>
        <w:t xml:space="preserve">”</w:t>
      </w:r>
    </w:p>
    <w:bookmarkStart w:id="145" w:name="Xf4c23478d735016401356df74b3402f3f6e481c"/>
    <w:p>
      <w:pPr>
        <w:pStyle w:val="Heading4"/>
      </w:pPr>
      <w:r>
        <w:t xml:space="preserve">9.1.1 Multi-Signal Fusion: Latency-Accuracy Trade-offs</w:t>
      </w:r>
    </w:p>
    <w:p>
      <w:pPr>
        <w:pStyle w:val="FirstParagraph"/>
      </w:pPr>
      <w:r>
        <w:t xml:space="preserve">A production-grade early warning system must fuse multiple independent signals, each with distinct latency and detection characteristics, to minimize both false positives and missed precursors. The architecture distributes computation across the Apple Silicon substrate in a hardware-aware pipeline.</w:t>
      </w:r>
    </w:p>
    <w:tbl>
      <w:tblPr>
        <w:tblStyle w:val="Table"/>
        <w:tblW w:type="pct" w:w="5000"/>
        <w:tblLook w:firstRow="1" w:lastRow="0" w:firstColumn="0" w:lastColumn="0" w:noHBand="0" w:noVBand="0" w:val="0020"/>
      </w:tblPr>
      <w:tblGrid>
        <w:gridCol w:w="833"/>
        <w:gridCol w:w="833"/>
        <w:gridCol w:w="937"/>
        <w:gridCol w:w="1980"/>
        <w:gridCol w:w="2292"/>
        <w:gridCol w:w="1042"/>
      </w:tblGrid>
      <w:tr>
        <w:trPr>
          <w:tblHeader w:val="true"/>
        </w:trPr>
        <w:tc>
          <w:tcPr/>
          <w:p>
            <w:pPr>
              <w:pStyle w:val="Compact"/>
              <w:jc w:val="left"/>
            </w:pPr>
            <w:r>
              <w:t xml:space="preserve">Signal</w:t>
            </w:r>
          </w:p>
        </w:tc>
        <w:tc>
          <w:tcPr/>
          <w:p>
            <w:pPr>
              <w:pStyle w:val="Compact"/>
              <w:jc w:val="left"/>
            </w:pPr>
            <w:r>
              <w:t xml:space="preserve">Source</w:t>
            </w:r>
          </w:p>
        </w:tc>
        <w:tc>
          <w:tcPr/>
          <w:p>
            <w:pPr>
              <w:pStyle w:val="Compact"/>
              <w:jc w:val="left"/>
            </w:pPr>
            <w:r>
              <w:t xml:space="preserve">Latency</w:t>
            </w:r>
          </w:p>
        </w:tc>
        <w:tc>
          <w:tcPr/>
          <w:p>
            <w:pPr>
              <w:pStyle w:val="Compact"/>
              <w:jc w:val="left"/>
            </w:pPr>
            <w:r>
              <w:t xml:space="preserve">Detection Target</w:t>
            </w:r>
          </w:p>
        </w:tc>
        <w:tc>
          <w:tcPr/>
          <w:p>
            <w:pPr>
              <w:pStyle w:val="Compact"/>
              <w:jc w:val="left"/>
            </w:pPr>
            <w:r>
              <w:t xml:space="preserve">AUC (Representative)</w:t>
            </w:r>
          </w:p>
        </w:tc>
        <w:tc>
          <w:tcPr/>
          <w:p>
            <w:pPr>
              <w:pStyle w:val="Compact"/>
              <w:jc w:val="left"/>
            </w:pPr>
            <w:r>
              <w:t xml:space="preserve">Hardware</w:t>
            </w:r>
          </w:p>
        </w:tc>
      </w:tr>
      <w:tr>
        <w:tc>
          <w:tcPr/>
          <w:p>
            <w:pPr>
              <w:pStyle w:val="Compact"/>
              <w:jc w:val="left"/>
            </w:pPr>
            <w:r>
              <w:t xml:space="preserve">SAE feature slope</w:t>
            </w:r>
          </w:p>
        </w:tc>
        <w:tc>
          <w:tcPr/>
          <w:p>
            <w:pPr>
              <w:pStyle w:val="Compact"/>
              <w:jc w:val="left"/>
            </w:pPr>
            <w:r>
              <w:t xml:space="preserve">ANE</w:t>
            </w:r>
          </w:p>
        </w:tc>
        <w:tc>
          <w:tcPr/>
          <w:p>
            <w:pPr>
              <w:pStyle w:val="Compact"/>
              <w:jc w:val="left"/>
            </w:pPr>
            <w:r>
              <w:t xml:space="preserve">~0.5 ms</w:t>
            </w:r>
          </w:p>
        </w:tc>
        <w:tc>
          <w:tcPr/>
          <w:p>
            <w:pPr>
              <w:pStyle w:val="Compact"/>
              <w:jc w:val="left"/>
            </w:pPr>
            <w:r>
              <w:t xml:space="preserve">Repetition/hallucination feature activation trend</w:t>
            </w:r>
          </w:p>
        </w:tc>
        <w:tc>
          <w:tcPr/>
          <w:p>
            <w:pPr>
              <w:pStyle w:val="Compact"/>
              <w:jc w:val="left"/>
            </w:pPr>
            <w:r>
              <w:t xml:space="preserve">0.87</w:t>
            </w:r>
            <w:r>
              <w:t xml:space="preserve"> </w:t>
            </w:r>
            <w:fldSimple w:instr="NOTEREF _Ref_Footnote_4 \h \f">
              <w:r>
                <w:rPr>
                  <w:vertAlign w:val="superscript"/>
                </w:rPr>
                <w:t>4</w:t>
              </w:r>
            </w:fldSimple>
          </w:p>
        </w:tc>
        <w:tc>
          <w:tcPr/>
          <w:p>
            <w:pPr>
              <w:pStyle w:val="Compact"/>
              <w:jc w:val="left"/>
            </w:pPr>
            <w:r>
              <w:t xml:space="preserve">Apple Neural Engine</w:t>
            </w:r>
          </w:p>
        </w:tc>
      </w:tr>
      <w:tr>
        <w:tc>
          <w:tcPr/>
          <w:p>
            <w:pPr>
              <w:pStyle w:val="Compact"/>
              <w:jc w:val="left"/>
            </w:pPr>
            <w:r>
              <w:t xml:space="preserve">Attention entropy trajectory</w:t>
            </w:r>
          </w:p>
        </w:tc>
        <w:tc>
          <w:tcPr/>
          <w:p>
            <w:pPr>
              <w:pStyle w:val="Compact"/>
              <w:jc w:val="left"/>
            </w:pPr>
            <w:r>
              <w:t xml:space="preserve">GPU shader</w:t>
            </w:r>
          </w:p>
        </w:tc>
        <w:tc>
          <w:tcPr/>
          <w:p>
            <w:pPr>
              <w:pStyle w:val="Compact"/>
              <w:jc w:val="left"/>
            </w:pPr>
            <w:r>
              <w:t xml:space="preserve">~0.1 ms</w:t>
            </w:r>
          </w:p>
        </w:tc>
        <w:tc>
          <w:tcPr/>
          <w:p>
            <w:pPr>
              <w:pStyle w:val="Compact"/>
              <w:jc w:val="left"/>
            </w:pPr>
            <w:r>
              <w:t xml:space="preserve">Entropy collapse phase transition</w:t>
            </w:r>
          </w:p>
        </w:tc>
        <w:tc>
          <w:tcPr/>
          <w:p>
            <w:pPr>
              <w:pStyle w:val="Compact"/>
              <w:jc w:val="left"/>
            </w:pPr>
            <w:r>
              <w:t xml:space="preserve">0.71</w:t>
            </w:r>
            <w:r>
              <w:t xml:space="preserve"> </w:t>
            </w:r>
            <w:fldSimple w:instr="NOTEREF _Ref_Footnote_4 \h \f">
              <w:r>
                <w:rPr>
                  <w:vertAlign w:val="superscript"/>
                </w:rPr>
                <w:t>4</w:t>
              </w:r>
            </w:fldSimple>
          </w:p>
        </w:tc>
        <w:tc>
          <w:tcPr/>
          <w:p>
            <w:pPr>
              <w:pStyle w:val="Compact"/>
              <w:jc w:val="left"/>
            </w:pPr>
            <w:r>
              <w:t xml:space="preserve">Metal compute</w:t>
            </w:r>
          </w:p>
        </w:tc>
      </w:tr>
      <w:tr>
        <w:tc>
          <w:tcPr/>
          <w:p>
            <w:pPr>
              <w:pStyle w:val="Compact"/>
              <w:jc w:val="left"/>
            </w:pPr>
            <w:r>
              <w:t xml:space="preserve">Token entropy anomaly</w:t>
            </w:r>
          </w:p>
        </w:tc>
        <w:tc>
          <w:tcPr/>
          <w:p>
            <w:pPr>
              <w:pStyle w:val="Compact"/>
              <w:jc w:val="left"/>
            </w:pPr>
            <w:r>
              <w:t xml:space="preserve">GPU</w:t>
            </w:r>
          </w:p>
        </w:tc>
        <w:tc>
          <w:tcPr/>
          <w:p>
            <w:pPr>
              <w:pStyle w:val="Compact"/>
              <w:jc w:val="left"/>
            </w:pPr>
            <w:r>
              <w:t xml:space="preserve">~0.1 ms</w:t>
            </w:r>
          </w:p>
        </w:tc>
        <w:tc>
          <w:tcPr/>
          <w:p>
            <w:pPr>
              <w:pStyle w:val="Compact"/>
              <w:jc w:val="left"/>
            </w:pPr>
            <w:r>
              <w:t xml:space="preserve">Probability surge at loop onset</w:t>
            </w:r>
          </w:p>
        </w:tc>
        <w:tc>
          <w:tcPr/>
          <w:p>
            <w:pPr>
              <w:pStyle w:val="Compact"/>
              <w:jc w:val="left"/>
            </w:pPr>
            <w:r>
              <w:t xml:space="preserve">0.71</w:t>
            </w:r>
            <w:r>
              <w:t xml:space="preserve"> </w:t>
            </w:r>
            <w:fldSimple w:instr="NOTEREF _Ref_Footnote_4 \h \f">
              <w:r>
                <w:rPr>
                  <w:vertAlign w:val="superscript"/>
                </w:rPr>
                <w:t>4</w:t>
              </w:r>
            </w:fldSimple>
          </w:p>
        </w:tc>
        <w:tc>
          <w:tcPr/>
          <w:p>
            <w:pPr>
              <w:pStyle w:val="Compact"/>
              <w:jc w:val="left"/>
            </w:pPr>
            <w:r>
              <w:t xml:space="preserve">GPU (inline)</w:t>
            </w:r>
          </w:p>
        </w:tc>
      </w:tr>
      <w:tr>
        <w:tc>
          <w:tcPr/>
          <w:p>
            <w:pPr>
              <w:pStyle w:val="Compact"/>
              <w:jc w:val="left"/>
            </w:pPr>
            <w:r>
              <w:t xml:space="preserve">Claim-level NLI</w:t>
            </w:r>
          </w:p>
        </w:tc>
        <w:tc>
          <w:tcPr/>
          <w:p>
            <w:pPr>
              <w:pStyle w:val="Compact"/>
              <w:jc w:val="left"/>
            </w:pPr>
            <w:r>
              <w:t xml:space="preserve">CPU</w:t>
            </w:r>
          </w:p>
        </w:tc>
        <w:tc>
          <w:tcPr/>
          <w:p>
            <w:pPr>
              <w:pStyle w:val="Compact"/>
              <w:jc w:val="left"/>
            </w:pPr>
            <w:r>
              <w:t xml:space="preserve">~2 ms</w:t>
            </w:r>
          </w:p>
        </w:tc>
        <w:tc>
          <w:tcPr/>
          <w:p>
            <w:pPr>
              <w:pStyle w:val="Compact"/>
              <w:jc w:val="left"/>
            </w:pPr>
            <w:r>
              <w:t xml:space="preserve">Semantic entailment against grounding context</w:t>
            </w:r>
          </w:p>
        </w:tc>
        <w:tc>
          <w:tcPr/>
          <w:p>
            <w:pPr>
              <w:pStyle w:val="Compact"/>
              <w:jc w:val="left"/>
            </w:pPr>
            <w:r>
              <w:t xml:space="preserve">92.45</w:t>
            </w:r>
            <w:r>
              <w:t xml:space="preserve"> </w:t>
            </w:r>
            <w:fldSimple w:instr="NOTEREF _Ref_Footnote_27 \h \f">
              <w:r>
                <w:rPr>
                  <w:vertAlign w:val="superscript"/>
                </w:rPr>
                <w:t>27</w:t>
              </w:r>
            </w:fldSimple>
          </w:p>
        </w:tc>
        <w:tc>
          <w:tcPr/>
          <w:p>
            <w:pPr>
              <w:pStyle w:val="Compact"/>
              <w:jc w:val="left"/>
            </w:pPr>
            <w:r>
              <w:t xml:space="preserve">CPU (batched)</w:t>
            </w:r>
          </w:p>
        </w:tc>
      </w:tr>
      <w:tr>
        <w:tc>
          <w:tcPr/>
          <w:p>
            <w:pPr>
              <w:pStyle w:val="Compact"/>
              <w:jc w:val="left"/>
            </w:pPr>
            <w:r>
              <w:t xml:space="preserve">SpecRA spectral periodicity</w:t>
            </w:r>
          </w:p>
        </w:tc>
        <w:tc>
          <w:tcPr/>
          <w:p>
            <w:pPr>
              <w:pStyle w:val="Compact"/>
              <w:jc w:val="left"/>
            </w:pPr>
            <w:r>
              <w:t xml:space="preserve">GPU</w:t>
            </w:r>
          </w:p>
        </w:tc>
        <w:tc>
          <w:tcPr/>
          <w:p>
            <w:pPr>
              <w:pStyle w:val="Compact"/>
              <w:jc w:val="left"/>
            </w:pPr>
            <w:r>
              <w:t xml:space="preserve">O(W log W) amortized</w:t>
            </w:r>
          </w:p>
        </w:tc>
        <w:tc>
          <w:tcPr/>
          <w:p>
            <w:pPr>
              <w:pStyle w:val="Compact"/>
              <w:jc w:val="left"/>
            </w:pPr>
            <w:r>
              <w:t xml:space="preserve">FFT autocorrelation peak</w:t>
            </w:r>
          </w:p>
        </w:tc>
        <w:tc>
          <w:tcPr/>
          <w:p>
            <w:pPr>
              <w:pStyle w:val="Compact"/>
              <w:jc w:val="left"/>
            </w:pPr>
            <w:r>
              <w:t xml:space="preserve">Provable bounds</w:t>
            </w:r>
            <w:r>
              <w:t xml:space="preserve"> </w:t>
            </w:r>
            <w:fldSimple w:instr="NOTEREF _Ref_Footnote_19 \h \f">
              <w:r>
                <w:rPr>
                  <w:vertAlign w:val="superscript"/>
                </w:rPr>
                <w:t>19</w:t>
              </w:r>
            </w:fldSimple>
          </w:p>
        </w:tc>
        <w:tc>
          <w:tcPr/>
          <w:p>
            <w:pPr>
              <w:pStyle w:val="Compact"/>
              <w:jc w:val="left"/>
            </w:pPr>
            <w:r>
              <w:t xml:space="preserve">Metal FFT</w:t>
            </w:r>
          </w:p>
        </w:tc>
      </w:tr>
    </w:tbl>
    <w:p>
      <w:pPr>
        <w:pStyle w:val="BodyText"/>
      </w:pPr>
      <w:r>
        <w:t xml:space="preserve">The fusion logic is not a simple OR-gate across thresholds. Each signal carries a calibrated risk score: the SAE feature slope produces a</w:t>
      </w:r>
      <w:r>
        <w:t xml:space="preserve"> </w:t>
      </w:r>
      <w:r>
        <w:rPr>
          <w:iCs/>
          <w:i/>
        </w:rPr>
        <w:t xml:space="preserve">trend</w:t>
      </w:r>
      <w:r>
        <w:t xml:space="preserve"> </w:t>
      </w:r>
      <w:r>
        <w:t xml:space="preserve">score based on the derivative of repetition-feature activation over the last</w:t>
      </w:r>
      <w:r>
        <w:t xml:space="preserve"> </w:t>
      </w:r>
      <m:oMath>
        <m:r>
          <m:t>k</m:t>
        </m:r>
      </m:oMath>
      <w:r>
        <w:t xml:space="preserve"> </w:t>
      </w:r>
      <w:r>
        <w:t xml:space="preserve">tokens; the attention entropy trajectory computes the cumulative deviation from an expected entropy band; and the claim-level Natural Language Inference (NLI) model scores entailment probability</w:t>
      </w:r>
      <w:r>
        <w:t xml:space="preserve"> </w:t>
      </w:r>
      <m:oMath>
        <m:r>
          <m:t>P</m:t>
        </m:r>
        <m:d>
          <m:dPr>
            <m:begChr m:val="("/>
            <m:endChr m:val=")"/>
            <m:sepChr m:val=""/>
            <m:grow/>
          </m:dPr>
          <m:e>
            <m:r>
              <m:rPr>
                <m:nor/>
                <m:sty m:val="p"/>
              </m:rPr>
              <m:t>entail</m:t>
            </m:r>
            <m:r>
              <m:t> </m:t>
            </m:r>
            <m:r>
              <m:rPr>
                <m:sty m:val="p"/>
              </m:rPr>
              <m:t>|</m:t>
            </m:r>
            <m:r>
              <m:t> </m:t>
            </m:r>
            <m:r>
              <m:rPr>
                <m:nor/>
                <m:sty m:val="p"/>
              </m:rPr>
              <m:t>claim</m:t>
            </m:r>
            <m:r>
              <m:rPr>
                <m:sty m:val="p"/>
              </m:rPr>
              <m:t>,</m:t>
            </m:r>
            <m:r>
              <m:rPr>
                <m:nor/>
                <m:sty m:val="p"/>
              </m:rPr>
              <m:t>context</m:t>
            </m:r>
          </m:e>
        </m:d>
      </m:oMath>
      <w:r>
        <w:t xml:space="preserve"> </w:t>
      </w:r>
      <w:fldSimple w:instr="NOTEREF _Ref_Footnote_8 \h \f">
        <w:r>
          <w:rPr>
            <w:vertAlign w:val="superscript"/>
          </w:rPr>
          <w:t>8</w:t>
        </w:r>
      </w:fldSimple>
      <w:r>
        <w:t xml:space="preserve">. A weighted combination—learned on annotated failure cases—produces a unified hallucination-risk score. When the fused score exceeds a dynamic threshold (adapted per domain), the system triggers one of two preemptive interventions: either steer the residual stream away from the dangerous region using the steering formula</w:t>
      </w:r>
      <w:r>
        <w:t xml:space="preserve"> </w:t>
      </w:r>
      <m:oMath>
        <m:r>
          <m:t>h</m:t>
        </m:r>
        <m:r>
          <m:rPr>
            <m:sty m:val="p"/>
          </m:rPr>
          <m:t>′</m:t>
        </m:r>
        <m:r>
          <m:rPr>
            <m:sty m:val="p"/>
          </m:rPr>
          <m:t>←</m:t>
        </m:r>
        <m:r>
          <m:t>h</m:t>
        </m:r>
        <m:r>
          <m:rPr>
            <m:sty m:val="p"/>
          </m:rPr>
          <m:t>+</m:t>
        </m:r>
        <m:r>
          <m:t>α</m:t>
        </m:r>
        <m:r>
          <m:t>d</m:t>
        </m:r>
      </m:oMath>
      <w:r>
        <w:t xml:space="preserve">, or pause generation to invoke constraint validation on the partial claim graph.</w:t>
      </w:r>
    </w:p>
    <w:bookmarkEnd w:id="145"/>
    <w:bookmarkStart w:id="146" w:name="X168c0bb217e4ac0304ed70d08620cb56948c8e2"/>
    <w:p>
      <w:pPr>
        <w:pStyle w:val="Heading4"/>
      </w:pPr>
      <w:r>
        <w:t xml:space="preserve">9.1.2 Semantic Circularity Precedes Textual Repetition</w:t>
      </w:r>
    </w:p>
    <w:p>
      <w:pPr>
        <w:pStyle w:val="FirstParagraph"/>
      </w:pPr>
      <w:r>
        <w:t xml:space="preserve">The Circular Reasoning paper establishes a critical temporal ordering for repetition detection: semantic circularity in hidden-state space significantly precedes verbatim textual repetition</w:t>
      </w:r>
      <w:r>
        <w:t xml:space="preserve"> </w:t>
      </w:r>
      <w:fldSimple w:instr="NOTEREF _Ref_Footnote_57 \h \f">
        <w:r>
          <w:rPr>
            <w:vertAlign w:val="superscript"/>
          </w:rPr>
          <w:t>57</w:t>
        </w:r>
      </w:fldSimple>
      <w:r>
        <w:t xml:space="preserve">. K-Means clustering (K=200) on final-layer hidden states reveals that node transitions converge into periodic oscillation while the generated sentences remain lexically distinct—they exhibit high semantic redundancy that causes them to fall into recurrent cluster labels</w:t>
      </w:r>
      <w:r>
        <w:t xml:space="preserve"> </w:t>
      </w:r>
      <w:fldSimple w:instr="NOTEREF _Ref_Footnote_57 \h \f">
        <w:r>
          <w:rPr>
            <w:vertAlign w:val="superscript"/>
          </w:rPr>
          <w:t>57</w:t>
        </w:r>
      </w:fldSimple>
      <w:r>
        <w:t xml:space="preserve">. This creates an early-warning window of multiple tokens during which the model is already trapped in an attractor but has not yet begun surface-level looping.</w:t>
      </w:r>
    </w:p>
    <w:p>
      <w:pPr>
        <w:pStyle w:val="BodyText"/>
      </w:pPr>
      <w:r>
        <w:t xml:space="preserve">SpecRA (Spectral Repetition Analysis) exploits this pre-surface periodicity via Fast Fourier Transform (FFT) autocorrelation</w:t>
      </w:r>
      <w:r>
        <w:t xml:space="preserve"> </w:t>
      </w:r>
      <w:fldSimple w:instr="NOTEREF _Ref_Footnote_19 \h \f">
        <w:r>
          <w:rPr>
            <w:vertAlign w:val="superscript"/>
          </w:rPr>
          <w:t>19</w:t>
        </w:r>
      </w:fldSimple>
      <w:r>
        <w:t xml:space="preserve">. The core algorithm maps each generated token to a random complex phase, computes the power spectrum through the Wiener-Khinchin theorem, and detects peaks in the autocorrelation function that reveal the underlying periodicity. The method achieves</w:t>
      </w:r>
      <w:r>
        <w:t xml:space="preserve"> </w:t>
      </w:r>
      <m:oMath>
        <m:r>
          <m:t>O</m:t>
        </m:r>
        <m:d>
          <m:dPr>
            <m:begChr m:val="("/>
            <m:endChr m:val=")"/>
            <m:sepChr m:val=""/>
            <m:grow/>
          </m:dPr>
          <m:e>
            <m:r>
              <m:t>W</m:t>
            </m:r>
            <m:r>
              <m:rPr>
                <m:sty m:val="p"/>
              </m:rPr>
              <m:t>log</m:t>
            </m:r>
            <m:r>
              <m:t>W</m:t>
            </m:r>
          </m:e>
        </m:d>
      </m:oMath>
      <w:r>
        <w:t xml:space="preserve"> </w:t>
      </w:r>
      <w:r>
        <w:t xml:space="preserve">processing complexity with</w:t>
      </w:r>
      <w:r>
        <w:t xml:space="preserve"> </w:t>
      </w:r>
      <m:oMath>
        <m:r>
          <m:t>O</m:t>
        </m:r>
        <m:d>
          <m:dPr>
            <m:begChr m:val="("/>
            <m:endChr m:val=")"/>
            <m:sepChr m:val=""/>
            <m:grow/>
          </m:dPr>
          <m:e>
            <m:r>
              <m:rPr>
                <m:sty m:val="p"/>
              </m:rPr>
              <m:t>log</m:t>
            </m:r>
            <m:r>
              <m:t>W</m:t>
            </m:r>
          </m:e>
        </m:d>
      </m:oMath>
      <w:r>
        <w:t xml:space="preserve"> </w:t>
      </w:r>
      <w:r>
        <w:t xml:space="preserve">amortized time per token, and carries provable bounds on false-alarm and miss-detection probabilities</w:t>
      </w:r>
      <w:r>
        <w:t xml:space="preserve"> </w:t>
      </w:r>
      <w:fldSimple w:instr="NOTEREF _Ref_Footnote_19 \h \f">
        <w:r>
          <w:rPr>
            <w:vertAlign w:val="superscript"/>
          </w:rPr>
          <w:t>19</w:t>
        </w:r>
      </w:fldSimple>
      <w:r>
        <w:t xml:space="preserve">. The significance for Rex is architectural: SpecRA runs on the GPU via Metal Performance Shaders, concurrently with token generation on the ANE, adding no latency to the critical path.</w:t>
      </w:r>
    </w:p>
    <w:p>
      <w:pPr>
        <w:pStyle w:val="BodyText"/>
      </w:pPr>
      <w:r>
        <w:t xml:space="preserve">The mechanistic root cause underlying these signals is the variance sensitivity of softmax attention. Theorem 5.1 from the entropy-collapse literature shows that attention entropy</w:t>
      </w:r>
      <w:r>
        <w:t xml:space="preserve"> </w:t>
      </w:r>
      <m:oMath>
        <m:r>
          <m:t>H</m:t>
        </m:r>
        <m:d>
          <m:dPr>
            <m:begChr m:val="("/>
            <m:endChr m:val=")"/>
            <m:sepChr m:val=""/>
            <m:grow/>
          </m:dPr>
          <m:e>
            <m:r>
              <m:t>p</m:t>
            </m:r>
          </m:e>
        </m:d>
      </m:oMath>
      <w:r>
        <w:t xml:space="preserve"> </w:t>
      </w:r>
      <w:r>
        <w:t xml:space="preserve">collapses as the variance</w:t>
      </w:r>
      <w:r>
        <w:t xml:space="preserve"> </w:t>
      </w:r>
      <m:oMath>
        <m:sSup>
          <m:e>
            <m:r>
              <m:t>σ</m:t>
            </m:r>
          </m:e>
          <m:sup>
            <m:r>
              <m:t>2</m:t>
            </m:r>
          </m:sup>
        </m:sSup>
      </m:oMath>
      <w:r>
        <w:t xml:space="preserve"> </w:t>
      </w:r>
      <w:r>
        <w:t xml:space="preserve">of attention logits increases</w:t>
      </w:r>
      <w:r>
        <w:t xml:space="preserve"> </w:t>
      </w:r>
      <w:fldSimple w:instr="NOTEREF _Ref_Footnote_7 \h \f">
        <w:r>
          <w:rPr>
            <w:vertAlign w:val="superscript"/>
          </w:rPr>
          <w:t>7</w:t>
        </w:r>
      </w:fldSimple>
      <w:r>
        <w:t xml:space="preserve">:</w:t>
      </w:r>
    </w:p>
    <w:p>
      <w:pPr>
        <w:pStyle w:val="BodyText"/>
      </w:pPr>
      <m:oMathPara>
        <m:oMathParaPr>
          <m:jc m:val="center"/>
        </m:oMathParaPr>
        <m:oMath>
          <m:r>
            <m:t>H</m:t>
          </m:r>
          <m:d>
            <m:dPr>
              <m:begChr m:val="("/>
              <m:endChr m:val=")"/>
              <m:sepChr m:val=""/>
              <m:grow/>
            </m:dPr>
            <m:e>
              <m:r>
                <m:t>p</m:t>
              </m:r>
            </m:e>
          </m:d>
          <m:r>
            <m:rPr>
              <m:sty m:val="p"/>
            </m:rPr>
            <m:t>=</m:t>
          </m:r>
          <m:r>
            <m:rPr>
              <m:sty m:val="p"/>
            </m:rPr>
            <m:t>log</m:t>
          </m:r>
          <m:r>
            <m:t>N</m:t>
          </m:r>
          <m:r>
            <m:rPr>
              <m:sty m:val="p"/>
            </m:rPr>
            <m:t>−</m:t>
          </m:r>
          <m:f>
            <m:fPr>
              <m:type m:val="bar"/>
            </m:fPr>
            <m:num>
              <m:d>
                <m:dPr>
                  <m:begChr m:val="("/>
                  <m:endChr m:val=")"/>
                  <m:sepChr m:val=""/>
                  <m:grow/>
                </m:dPr>
                <m:e>
                  <m:r>
                    <m:t>N</m:t>
                  </m:r>
                  <m:r>
                    <m:rPr>
                      <m:sty m:val="p"/>
                    </m:rPr>
                    <m:t>−</m:t>
                  </m:r>
                  <m:r>
                    <m:t>1</m:t>
                  </m:r>
                </m:e>
              </m:d>
              <m:sSup>
                <m:e>
                  <m:r>
                    <m:t>σ</m:t>
                  </m:r>
                </m:e>
                <m:sup>
                  <m:r>
                    <m:t>2</m:t>
                  </m:r>
                </m:sup>
              </m:sSup>
            </m:num>
            <m:den>
              <m:r>
                <m:t>2</m:t>
              </m:r>
              <m:r>
                <m:t>N</m:t>
              </m:r>
            </m:den>
          </m:f>
          <m:r>
            <m:rPr>
              <m:sty m:val="p"/>
            </m:rPr>
            <m:t>+</m:t>
          </m:r>
          <m:r>
            <m:t>O</m:t>
          </m:r>
          <m:d>
            <m:dPr>
              <m:begChr m:val="("/>
              <m:endChr m:val=")"/>
              <m:sepChr m:val=""/>
              <m:grow/>
            </m:dPr>
            <m:e>
              <m:sSup>
                <m:e>
                  <m:r>
                    <m:t>σ</m:t>
                  </m:r>
                </m:e>
                <m:sup>
                  <m:r>
                    <m:t>4</m:t>
                  </m:r>
                </m:sup>
              </m:sSup>
            </m:e>
          </m:d>
        </m:oMath>
      </m:oMathPara>
    </w:p>
    <w:p>
      <w:pPr>
        <w:pStyle w:val="FirstParagraph"/>
      </w:pPr>
      <m:oMathPara>
        <m:oMathParaPr>
          <m:jc m:val="center"/>
        </m:oMathParaPr>
        <m:oMath>
          <m:f>
            <m:fPr>
              <m:type m:val="bar"/>
            </m:fPr>
            <m:num>
              <m:r>
                <m:rPr>
                  <m:sty m:val="p"/>
                </m:rPr>
                <m:t>∂</m:t>
              </m:r>
              <m:r>
                <m:t>H</m:t>
              </m:r>
            </m:num>
            <m:den>
              <m:r>
                <m:rPr>
                  <m:sty m:val="p"/>
                </m:rPr>
                <m:t>∂</m:t>
              </m:r>
              <m:sSup>
                <m:e>
                  <m:r>
                    <m:t>σ</m:t>
                  </m:r>
                </m:e>
                <m:sup>
                  <m:r>
                    <m:t>2</m:t>
                  </m:r>
                </m:sup>
              </m:sSup>
            </m:den>
          </m:f>
          <m:r>
            <m:rPr>
              <m:sty m:val="p"/>
            </m:rPr>
            <m:t>=</m:t>
          </m:r>
          <m:r>
            <m:rPr>
              <m:sty m:val="p"/>
            </m:rPr>
            <m:t>−</m:t>
          </m:r>
          <m:sSub>
            <m:e>
              <m:r>
                <m:rPr>
                  <m:sty m:val="p"/>
                  <m:scr m:val="double-struck"/>
                </m:rPr>
                <m:t>E</m:t>
              </m:r>
            </m:e>
            <m:sub>
              <m:r>
                <m:t>z</m:t>
              </m:r>
            </m:sub>
          </m:sSub>
          <m:d>
            <m:dPr>
              <m:begChr m:val="["/>
              <m:endChr m:val="]"/>
              <m:sepChr m:val=""/>
              <m:grow/>
            </m:dPr>
            <m:e>
              <m:nary>
                <m:naryPr>
                  <m:chr m:val="∑"/>
                  <m:limLoc m:val="undOvr"/>
                  <m:subHide m:val="0"/>
                  <m:supHide m:val="1"/>
                </m:naryPr>
                <m:sub>
                  <m:r>
                    <m:t>i</m:t>
                  </m:r>
                </m:sub>
                <m:sup>
                  <m:r>
                    <m:t>​</m:t>
                  </m:r>
                </m:sup>
                <m:e>
                  <m:sSubSup>
                    <m:e>
                      <m:r>
                        <m:t>z</m:t>
                      </m:r>
                    </m:e>
                    <m:sub>
                      <m:r>
                        <m:t>i</m:t>
                      </m:r>
                    </m:sub>
                    <m:sup>
                      <m:r>
                        <m:t>2</m:t>
                      </m:r>
                    </m:sup>
                  </m:sSubSup>
                </m:e>
              </m:nary>
              <m:r>
                <m:rPr>
                  <m:sty m:val="p"/>
                </m:rPr>
                <m:t>⋅</m:t>
              </m:r>
              <m:sSub>
                <m:e>
                  <m:r>
                    <m:t>p</m:t>
                  </m:r>
                </m:e>
                <m:sub>
                  <m:r>
                    <m:t>i</m:t>
                  </m:r>
                </m:sub>
              </m:sSub>
            </m:e>
          </m:d>
          <m:r>
            <m:rPr>
              <m:sty m:val="p"/>
            </m:rPr>
            <m:t>&lt;</m:t>
          </m:r>
          <m:r>
            <m:t>0</m:t>
          </m:r>
        </m:oMath>
      </m:oMathPara>
    </w:p>
    <w:p>
      <w:pPr>
        <w:pStyle w:val="FirstParagraph"/>
      </w:pPr>
      <w:r>
        <w:t xml:space="preserve">As the model enters a loop, attention concentrates on a shrinking set of high-probability tokens, exponentially amplifying the logit variance and driving entropy toward zero. This creates a detectable phase transition—a</w:t>
      </w:r>
      <w:r>
        <w:t xml:space="preserve"> </w:t>
      </w:r>
      <w:r>
        <w:t xml:space="preserve">“</w:t>
      </w:r>
      <w:r>
        <w:t xml:space="preserve">rigidity event</w:t>
      </w:r>
      <w:r>
        <w:t xml:space="preserve">”</w:t>
      </w:r>
      <w:r>
        <w:t xml:space="preserve">—that the multi-signal fusion layer can intercept before the loop manifests in text.</w:t>
      </w:r>
    </w:p>
    <w:bookmarkEnd w:id="146"/>
    <w:bookmarkStart w:id="147" w:name="preemptive-intervention"/>
    <w:p>
      <w:pPr>
        <w:pStyle w:val="Heading4"/>
      </w:pPr>
      <w:r>
        <w:t xml:space="preserve">9.1.3 Preemptive Intervention</w:t>
      </w:r>
    </w:p>
    <w:p>
      <w:pPr>
        <w:pStyle w:val="FirstParagraph"/>
      </w:pPr>
      <w:r>
        <w:t xml:space="preserve">When the fused risk score crosses the intervention threshold, the system has two options, selected by domain policy. Option A,</w:t>
      </w:r>
      <w:r>
        <w:t xml:space="preserve"> </w:t>
      </w:r>
      <w:r>
        <w:rPr>
          <w:iCs/>
          <w:i/>
        </w:rPr>
        <w:t xml:space="preserve">steering intervention</w:t>
      </w:r>
      <w:r>
        <w:t xml:space="preserve">, applies the Qwen-Scope steering formula at the layer where the repetition or hallucination feature was detected:</w:t>
      </w:r>
      <w:r>
        <w:t xml:space="preserve"> </w:t>
      </w:r>
      <m:oMath>
        <m:r>
          <m:t>h</m:t>
        </m:r>
        <m:r>
          <m:rPr>
            <m:sty m:val="p"/>
          </m:rPr>
          <m:t>′</m:t>
        </m:r>
        <m:r>
          <m:rPr>
            <m:sty m:val="p"/>
          </m:rPr>
          <m:t>←</m:t>
        </m:r>
        <m:r>
          <m:t>h</m:t>
        </m:r>
        <m:r>
          <m:rPr>
            <m:sty m:val="p"/>
          </m:rPr>
          <m:t>+</m:t>
        </m:r>
        <m:r>
          <m:t>α</m:t>
        </m:r>
        <m:r>
          <m:t>d</m:t>
        </m:r>
      </m:oMath>
      <w:r>
        <w:t xml:space="preserve">, with</w:t>
      </w:r>
      <w:r>
        <w:t xml:space="preserve"> </w:t>
      </w:r>
      <m:oMath>
        <m:r>
          <m:t>α</m:t>
        </m:r>
        <m:r>
          <m:rPr>
            <m:sty m:val="p"/>
          </m:rPr>
          <m:t>&lt;</m:t>
        </m:r>
        <m:r>
          <m:t>0</m:t>
        </m:r>
      </m:oMath>
      <w:r>
        <w:t xml:space="preserve"> </w:t>
      </w:r>
      <w:r>
        <w:t xml:space="preserve">to suppress the dangerous feature</w:t>
      </w:r>
      <w:r>
        <w:t xml:space="preserve"> </w:t>
      </w:r>
      <w:fldSimple w:instr="NOTEREF _Ref_Footnote_17 \h \f">
        <w:r>
          <w:rPr>
            <w:vertAlign w:val="superscript"/>
          </w:rPr>
          <w:t>17</w:t>
        </w:r>
      </w:fldSimple>
      <w:r>
        <w:t xml:space="preserve">. SAVE confirms that early layers respond best to small magnitudes (</w:t>
      </w:r>
      <m:oMath>
        <m:r>
          <m:t>α</m:t>
        </m:r>
        <m:r>
          <m:rPr>
            <m:sty m:val="p"/>
          </m:rPr>
          <m:t>=</m:t>
        </m:r>
        <m:r>
          <m:t>3</m:t>
        </m:r>
      </m:oMath>
      <w:r>
        <w:t xml:space="preserve">), mid-layers benefit from moderate strengths (</w:t>
      </w:r>
      <m:oMath>
        <m:r>
          <m:t>α</m:t>
        </m:r>
        <m:r>
          <m:rPr>
            <m:sty m:val="p"/>
          </m:rPr>
          <m:t>∈</m:t>
        </m:r>
        <m:r>
          <m:rPr>
            <m:sty m:val="p"/>
          </m:rPr>
          <m:t>{</m:t>
        </m:r>
        <m:r>
          <m:t>3</m:t>
        </m:r>
        <m:r>
          <m:rPr>
            <m:sty m:val="p"/>
          </m:rPr>
          <m:t>,</m:t>
        </m:r>
        <m:r>
          <m:t>5</m:t>
        </m:r>
        <m:r>
          <m:rPr>
            <m:sty m:val="p"/>
          </m:rPr>
          <m:t>}</m:t>
        </m:r>
      </m:oMath>
      <w:r>
        <w:t xml:space="preserve">), and deep layers require stronger intervention (</w:t>
      </w:r>
      <m:oMath>
        <m:r>
          <m:t>α</m:t>
        </m:r>
        <m:r>
          <m:rPr>
            <m:sty m:val="p"/>
          </m:rPr>
          <m:t>∈</m:t>
        </m:r>
        <m:r>
          <m:rPr>
            <m:sty m:val="p"/>
          </m:rPr>
          <m:t>{</m:t>
        </m:r>
        <m:r>
          <m:t>5</m:t>
        </m:r>
        <m:r>
          <m:rPr>
            <m:sty m:val="p"/>
          </m:rPr>
          <m:t>,</m:t>
        </m:r>
        <m:r>
          <m:t>10</m:t>
        </m:r>
        <m:r>
          <m:rPr>
            <m:sty m:val="p"/>
          </m:rPr>
          <m:t>,</m:t>
        </m:r>
        <m:r>
          <m:t>15</m:t>
        </m:r>
        <m:r>
          <m:rPr>
            <m:sty m:val="p"/>
          </m:rPr>
          <m:t>}</m:t>
        </m:r>
      </m:oMath>
      <w:r>
        <w:t xml:space="preserve">)</w:t>
      </w:r>
      <w:r>
        <w:t xml:space="preserve"> </w:t>
      </w:r>
      <w:fldSimple w:instr="NOTEREF _Ref_Footnote_25 \h \f">
        <w:r>
          <w:rPr>
            <w:vertAlign w:val="superscript"/>
          </w:rPr>
          <w:t>25</w:t>
        </w:r>
      </w:fldSimple>
      <w:r>
        <w:t xml:space="preserve">. Option B,</w:t>
      </w:r>
      <w:r>
        <w:t xml:space="preserve"> </w:t>
      </w:r>
      <w:r>
        <w:rPr>
          <w:iCs/>
          <w:i/>
        </w:rPr>
        <w:t xml:space="preserve">constraint pause</w:t>
      </w:r>
      <w:r>
        <w:t xml:space="preserve">, halts generation and routes the partial output through the claim extraction and NLI verification pipeline (Section 9.3). This transforms the system from a post-hoc validator into a predictive guard that intervenes while the failure mode is still forming in latent space.</w:t>
      </w:r>
    </w:p>
    <w:bookmarkEnd w:id="147"/>
    <w:bookmarkEnd w:id="148"/>
    <w:bookmarkStart w:id="152" w:name="X805860087cca4d96ccf43c25148ee8e63ec3846"/>
    <w:p>
      <w:pPr>
        <w:pStyle w:val="Heading3"/>
      </w:pPr>
      <w:r>
        <w:t xml:space="preserve">9.2 Repetition Elimination via Reinforcement Learning</w:t>
      </w:r>
    </w:p>
    <w:p>
      <w:pPr>
        <w:pStyle w:val="FirstParagraph"/>
      </w:pPr>
      <w:r>
        <w:t xml:space="preserve">Token-level repetition penalties—the</w:t>
      </w:r>
      <w:r>
        <w:t xml:space="preserve"> </w:t>
      </w:r>
      <w:r>
        <w:t xml:space="preserve">“</w:t>
      </w:r>
      <w:r>
        <w:t xml:space="preserve">familiarity tax</w:t>
      </w:r>
      <w:r>
        <w:t xml:space="preserve">”</w:t>
      </w:r>
      <w:r>
        <w:t xml:space="preserve"> </w:t>
      </w:r>
      <w:r>
        <w:t xml:space="preserve">that divides logits of previously seen tokens by a penalty factor</w:t>
      </w:r>
      <w:r>
        <w:t xml:space="preserve"> </w:t>
      </w:r>
      <w:fldSimple w:instr="NOTEREF _Ref_Footnote_18 \h \f">
        <w:r>
          <w:rPr>
            <w:vertAlign w:val="superscript"/>
          </w:rPr>
          <w:t>18</w:t>
        </w:r>
      </w:fldSimple>
      <w:r>
        <w:t xml:space="preserve">—are symptomatic patches. A rigorous Markov model analysis proves that under greedy decoding with self-reinforcement effects, the expected escape time from a repetitive state is</w:t>
      </w:r>
      <w:r>
        <w:t xml:space="preserve"> </w:t>
      </w:r>
      <w:r>
        <w:rPr>
          <w:iCs/>
          <w:i/>
        </w:rPr>
        <w:t xml:space="preserve">infinite</w:t>
      </w:r>
      <w:r>
        <w:t xml:space="preserve"> </w:t>
      </w:r>
      <w:fldSimple w:instr="NOTEREF _Ref_Footnote_63 \h \f">
        <w:r>
          <w:rPr>
            <w:vertAlign w:val="superscript"/>
          </w:rPr>
          <w:t>63</w:t>
        </w:r>
      </w:fldSimple>
      <w:r>
        <w:t xml:space="preserve">. Once the model enters the attractor, the local next-token process makes the same continuation ever more probable because each emitted pattern becomes part of the context for the next step</w:t>
      </w:r>
      <w:r>
        <w:t xml:space="preserve"> </w:t>
      </w:r>
      <w:fldSimple w:instr="NOTEREF _Ref_Footnote_24 \h \f">
        <w:r>
          <w:rPr>
            <w:vertAlign w:val="superscript"/>
          </w:rPr>
          <w:t>24</w:t>
        </w:r>
      </w:fldSimple>
      <w:r>
        <w:t xml:space="preserve">. Root-cause elimination requires attacking the attractor itself.</w:t>
      </w:r>
    </w:p>
    <w:bookmarkStart w:id="149" w:name="X46f9ef4bb5f81f4b20a37c06a17858df30432b7"/>
    <w:p>
      <w:pPr>
        <w:pStyle w:val="Heading4"/>
      </w:pPr>
      <w:r>
        <w:t xml:space="preserve">9.2.1 Manufacturing Negative Rollouts via SAE Steering</w:t>
      </w:r>
    </w:p>
    <w:p>
      <w:pPr>
        <w:pStyle w:val="FirstParagraph"/>
      </w:pPr>
      <w:r>
        <w:t xml:space="preserve">Qwen-Scope’s repetition feature provides the steering target. The feature exhibits a sharp and sustained increase around the onset of repetition while remaining near zero in non-repetitive responses</w:t>
      </w:r>
      <w:r>
        <w:t xml:space="preserve"> </w:t>
      </w:r>
      <w:fldSimple w:instr="NOTEREF _Ref_Footnote_17 \h \f">
        <w:r>
          <w:rPr>
            <w:vertAlign w:val="superscript"/>
          </w:rPr>
          <w:t>17</w:t>
        </w:r>
      </w:fldSimple>
      <w:r>
        <w:t xml:space="preserve">. Crucially, the causal role is confirmed experimentally: amplifying the repetition feature on non-repetitive samples</w:t>
      </w:r>
      <w:r>
        <w:t xml:space="preserve"> </w:t>
      </w:r>
      <w:r>
        <w:rPr>
          <w:iCs/>
          <w:i/>
        </w:rPr>
        <w:t xml:space="preserve">manufactures</w:t>
      </w:r>
      <w:r>
        <w:t xml:space="preserve"> </w:t>
      </w:r>
      <w:r>
        <w:t xml:space="preserve">repetition, while suppressing it on repetition-prone samples reduces repetition below baseline</w:t>
      </w:r>
      <w:r>
        <w:t xml:space="preserve"> </w:t>
      </w:r>
      <w:fldSimple w:instr="NOTEREF _Ref_Footnote_17 \h \f">
        <w:r>
          <w:rPr>
            <w:vertAlign w:val="superscript"/>
          </w:rPr>
          <w:t>17</w:t>
        </w:r>
      </w:fldSimple>
      <w:r>
        <w:t xml:space="preserve">.</w:t>
      </w:r>
    </w:p>
    <w:p>
      <w:pPr>
        <w:pStyle w:val="BodyText"/>
      </w:pPr>
      <w:r>
        <w:t xml:space="preserve">This causality enables a powerful RL training strategy. In standard RL for language models—Group Relative Policy Optimization (GRPO) or Direct Preference Optimization (DPO)—the model’s own rollouts provide the training signal. But repetition is a rare failure mode: it barely appears in normal rollouts, so the policy never receives sufficient negative reinforcement to learn avoidance. Qwen-Scope’s solution is SAE-guided rare negative augmentation. During the RL training loop, a separate set of rollouts is generated in which the identified repetition feature is</w:t>
      </w:r>
      <w:r>
        <w:t xml:space="preserve"> </w:t>
      </w:r>
      <w:r>
        <w:rPr>
          <w:iCs/>
          <w:i/>
        </w:rPr>
        <w:t xml:space="preserve">amplified</w:t>
      </w:r>
      <w:r>
        <w:t xml:space="preserve"> </w:t>
      </w:r>
      <w:r>
        <w:t xml:space="preserve">using steering, forcing the model into the very failure mode the training process aims to eliminate</w:t>
      </w:r>
      <w:r>
        <w:t xml:space="preserve"> </w:t>
      </w:r>
      <w:fldSimple w:instr="NOTEREF _Ref_Footnote_17 \h \f">
        <w:r>
          <w:rPr>
            <w:vertAlign w:val="superscript"/>
          </w:rPr>
          <w:t>17</w:t>
        </w:r>
      </w:fldSimple>
      <w:r>
        <w:t xml:space="preserve">. These synthetically manufactured negative examples are then fed into the RL objective as strong negative signal. The results are striking: across all three model scales tested, the repeat ratio drops sharply in early training and continues decreasing to a very low level, while vanilla RL yields only limited improvement</w:t>
      </w:r>
      <w:r>
        <w:t xml:space="preserve"> </w:t>
      </w:r>
      <w:fldSimple w:instr="NOTEREF _Ref_Footnote_17 \h \f">
        <w:r>
          <w:rPr>
            <w:vertAlign w:val="superscript"/>
          </w:rPr>
          <w:t>17</w:t>
        </w:r>
      </w:fldSimple>
      <w:r>
        <w:t xml:space="preserve">.</w:t>
      </w:r>
    </w:p>
    <w:p>
      <w:pPr>
        <w:pStyle w:val="BodyText"/>
      </w:pPr>
      <w:r>
        <w:t xml:space="preserve">The method is built on top of DAPO (Dynamic Anchor Preference Optimization) without dynamic sampling, adding the repetition feature direction</w:t>
      </w:r>
      <w:r>
        <w:t xml:space="preserve"> </w:t>
      </w:r>
      <m:oMath>
        <m:r>
          <m:t>d</m:t>
        </m:r>
      </m:oMath>
      <w:r>
        <w:t xml:space="preserve"> </w:t>
      </w:r>
      <w:r>
        <w:t xml:space="preserve">to the residual stream at each generation step:</w:t>
      </w:r>
      <w:r>
        <w:t xml:space="preserve"> </w:t>
      </w:r>
      <m:oMath>
        <m:r>
          <m:t>h</m:t>
        </m:r>
        <m:r>
          <m:rPr>
            <m:sty m:val="p"/>
          </m:rPr>
          <m:t>′</m:t>
        </m:r>
        <m:r>
          <m:rPr>
            <m:sty m:val="p"/>
          </m:rPr>
          <m:t>←</m:t>
        </m:r>
        <m:r>
          <m:t>h</m:t>
        </m:r>
        <m:r>
          <m:rPr>
            <m:sty m:val="p"/>
          </m:rPr>
          <m:t>+</m:t>
        </m:r>
        <m:r>
          <m:t>α</m:t>
        </m:r>
        <m:r>
          <m:t>d</m:t>
        </m:r>
      </m:oMath>
      <w:r>
        <w:t xml:space="preserve"> </w:t>
      </w:r>
      <w:r>
        <w:t xml:space="preserve">for the negative rollouts. The positive rollouts remain unmodified, creating a clean preference pair where the only systematic difference is the presence or absence of pathological repetition.</w:t>
      </w:r>
    </w:p>
    <w:bookmarkEnd w:id="149"/>
    <w:bookmarkStart w:id="150" w:name="the-normal-rollout-blind-spot"/>
    <w:p>
      <w:pPr>
        <w:pStyle w:val="Heading4"/>
      </w:pPr>
      <w:r>
        <w:t xml:space="preserve">9.2.2 The Normal-Rollout Blind Spot</w:t>
      </w:r>
    </w:p>
    <w:p>
      <w:pPr>
        <w:pStyle w:val="FirstParagraph"/>
      </w:pPr>
      <w:r>
        <w:t xml:space="preserve">The reason vanilla RL fails to eliminate repetition is a data problem, not an algorithmic one. Repetition rarely appears in normal rollouts, so the reward model never observes the failure mode during training. The</w:t>
      </w:r>
      <w:r>
        <w:t xml:space="preserve"> </w:t>
      </w:r>
      <w:r>
        <w:t xml:space="preserve">“</w:t>
      </w:r>
      <w:r>
        <w:t xml:space="preserve">Self-Correction Blind Spot</w:t>
      </w:r>
      <w:r>
        <w:t xml:space="preserve">”</w:t>
      </w:r>
      <w:r>
        <w:t xml:space="preserve"> </w:t>
      </w:r>
      <w:r>
        <w:t xml:space="preserve">literature generalizes this finding: intrinsic self-correction fails 64.5% of the time across 14 models because the models lack internal signal for their own errors</w:t>
      </w:r>
      <w:r>
        <w:t xml:space="preserve"> </w:t>
      </w:r>
      <w:fldSimple w:instr="NOTEREF _Ref_Footnote_4 \h \f">
        <w:r>
          <w:rPr>
            <w:vertAlign w:val="superscript"/>
          </w:rPr>
          <w:t>4</w:t>
        </w:r>
      </w:fldSimple>
      <w:r>
        <w:t xml:space="preserve">. The Qwen-Scope negative-augmentation pipeline solves this by manufacturing the missing signal. It is the interpretability equivalent of adversarial training: instead of searching the input space for adversarial examples, it searches the</w:t>
      </w:r>
      <w:r>
        <w:t xml:space="preserve"> </w:t>
      </w:r>
      <w:r>
        <w:rPr>
          <w:iCs/>
          <w:i/>
        </w:rPr>
        <w:t xml:space="preserve">latent</w:t>
      </w:r>
      <w:r>
        <w:t xml:space="preserve"> </w:t>
      </w:r>
      <w:r>
        <w:t xml:space="preserve">space for adversarial directions and forces the model to traverse them.</w:t>
      </w:r>
    </w:p>
    <w:p>
      <w:pPr>
        <w:pStyle w:val="BodyText"/>
      </w:pPr>
      <w:r>
        <w:t xml:space="preserve">A critical caveat: the repetition feature also activates in</w:t>
      </w:r>
      <w:r>
        <w:t xml:space="preserve"> </w:t>
      </w:r>
      <w:r>
        <w:rPr>
          <w:iCs/>
          <w:i/>
        </w:rPr>
        <w:t xml:space="preserve">benign</w:t>
      </w:r>
      <w:r>
        <w:t xml:space="preserve"> </w:t>
      </w:r>
      <w:r>
        <w:t xml:space="preserve">repetition scenarios—repeating a user’s question, listing multiple-choice answers, iterative reasoning steps. Direct suppression of the feature during training would degrade these legitimate behaviors. The RL approach preserves the feature while teaching the policy to avoid pathological activation</w:t>
      </w:r>
      <w:r>
        <w:t xml:space="preserve"> </w:t>
      </w:r>
      <w:r>
        <w:rPr>
          <w:iCs/>
          <w:i/>
        </w:rPr>
        <w:t xml:space="preserve">patterns</w:t>
      </w:r>
      <w:r>
        <w:t xml:space="preserve">: the distinction is not</w:t>
      </w:r>
      <w:r>
        <w:t xml:space="preserve"> </w:t>
      </w:r>
      <w:r>
        <w:t xml:space="preserve">“</w:t>
      </w:r>
      <w:r>
        <w:t xml:space="preserve">never repeat</w:t>
      </w:r>
      <w:r>
        <w:t xml:space="preserve">”</w:t>
      </w:r>
      <w:r>
        <w:t xml:space="preserve"> </w:t>
      </w:r>
      <w:r>
        <w:t xml:space="preserve">but</w:t>
      </w:r>
      <w:r>
        <w:t xml:space="preserve"> </w:t>
      </w:r>
      <w:r>
        <w:t xml:space="preserve">“</w:t>
      </w:r>
      <w:r>
        <w:t xml:space="preserve">never enter an unbounded loop.</w:t>
      </w:r>
      <w:r>
        <w:t xml:space="preserve">”</w:t>
      </w:r>
      <w:r>
        <w:t xml:space="preserve"> </w:t>
      </w:r>
      <w:r>
        <w:t xml:space="preserve">This is achieved by training the policy to associate high sustained activation of the repetition feature with low reward, rather than removing the feature from the representation.</w:t>
      </w:r>
    </w:p>
    <w:bookmarkEnd w:id="150"/>
    <w:bookmarkStart w:id="151" w:name="X276954bbb1ab6773e3035a74a27f8568216ed72"/>
    <w:p>
      <w:pPr>
        <w:pStyle w:val="Heading4"/>
      </w:pPr>
      <w:r>
        <w:t xml:space="preserve">9.2.3 SFT Code-Switching Suppression via Auxiliary Loss</w:t>
      </w:r>
    </w:p>
    <w:p>
      <w:pPr>
        <w:pStyle w:val="FirstParagraph"/>
      </w:pPr>
      <w:r>
        <w:t xml:space="preserve">The same SAE-guided intervention strategy extends to Supervised Fine-Tuning (SFT). Qwen-Scope demonstrates that SAEs can identify language-specific features that drive unexpected code-switching in multilingual models</w:t>
      </w:r>
      <w:r>
        <w:t xml:space="preserve"> </w:t>
      </w:r>
      <w:fldSimple w:instr="NOTEREF _Ref_Footnote_3 \h \f">
        <w:r>
          <w:rPr>
            <w:vertAlign w:val="superscript"/>
          </w:rPr>
          <w:t>3</w:t>
        </w:r>
      </w:fldSimple>
      <w:r>
        <w:t xml:space="preserve">(Dim02). SASFT (Sparse Autoencoder-guided Supervised Fine-Tuning) adds an auxiliary loss term to the standard SFT objective that penalizes high activation in the identified language-switching features when the training data is in a different target language</w:t>
      </w:r>
      <w:r>
        <w:t xml:space="preserve"> </w:t>
      </w:r>
      <w:r>
        <w:rPr>
          <w:vertAlign w:val="superscript"/>
        </w:rPr>
        <w:footnoteReference w:id="85"/>
      </w:r>
      <w:r>
        <w:t xml:space="preserve">. This reduced unexpected code-switching by more than 50% in most cases and achieved 100% reduction in several scenarios, all while maintaining multilingual benchmark performance</w:t>
      </w:r>
      <w:r>
        <w:t xml:space="preserve"> </w:t>
      </w:r>
      <w:fldSimple w:instr="NOTEREF _Ref_Footnote_85 \h \f">
        <w:r>
          <w:rPr>
            <w:vertAlign w:val="superscript"/>
          </w:rPr>
          <w:t>85</w:t>
        </w:r>
      </w:fldSimple>
      <w:r>
        <w:t xml:space="preserve">. The principle generalizes: any undesirable behavior with a discoverable SAE feature direction can be suppressed through an auxiliary loss without full retraining.</w:t>
      </w:r>
    </w:p>
    <w:bookmarkEnd w:id="151"/>
    <w:bookmarkEnd w:id="152"/>
    <w:bookmarkStart w:id="156" w:name="claim-level-hallucination-prevention"/>
    <w:p>
      <w:pPr>
        <w:pStyle w:val="Heading3"/>
      </w:pPr>
      <w:r>
        <w:t xml:space="preserve">9.3 Claim-Level Hallucination Prevention</w:t>
      </w:r>
    </w:p>
    <w:p>
      <w:pPr>
        <w:pStyle w:val="FirstParagraph"/>
      </w:pPr>
      <w:r>
        <w:t xml:space="preserve">Token-level hallucination metrics—perplexity, token entropy, repetition penalties—catch surface symptoms but miss semantic hallucinations: claims that are fluent, syntactically correct, and internally consistent but factually ungrounded. Entity-level detection naturally maps to token labels and enables streaming detection, but claims require structured extraction that breaks token alignment</w:t>
      </w:r>
      <w:r>
        <w:t xml:space="preserve"> </w:t>
      </w:r>
      <w:fldSimple w:instr="NOTEREF _Ref_Footnote_4 \h \f">
        <w:r>
          <w:rPr>
            <w:vertAlign w:val="superscript"/>
          </w:rPr>
          <w:t>4</w:t>
        </w:r>
      </w:fldSimple>
      <w:r>
        <w:t xml:space="preserve">. The Rex architecture therefore operates at the claim level, where each generated assertion is decomposed, verified, and either grounded or retracted before commitment.</w:t>
      </w:r>
    </w:p>
    <w:bookmarkStart w:id="153" w:name="Xf42ce10679e7ca126cd57d4d1adc13e7dc82d79"/>
    <w:p>
      <w:pPr>
        <w:pStyle w:val="Heading4"/>
      </w:pPr>
      <w:r>
        <w:t xml:space="preserve">9.3.1 Claim Graph Extraction and NLI Verification</w:t>
      </w:r>
    </w:p>
    <w:p>
      <w:pPr>
        <w:pStyle w:val="FirstParagraph"/>
      </w:pPr>
      <w:r>
        <w:t xml:space="preserve">The claim-level pipeline begins with atomic-fact decomposition. SAFE (Search-Augmented Factuality Evaluator) decomposes model outputs into atomic factual claims, queries search APIs for each claim, and uses DeBERTa-MNLI entailment scoring to compute supported/contradicted/unverifiable ratios</w:t>
      </w:r>
      <w:r>
        <w:t xml:space="preserve"> </w:t>
      </w:r>
      <w:fldSimple w:instr="NOTEREF _Ref_Footnote_35 \h \f">
        <w:r>
          <w:rPr>
            <w:vertAlign w:val="superscript"/>
          </w:rPr>
          <w:t>35</w:t>
        </w:r>
      </w:fldSimple>
      <w:r>
        <w:t xml:space="preserve">. GraphEval extends this to structured knowledge graphs: each generated response is parsed into (subject, predicate, object) triples, and each triple is checked against grounding context using NLI, returning the specific inconsistent triples for explainability</w:t>
      </w:r>
      <w:r>
        <w:t xml:space="preserve"> </w:t>
      </w:r>
      <w:fldSimple w:instr="NOTEREF _Ref_Footnote_62 \h \f">
        <w:r>
          <w:rPr>
            <w:vertAlign w:val="superscript"/>
          </w:rPr>
          <w:t>62</w:t>
        </w:r>
      </w:fldSimple>
      <w:r>
        <w:t xml:space="preserve">.</w:t>
      </w:r>
    </w:p>
    <w:p>
      <w:pPr>
        <w:pStyle w:val="BodyText"/>
      </w:pPr>
      <w:r>
        <w:t xml:space="preserve">NSVIF (Neuro-Symbolic Verification Framework) provides the most rigorous instantiation, achieving 94.8% F1 on instruction-following verification by decomposing outputs into</w:t>
      </w:r>
      <w:r>
        <w:t xml:space="preserve"> </w:t>
      </w:r>
      <w:r>
        <w:rPr>
          <w:iCs/>
          <w:i/>
        </w:rPr>
        <w:t xml:space="preserve">logic constraints</w:t>
      </w:r>
      <w:r>
        <w:t xml:space="preserve"> </w:t>
      </w:r>
      <w:r>
        <w:t xml:space="preserve">(verified by symbolic reasoning/Python code via the Z3 SMT solver) and</w:t>
      </w:r>
      <w:r>
        <w:t xml:space="preserve"> </w:t>
      </w:r>
      <w:r>
        <w:rPr>
          <w:iCs/>
          <w:i/>
        </w:rPr>
        <w:t xml:space="preserve">semantic constraints</w:t>
      </w:r>
      <w:r>
        <w:t xml:space="preserve"> </w:t>
      </w:r>
      <w:r>
        <w:t xml:space="preserve">(verified by LLM-as-judge), then solving the unified constraint satisfaction problem</w:t>
      </w:r>
      <w:r>
        <w:t xml:space="preserve"> </w:t>
      </w:r>
      <w:fldSimple w:instr="NOTEREF _Ref_Footnote_23 \h \f">
        <w:r>
          <w:rPr>
            <w:vertAlign w:val="superscript"/>
          </w:rPr>
          <w:t>23</w:t>
        </w:r>
      </w:fldSimple>
      <w:r>
        <w:t xml:space="preserve">. This dual verification—symbolic for structural invariants, neural for semantic plausibility—catches hallucinations that either method alone would miss.</w:t>
      </w:r>
    </w:p>
    <w:p>
      <w:pPr>
        <w:pStyle w:val="BodyText"/>
      </w:pPr>
      <w:r>
        <w:t xml:space="preserve">The NLI scoring formalism assigns probabilities over three mutually exclusive labels: entail, neutral, and contradict</w:t>
      </w:r>
      <w:r>
        <w:t xml:space="preserve"> </w:t>
      </w:r>
      <w:fldSimple w:instr="NOTEREF _Ref_Footnote_8 \h \f">
        <w:r>
          <w:rPr>
            <w:vertAlign w:val="superscript"/>
          </w:rPr>
          <w:t>8</w:t>
        </w:r>
      </w:fldSimple>
      <w:r>
        <w:t xml:space="preserve">. The factual consistency score for a claim</w:t>
      </w:r>
      <w:r>
        <w:t xml:space="preserve"> </w:t>
      </w:r>
      <m:oMath>
        <m:r>
          <m:t>c</m:t>
        </m:r>
      </m:oMath>
      <w:r>
        <w:t xml:space="preserve"> </w:t>
      </w:r>
      <w:r>
        <w:t xml:space="preserve">against source context</w:t>
      </w:r>
      <w:r>
        <w:t xml:space="preserve"> </w:t>
      </w:r>
      <m:oMath>
        <m:r>
          <m:t>s</m:t>
        </m:r>
      </m:oMath>
      <w:r>
        <w:t xml:space="preserve"> </w:t>
      </w:r>
      <w:r>
        <w:t xml:space="preserve">is the entailment probability</w:t>
      </w:r>
      <w:r>
        <w:t xml:space="preserve"> </w:t>
      </w:r>
      <m:oMath>
        <m:r>
          <m:t>P</m:t>
        </m:r>
        <m:d>
          <m:dPr>
            <m:begChr m:val="("/>
            <m:endChr m:val=")"/>
            <m:sepChr m:val=""/>
            <m:grow/>
          </m:dPr>
          <m:e>
            <m:r>
              <m:rPr>
                <m:nor/>
                <m:sty m:val="p"/>
              </m:rPr>
              <m:t>entail</m:t>
            </m:r>
            <m:r>
              <m:t> </m:t>
            </m:r>
            <m:r>
              <m:rPr>
                <m:sty m:val="p"/>
              </m:rPr>
              <m:t>|</m:t>
            </m:r>
            <m:r>
              <m:t> </m:t>
            </m:r>
            <m:r>
              <m:t>c</m:t>
            </m:r>
            <m:r>
              <m:rPr>
                <m:sty m:val="p"/>
              </m:rPr>
              <m:t>,</m:t>
            </m:r>
            <m:r>
              <m:t>s</m:t>
            </m:r>
          </m:e>
        </m:d>
      </m:oMath>
      <w:r>
        <w:t xml:space="preserve">. SummaC extends this to long documents by building a score matrix of all pairwise entailment scores between generated and source sentences, taking the maximum per generated sentence—a method that significantly outperforms prior metrics on factual consistency benchmarks</w:t>
      </w:r>
      <w:r>
        <w:t xml:space="preserve"> </w:t>
      </w:r>
      <w:fldSimple w:instr="NOTEREF _Ref_Footnote_8 \h \f">
        <w:r>
          <w:rPr>
            <w:vertAlign w:val="superscript"/>
          </w:rPr>
          <w:t>8</w:t>
        </w:r>
      </w:fldSimple>
      <w:r>
        <w:t xml:space="preserve">.</w:t>
      </w:r>
    </w:p>
    <w:p>
      <w:pPr>
        <w:pStyle w:val="BodyText"/>
      </w:pPr>
      <w:r>
        <w:t xml:space="preserve">The choice between token-level and claim-level detection is not either-or but staged: fast token-level probes catch entity hallucinations in real time, while claim-level verification catches semantic fabrications that survive token-level scrutiny. The comparative characteristics determine where each method sits in the architecture.</w:t>
      </w:r>
    </w:p>
    <w:tbl>
      <w:tblPr>
        <w:tblStyle w:val="Table"/>
        <w:tblW w:type="pct" w:w="5000"/>
        <w:tblLook w:firstRow="1" w:lastRow="0" w:firstColumn="0" w:lastColumn="0" w:noHBand="0" w:noVBand="0" w:val="0020"/>
      </w:tblPr>
      <w:tblGrid>
        <w:gridCol w:w="867"/>
        <w:gridCol w:w="1410"/>
        <w:gridCol w:w="976"/>
        <w:gridCol w:w="1084"/>
        <w:gridCol w:w="1844"/>
        <w:gridCol w:w="1735"/>
      </w:tblGrid>
      <w:tr>
        <w:trPr>
          <w:tblHeader w:val="true"/>
        </w:trPr>
        <w:tc>
          <w:tcPr/>
          <w:p>
            <w:pPr>
              <w:pStyle w:val="Compact"/>
              <w:jc w:val="left"/>
            </w:pPr>
            <w:r>
              <w:t xml:space="preserve">Method</w:t>
            </w:r>
          </w:p>
        </w:tc>
        <w:tc>
          <w:tcPr/>
          <w:p>
            <w:pPr>
              <w:pStyle w:val="Compact"/>
              <w:jc w:val="left"/>
            </w:pPr>
            <w:r>
              <w:t xml:space="preserve">Granularity</w:t>
            </w:r>
          </w:p>
        </w:tc>
        <w:tc>
          <w:tcPr/>
          <w:p>
            <w:pPr>
              <w:pStyle w:val="Compact"/>
              <w:jc w:val="left"/>
            </w:pPr>
            <w:r>
              <w:t xml:space="preserve">Latency</w:t>
            </w:r>
          </w:p>
        </w:tc>
        <w:tc>
          <w:tcPr/>
          <w:p>
            <w:pPr>
              <w:pStyle w:val="Compact"/>
              <w:jc w:val="left"/>
            </w:pPr>
            <w:r>
              <w:t xml:space="preserve">AUC / F1</w:t>
            </w:r>
          </w:p>
        </w:tc>
        <w:tc>
          <w:tcPr/>
          <w:p>
            <w:pPr>
              <w:pStyle w:val="Compact"/>
              <w:jc w:val="left"/>
            </w:pPr>
            <w:r>
              <w:t xml:space="preserve">What It Catches</w:t>
            </w:r>
          </w:p>
        </w:tc>
        <w:tc>
          <w:tcPr/>
          <w:p>
            <w:pPr>
              <w:pStyle w:val="Compact"/>
              <w:jc w:val="left"/>
            </w:pPr>
            <w:r>
              <w:t xml:space="preserve">What It Misses</w:t>
            </w:r>
          </w:p>
        </w:tc>
      </w:tr>
      <w:tr>
        <w:tc>
          <w:tcPr/>
          <w:p>
            <w:pPr>
              <w:pStyle w:val="Compact"/>
              <w:jc w:val="left"/>
            </w:pPr>
            <w:r>
              <w:t xml:space="preserve">LoRA linear probes</w:t>
            </w:r>
          </w:p>
        </w:tc>
        <w:tc>
          <w:tcPr/>
          <w:p>
            <w:pPr>
              <w:pStyle w:val="Compact"/>
              <w:jc w:val="left"/>
            </w:pPr>
            <w:r>
              <w:t xml:space="preserve">Token/entity</w:t>
            </w:r>
          </w:p>
        </w:tc>
        <w:tc>
          <w:tcPr/>
          <w:p>
            <w:pPr>
              <w:pStyle w:val="Compact"/>
              <w:jc w:val="left"/>
            </w:pPr>
            <w:r>
              <w:t xml:space="preserve">Negligible</w:t>
            </w:r>
          </w:p>
        </w:tc>
        <w:tc>
          <w:tcPr/>
          <w:p>
            <w:pPr>
              <w:pStyle w:val="Compact"/>
              <w:jc w:val="left"/>
            </w:pPr>
            <w:r>
              <w:t xml:space="preserve">0.90</w:t>
            </w:r>
            <w:r>
              <w:t xml:space="preserve"> </w:t>
            </w:r>
            <w:fldSimple w:instr="NOTEREF _Ref_Footnote_4 \h \f">
              <w:r>
                <w:rPr>
                  <w:vertAlign w:val="superscript"/>
                </w:rPr>
                <w:t>4</w:t>
              </w:r>
            </w:fldSimple>
          </w:p>
        </w:tc>
        <w:tc>
          <w:tcPr/>
          <w:p>
            <w:pPr>
              <w:pStyle w:val="Compact"/>
              <w:jc w:val="left"/>
            </w:pPr>
            <w:r>
              <w:t xml:space="preserve">Fabricated names, dates, citations</w:t>
            </w:r>
          </w:p>
        </w:tc>
        <w:tc>
          <w:tcPr/>
          <w:p>
            <w:pPr>
              <w:pStyle w:val="Compact"/>
              <w:jc w:val="left"/>
            </w:pPr>
            <w:r>
              <w:t xml:space="preserve">Semantically consistent false claims</w:t>
            </w:r>
          </w:p>
        </w:tc>
      </w:tr>
      <w:tr>
        <w:tc>
          <w:tcPr/>
          <w:p>
            <w:pPr>
              <w:pStyle w:val="Compact"/>
              <w:jc w:val="left"/>
            </w:pPr>
            <w:r>
              <w:t xml:space="preserve">Semantic entropy</w:t>
            </w:r>
          </w:p>
        </w:tc>
        <w:tc>
          <w:tcPr/>
          <w:p>
            <w:pPr>
              <w:pStyle w:val="Compact"/>
              <w:jc w:val="left"/>
            </w:pPr>
            <w:r>
              <w:t xml:space="preserve">Sequence</w:t>
            </w:r>
          </w:p>
        </w:tc>
        <w:tc>
          <w:tcPr/>
          <w:p>
            <w:pPr>
              <w:pStyle w:val="Compact"/>
              <w:jc w:val="left"/>
            </w:pPr>
            <w:r>
              <w:t xml:space="preserve">High (multi-sample)</w:t>
            </w:r>
          </w:p>
        </w:tc>
        <w:tc>
          <w:tcPr/>
          <w:p>
            <w:pPr>
              <w:pStyle w:val="Compact"/>
              <w:jc w:val="left"/>
            </w:pPr>
            <w:r>
              <w:t xml:space="preserve">0.71</w:t>
            </w:r>
            <w:r>
              <w:t xml:space="preserve"> </w:t>
            </w:r>
            <w:fldSimple w:instr="NOTEREF _Ref_Footnote_4 \h \f">
              <w:r>
                <w:rPr>
                  <w:vertAlign w:val="superscript"/>
                </w:rPr>
                <w:t>4</w:t>
              </w:r>
            </w:fldSimple>
          </w:p>
        </w:tc>
        <w:tc>
          <w:tcPr/>
          <w:p>
            <w:pPr>
              <w:pStyle w:val="Compact"/>
              <w:jc w:val="left"/>
            </w:pPr>
            <w:r>
              <w:t xml:space="preserve">Uncertainty-driven hallucinations</w:t>
            </w:r>
          </w:p>
        </w:tc>
        <w:tc>
          <w:tcPr/>
          <w:p>
            <w:pPr>
              <w:pStyle w:val="Compact"/>
              <w:jc w:val="left"/>
            </w:pPr>
            <w:r>
              <w:t xml:space="preserve">Confident but wrong claims</w:t>
            </w:r>
          </w:p>
        </w:tc>
      </w:tr>
      <w:tr>
        <w:tc>
          <w:tcPr/>
          <w:p>
            <w:pPr>
              <w:pStyle w:val="Compact"/>
              <w:jc w:val="left"/>
            </w:pPr>
            <w:r>
              <w:t xml:space="preserve">SpecRA FFT</w:t>
            </w:r>
          </w:p>
        </w:tc>
        <w:tc>
          <w:tcPr/>
          <w:p>
            <w:pPr>
              <w:pStyle w:val="Compact"/>
              <w:jc w:val="left"/>
            </w:pPr>
            <w:r>
              <w:t xml:space="preserve">Sequence</w:t>
            </w:r>
          </w:p>
        </w:tc>
        <w:tc>
          <w:tcPr/>
          <w:p>
            <w:pPr>
              <w:pStyle w:val="Compact"/>
              <w:jc w:val="left"/>
            </w:pPr>
            <w:r>
              <w:t xml:space="preserve">O(W log W)</w:t>
            </w:r>
          </w:p>
        </w:tc>
        <w:tc>
          <w:tcPr/>
          <w:p>
            <w:pPr>
              <w:pStyle w:val="Compact"/>
              <w:jc w:val="left"/>
            </w:pPr>
            <w:r>
              <w:t xml:space="preserve">Provable bounds</w:t>
            </w:r>
            <w:r>
              <w:t xml:space="preserve"> </w:t>
            </w:r>
            <w:fldSimple w:instr="NOTEREF _Ref_Footnote_19 \h \f">
              <w:r>
                <w:rPr>
                  <w:vertAlign w:val="superscript"/>
                </w:rPr>
                <w:t>19</w:t>
              </w:r>
            </w:fldSimple>
          </w:p>
        </w:tc>
        <w:tc>
          <w:tcPr/>
          <w:p>
            <w:pPr>
              <w:pStyle w:val="Compact"/>
              <w:jc w:val="left"/>
            </w:pPr>
            <w:r>
              <w:t xml:space="preserve">Periodic repetition loops</w:t>
            </w:r>
          </w:p>
        </w:tc>
        <w:tc>
          <w:tcPr/>
          <w:p>
            <w:pPr>
              <w:pStyle w:val="Compact"/>
              <w:jc w:val="left"/>
            </w:pPr>
            <w:r>
              <w:t xml:space="preserve">Aperiodic semantic drift</w:t>
            </w:r>
          </w:p>
        </w:tc>
      </w:tr>
      <w:tr>
        <w:tc>
          <w:tcPr/>
          <w:p>
            <w:pPr>
              <w:pStyle w:val="Compact"/>
              <w:jc w:val="left"/>
            </w:pPr>
            <w:r>
              <w:t xml:space="preserve">NLI (SummaC)</w:t>
            </w:r>
          </w:p>
        </w:tc>
        <w:tc>
          <w:tcPr/>
          <w:p>
            <w:pPr>
              <w:pStyle w:val="Compact"/>
              <w:jc w:val="left"/>
            </w:pPr>
            <w:r>
              <w:t xml:space="preserve">Claim/sentence</w:t>
            </w:r>
          </w:p>
        </w:tc>
        <w:tc>
          <w:tcPr/>
          <w:p>
            <w:pPr>
              <w:pStyle w:val="Compact"/>
              <w:jc w:val="left"/>
            </w:pPr>
            <w:r>
              <w:t xml:space="preserve">~2 ms batched</w:t>
            </w:r>
          </w:p>
        </w:tc>
        <w:tc>
          <w:tcPr/>
          <w:p>
            <w:pPr>
              <w:pStyle w:val="Compact"/>
              <w:jc w:val="left"/>
            </w:pPr>
            <w:r>
              <w:t xml:space="preserve">92.45 AUC-PR</w:t>
            </w:r>
            <w:r>
              <w:t xml:space="preserve"> </w:t>
            </w:r>
            <w:fldSimple w:instr="NOTEREF _Ref_Footnote_27 \h \f">
              <w:r>
                <w:rPr>
                  <w:vertAlign w:val="superscript"/>
                </w:rPr>
                <w:t>27</w:t>
              </w:r>
            </w:fldSimple>
          </w:p>
        </w:tc>
        <w:tc>
          <w:tcPr/>
          <w:p>
            <w:pPr>
              <w:pStyle w:val="Compact"/>
              <w:jc w:val="left"/>
            </w:pPr>
            <w:r>
              <w:t xml:space="preserve">Ungrounded factual assertions</w:t>
            </w:r>
          </w:p>
        </w:tc>
        <w:tc>
          <w:tcPr/>
          <w:p>
            <w:pPr>
              <w:pStyle w:val="Compact"/>
              <w:jc w:val="left"/>
            </w:pPr>
            <w:r>
              <w:t xml:space="preserve">Novel claims with no source</w:t>
            </w:r>
          </w:p>
        </w:tc>
      </w:tr>
      <w:tr>
        <w:tc>
          <w:tcPr/>
          <w:p>
            <w:pPr>
              <w:pStyle w:val="Compact"/>
              <w:jc w:val="left"/>
            </w:pPr>
            <w:r>
              <w:t xml:space="preserve">NSVIF (neuro-symbolic)</w:t>
            </w:r>
          </w:p>
        </w:tc>
        <w:tc>
          <w:tcPr/>
          <w:p>
            <w:pPr>
              <w:pStyle w:val="Compact"/>
              <w:jc w:val="left"/>
            </w:pPr>
            <w:r>
              <w:t xml:space="preserve">Claim + logic</w:t>
            </w:r>
          </w:p>
        </w:tc>
        <w:tc>
          <w:tcPr/>
          <w:p>
            <w:pPr>
              <w:pStyle w:val="Compact"/>
              <w:jc w:val="left"/>
            </w:pPr>
            <w:r>
              <w:t xml:space="preserve">10-100 ms</w:t>
            </w:r>
          </w:p>
        </w:tc>
        <w:tc>
          <w:tcPr/>
          <w:p>
            <w:pPr>
              <w:pStyle w:val="Compact"/>
              <w:jc w:val="left"/>
            </w:pPr>
            <w:r>
              <w:t xml:space="preserve">94.8% F1</w:t>
            </w:r>
            <w:r>
              <w:t xml:space="preserve"> </w:t>
            </w:r>
            <w:fldSimple w:instr="NOTEREF _Ref_Footnote_23 \h \f">
              <w:r>
                <w:rPr>
                  <w:vertAlign w:val="superscript"/>
                </w:rPr>
                <w:t>23</w:t>
              </w:r>
            </w:fldSimple>
          </w:p>
        </w:tc>
        <w:tc>
          <w:tcPr/>
          <w:p>
            <w:pPr>
              <w:pStyle w:val="Compact"/>
              <w:jc w:val="left"/>
            </w:pPr>
            <w:r>
              <w:t xml:space="preserve">Structural + semantic violations</w:t>
            </w:r>
          </w:p>
        </w:tc>
        <w:tc>
          <w:tcPr/>
          <w:p>
            <w:pPr>
              <w:pStyle w:val="Compact"/>
              <w:jc w:val="left"/>
            </w:pPr>
            <w:r>
              <w:t xml:space="preserve">Ontologies outside graph coverage</w:t>
            </w:r>
          </w:p>
        </w:tc>
      </w:tr>
    </w:tbl>
    <w:p>
      <w:pPr>
        <w:pStyle w:val="BodyText"/>
      </w:pPr>
      <w:r>
        <w:t xml:space="preserve">The probe row warrants emphasis: LoRA probes trained on one model generalize to detect hallucinations in other models, suggesting they capture fundamental failure patterns rather than model-specific artifacts</w:t>
      </w:r>
      <w:r>
        <w:t xml:space="preserve"> </w:t>
      </w:r>
      <w:fldSimple w:instr="NOTEREF _Ref_Footnote_4 \h \f">
        <w:r>
          <w:rPr>
            <w:vertAlign w:val="superscript"/>
          </w:rPr>
          <w:t>4</w:t>
        </w:r>
      </w:fldSimple>
      <w:r>
        <w:t xml:space="preserve">. However, probes trained on short-form QA fail to recover long-form performance, meaning long-form supervision is necessary for effective monitoring</w:t>
      </w:r>
      <w:r>
        <w:t xml:space="preserve"> </w:t>
      </w:r>
      <w:fldSimple w:instr="NOTEREF _Ref_Footnote_4 \h \f">
        <w:r>
          <w:rPr>
            <w:vertAlign w:val="superscript"/>
          </w:rPr>
          <w:t>4</w:t>
        </w:r>
      </w:fldSimple>
      <w:r>
        <w:t xml:space="preserve">. This finding shapes the Rex training pipeline: the probe supervision corpus must include paragraph-length generation, not just sentence-level factoids. The staged architecture deploys probes and SpecRA on the fast path (every token), NLI on the medium path (per sentence), and NSVIF on the slow path (per claim graph), with escalating verification depth matched to the criticality of the domain.</w:t>
      </w:r>
    </w:p>
    <w:bookmarkEnd w:id="153"/>
    <w:bookmarkStart w:id="154" w:name="X0e37ef17a5e37635c81b0493718da4cdc6cc873"/>
    <w:p>
      <w:pPr>
        <w:pStyle w:val="Heading4"/>
      </w:pPr>
      <w:r>
        <w:t xml:space="preserve">9.3.2 CUSUM Early Detection on Hidden-State Trajectories</w:t>
      </w:r>
    </w:p>
    <w:p>
      <w:pPr>
        <w:pStyle w:val="FirstParagraph"/>
      </w:pPr>
      <w:r>
        <w:t xml:space="preserve">The CUSUM (Cumulative Sum) algorithm provides the statistical engine for early loop prediction. Rather than thresholding instantaneous entropy or activation values, CUSUM accumulates deviations from a baseline trajectory, making it robust to transient fluctuations while sensitive to sustained drift</w:t>
      </w:r>
      <w:r>
        <w:t xml:space="preserve"> </w:t>
      </w:r>
      <w:fldSimple w:instr="NOTEREF _Ref_Footnote_57 \h \f">
        <w:r>
          <w:rPr>
            <w:vertAlign w:val="superscript"/>
          </w:rPr>
          <w:t>57</w:t>
        </w:r>
      </w:fldSimple>
      <w:r>
        <w:t xml:space="preserve">. The algorithm is applied to three hidden-state-derived precursors simultaneously: entropy drops (monitoring</w:t>
      </w:r>
      <w:r>
        <w:t xml:space="preserve"> </w:t>
      </w:r>
      <m:oMath>
        <m:r>
          <m:rPr>
            <m:sty m:val="p"/>
          </m:rPr>
          <m:t>−</m:t>
        </m:r>
        <m:r>
          <m:t>Δ</m:t>
        </m:r>
        <m:r>
          <m:t>H</m:t>
        </m:r>
      </m:oMath>
      <w:r>
        <w:t xml:space="preserve">), probability surges (monitoring</w:t>
      </w:r>
      <w:r>
        <w:t xml:space="preserve"> </w:t>
      </w:r>
      <m:oMath>
        <m:r>
          <m:t>Δ</m:t>
        </m:r>
        <m:r>
          <m:rPr>
            <m:sty m:val="p"/>
          </m:rPr>
          <m:t>max</m:t>
        </m:r>
        <m:sSub>
          <m:e>
            <m:r>
              <m:t>p</m:t>
            </m:r>
          </m:e>
          <m:sub>
            <m:r>
              <m:t>i</m:t>
            </m:r>
          </m:sub>
        </m:sSub>
      </m:oMath>
      <w:r>
        <w:t xml:space="preserve">), and hidden-state convergence (monitoring</w:t>
      </w:r>
      <w:r>
        <w:t xml:space="preserve"> </w:t>
      </w:r>
      <m:oMath>
        <m:r>
          <m:rPr>
            <m:sty m:val="p"/>
          </m:rPr>
          <m:t>cos</m:t>
        </m:r>
        <m:r>
          <m:rPr>
            <m:nor/>
            <m:sty m:val="p"/>
          </m:rPr>
          <m:t>-sim</m:t>
        </m:r>
        <m:d>
          <m:dPr>
            <m:begChr m:val="("/>
            <m:endChr m:val=")"/>
            <m:sepChr m:val=""/>
            <m:grow/>
          </m:dPr>
          <m:e>
            <m:sSub>
              <m:e>
                <m:r>
                  <m:t>h</m:t>
                </m:r>
              </m:e>
              <m:sub>
                <m:r>
                  <m:t>t</m:t>
                </m:r>
              </m:sub>
            </m:sSub>
            <m:r>
              <m:rPr>
                <m:sty m:val="p"/>
              </m:rPr>
              <m:t>,</m:t>
            </m:r>
            <m:sSub>
              <m:e>
                <m:r>
                  <m:t>h</m:t>
                </m:r>
              </m:e>
              <m:sub>
                <m:r>
                  <m:t>t</m:t>
                </m:r>
                <m:r>
                  <m:rPr>
                    <m:sty m:val="p"/>
                  </m:rPr>
                  <m:t>−</m:t>
                </m:r>
                <m:r>
                  <m:t>k</m:t>
                </m:r>
              </m:sub>
            </m:sSub>
          </m:e>
        </m:d>
        <m:r>
          <m:rPr>
            <m:sty m:val="p"/>
          </m:rPr>
          <m:t>→</m:t>
        </m:r>
        <m:r>
          <m:t>1</m:t>
        </m:r>
      </m:oMath>
      <w:r>
        <w:t xml:space="preserve">). In deep repetition cycles, cosine similarity between activation vectors of identical tokens saturates to nearly 1.0 while vector norm differences vanish, confirming that the loop constitutes a distinct internal state</w:t>
      </w:r>
      <w:r>
        <w:t xml:space="preserve"> </w:t>
      </w:r>
      <w:fldSimple w:instr="NOTEREF _Ref_Footnote_57 \h \f">
        <w:r>
          <w:rPr>
            <w:vertAlign w:val="superscript"/>
          </w:rPr>
          <w:t>57</w:t>
        </w:r>
      </w:fldSimple>
      <w:r>
        <w:t xml:space="preserve">.</w:t>
      </w:r>
    </w:p>
    <w:p>
      <w:pPr>
        <w:pStyle w:val="BodyText"/>
      </w:pPr>
      <w:r>
        <w:t xml:space="preserve">The following implementation fuses CUSUM drift detection with SpecRA spectral periodicity monitoring into a single early-warning kernel suitable for GPU deployment:</w:t>
      </w:r>
    </w:p>
    <w:p>
      <w:pPr>
        <w:pStyle w:val="SourceCode"/>
      </w:pPr>
      <w:r>
        <w:rPr>
          <w:rStyle w:val="KeywordTok"/>
        </w:rPr>
        <w:t xml:space="preserve">def</w:t>
      </w:r>
      <w:r>
        <w:rPr>
          <w:rStyle w:val="NormalTok"/>
        </w:rPr>
        <w:t xml:space="preserve"> early_warning_kernel(hidden_states, token_ids, baseline_entropy,</w:t>
      </w:r>
      <w:r>
        <w:br/>
      </w:r>
      <w:r>
        <w:rPr>
          <w:rStyle w:val="NormalTok"/>
        </w:rPr>
        <w:t xml:space="preserve">                         cusum_threshold</w:t>
      </w:r>
      <w:r>
        <w:rPr>
          <w:rStyle w:val="OperatorTok"/>
        </w:rPr>
        <w:t xml:space="preserve">=</w:t>
      </w:r>
      <w:r>
        <w:rPr>
          <w:rStyle w:val="FloatTok"/>
        </w:rPr>
        <w:t xml:space="preserve">4.0</w:t>
      </w:r>
      <w:r>
        <w:rPr>
          <w:rStyle w:val="NormalTok"/>
        </w:rPr>
        <w:t xml:space="preserve">, specra_threshold</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CommentTok"/>
        </w:rPr>
        <w:t xml:space="preserve">"""</w:t>
      </w:r>
      <w:r>
        <w:br/>
      </w:r>
      <w:r>
        <w:rPr>
          <w:rStyle w:val="CommentTok"/>
        </w:rPr>
        <w:t xml:space="preserve">    Fused early-warning detector for repetition and hallucination precursors.</w:t>
      </w:r>
      <w:r>
        <w:br/>
      </w:r>
      <w:r>
        <w:rPr>
          <w:rStyle w:val="CommentTok"/>
        </w:rPr>
        <w:t xml:space="preserve">    Runs per-token during generation; returns (risk_score, should_intervene).</w:t>
      </w:r>
      <w:r>
        <w:br/>
      </w:r>
      <w:r>
        <w:rPr>
          <w:rStyle w:val="CommentTok"/>
        </w:rPr>
        <w:t xml:space="preserve">    </w:t>
      </w:r>
      <w:r>
        <w:br/>
      </w:r>
      <w:r>
        <w:rPr>
          <w:rStyle w:val="CommentTok"/>
        </w:rPr>
        <w:t xml:space="preserve">    Args:</w:t>
      </w:r>
      <w:r>
        <w:br/>
      </w:r>
      <w:r>
        <w:rPr>
          <w:rStyle w:val="CommentTok"/>
        </w:rPr>
        <w:t xml:space="preserve">        hidden_states:  [seq_len, d_model]  -- residual stream vectors</w:t>
      </w:r>
      <w:r>
        <w:br/>
      </w:r>
      <w:r>
        <w:rPr>
          <w:rStyle w:val="CommentTok"/>
        </w:rPr>
        <w:t xml:space="preserve">        token_ids:      [seq_len]           -- generated token indices</w:t>
      </w:r>
      <w:r>
        <w:br/>
      </w:r>
      <w:r>
        <w:rPr>
          <w:rStyle w:val="CommentTok"/>
        </w:rPr>
        <w:t xml:space="preserve">        baseline_entropy: float             -- expected entropy under normal decoding</w:t>
      </w:r>
      <w:r>
        <w:br/>
      </w:r>
      <w:r>
        <w:rPr>
          <w:rStyle w:val="CommentTok"/>
        </w:rPr>
        <w:t xml:space="preserve">        cusum_threshold:  float              -- CUSUM intervention threshold</w:t>
      </w:r>
      <w:r>
        <w:br/>
      </w:r>
      <w:r>
        <w:rPr>
          <w:rStyle w:val="CommentTok"/>
        </w:rPr>
        <w:t xml:space="preserve">        specra_threshold: float              -- SpecRA periodicity threshold</w:t>
      </w:r>
      <w:r>
        <w:br/>
      </w:r>
      <w:r>
        <w:rPr>
          <w:rStyle w:val="CommentTok"/>
        </w:rPr>
        <w:t xml:space="preserve">    """</w:t>
      </w:r>
      <w:r>
        <w:br/>
      </w:r>
      <w:r>
        <w:rPr>
          <w:rStyle w:val="NormalTok"/>
        </w:rPr>
        <w:t xml:space="preserve">    </w:t>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    seq_len </w:t>
      </w:r>
      <w:r>
        <w:rPr>
          <w:rStyle w:val="OperatorTok"/>
        </w:rPr>
        <w:t xml:space="preserve">=</w:t>
      </w:r>
      <w:r>
        <w:rPr>
          <w:rStyle w:val="NormalTok"/>
        </w:rPr>
        <w:t xml:space="preserve"> hidden_states.shape[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 Signal 1: CUSUM on hidden-state convergence ---</w:t>
      </w:r>
      <w:r>
        <w:br/>
      </w:r>
      <w:r>
        <w:rPr>
          <w:rStyle w:val="NormalTok"/>
        </w:rPr>
        <w:t xml:space="preserve">    </w:t>
      </w:r>
      <w:r>
        <w:rPr>
          <w:rStyle w:val="CommentTok"/>
        </w:rPr>
        <w:t xml:space="preserve"># Detect cosine similarity approaching 1.0 (attractor collapse)</w:t>
      </w:r>
      <w:r>
        <w:br/>
      </w:r>
      <w:r>
        <w:rPr>
          <w:rStyle w:val="NormalTok"/>
        </w:rPr>
        <w:t xml:space="preserve">    </w:t>
      </w:r>
      <w:r>
        <w:rPr>
          <w:rStyle w:val="ControlFlowTok"/>
        </w:rPr>
        <w:t xml:space="preserve">if</w:t>
      </w:r>
      <w:r>
        <w:rPr>
          <w:rStyle w:val="NormalTok"/>
        </w:rPr>
        <w:t xml:space="preserve"> seq_len </w:t>
      </w:r>
      <w:r>
        <w:rPr>
          <w:rStyle w:val="OperatorTok"/>
        </w:rPr>
        <w:t xml:space="preserve">&gt;=</w:t>
      </w:r>
      <w:r>
        <w:rPr>
          <w:rStyle w:val="NormalTok"/>
        </w:rPr>
        <w:t xml:space="preserve"> </w:t>
      </w:r>
      <w:r>
        <w:rPr>
          <w:rStyle w:val="DecValTok"/>
        </w:rPr>
        <w:t xml:space="preserve">8</w:t>
      </w:r>
      <w:r>
        <w:rPr>
          <w:rStyle w:val="NormalTok"/>
        </w:rPr>
        <w:t xml:space="preserve">:</w:t>
      </w:r>
      <w:r>
        <w:br/>
      </w:r>
      <w:r>
        <w:rPr>
          <w:rStyle w:val="NormalTok"/>
        </w:rPr>
        <w:t xml:space="preserve">        h_current </w:t>
      </w:r>
      <w:r>
        <w:rPr>
          <w:rStyle w:val="OperatorTok"/>
        </w:rPr>
        <w:t xml:space="preserve">=</w:t>
      </w:r>
      <w:r>
        <w:rPr>
          <w:rStyle w:val="NormalTok"/>
        </w:rPr>
        <w:t xml:space="preserve"> hidden_states[</w:t>
      </w:r>
      <w:r>
        <w:rPr>
          <w:rStyle w:val="OperatorTok"/>
        </w:rPr>
        <w:t xml:space="preserve">-</w:t>
      </w:r>
      <w:r>
        <w:rPr>
          <w:rStyle w:val="DecValTok"/>
        </w:rPr>
        <w:t xml:space="preserve">1</w:t>
      </w:r>
      <w:r>
        <w:rPr>
          <w:rStyle w:val="NormalTok"/>
        </w:rPr>
        <w:t xml:space="preserve">]</w:t>
      </w:r>
      <w:r>
        <w:br/>
      </w:r>
      <w:r>
        <w:rPr>
          <w:rStyle w:val="NormalTok"/>
        </w:rPr>
        <w:t xml:space="preserve">        h_lag </w:t>
      </w:r>
      <w:r>
        <w:rPr>
          <w:rStyle w:val="OperatorTok"/>
        </w:rPr>
        <w:t xml:space="preserve">=</w:t>
      </w:r>
      <w:r>
        <w:rPr>
          <w:rStyle w:val="NormalTok"/>
        </w:rPr>
        <w:t xml:space="preserve"> hidden_states[</w:t>
      </w:r>
      <w:r>
        <w:rPr>
          <w:rStyle w:val="OperatorTok"/>
        </w:rPr>
        <w:t xml:space="preserve">-</w:t>
      </w:r>
      <w:r>
        <w:rPr>
          <w:rStyle w:val="DecValTok"/>
        </w:rPr>
        <w:t xml:space="preserve">8</w:t>
      </w:r>
      <w:r>
        <w:rPr>
          <w:rStyle w:val="NormalTok"/>
        </w:rPr>
        <w:t xml:space="preserve">]</w:t>
      </w:r>
      <w:r>
        <w:br/>
      </w:r>
      <w:r>
        <w:rPr>
          <w:rStyle w:val="NormalTok"/>
        </w:rPr>
        <w:t xml:space="preserve">        cosine_sim </w:t>
      </w:r>
      <w:r>
        <w:rPr>
          <w:rStyle w:val="OperatorTok"/>
        </w:rPr>
        <w:t xml:space="preserve">=</w:t>
      </w:r>
      <w:r>
        <w:rPr>
          <w:rStyle w:val="NormalTok"/>
        </w:rPr>
        <w:t xml:space="preserve"> np.dot(h_current, h_lag) </w:t>
      </w:r>
      <w:r>
        <w:rPr>
          <w:rStyle w:val="OperatorTok"/>
        </w:rPr>
        <w:t xml:space="preserve">/</w:t>
      </w:r>
      <w:r>
        <w:rPr>
          <w:rStyle w:val="NormalTok"/>
        </w:rPr>
        <w:t xml:space="preserve"> (</w:t>
      </w:r>
      <w:r>
        <w:br/>
      </w:r>
      <w:r>
        <w:rPr>
          <w:rStyle w:val="NormalTok"/>
        </w:rPr>
        <w:t xml:space="preserve">            np.linalg.norm(h_current) </w:t>
      </w:r>
      <w:r>
        <w:rPr>
          <w:rStyle w:val="OperatorTok"/>
        </w:rPr>
        <w:t xml:space="preserve">*</w:t>
      </w:r>
      <w:r>
        <w:rPr>
          <w:rStyle w:val="NormalTok"/>
        </w:rPr>
        <w:t xml:space="preserve"> np.linalg.norm(h_lag) </w:t>
      </w:r>
      <w:r>
        <w:rPr>
          <w:rStyle w:val="OperatorTok"/>
        </w:rPr>
        <w:t xml:space="preserve">+</w:t>
      </w:r>
      <w:r>
        <w:rPr>
          <w:rStyle w:val="NormalTok"/>
        </w:rPr>
        <w:t xml:space="preserve"> </w:t>
      </w:r>
      <w:r>
        <w:rPr>
          <w:rStyle w:val="FloatTok"/>
        </w:rPr>
        <w:t xml:space="preserve">1e-8</w:t>
      </w:r>
      <w:r>
        <w:br/>
      </w:r>
      <w:r>
        <w:rPr>
          <w:rStyle w:val="NormalTok"/>
        </w:rPr>
        <w:t xml:space="preserve">        )</w:t>
      </w:r>
      <w:r>
        <w:br/>
      </w:r>
      <w:r>
        <w:rPr>
          <w:rStyle w:val="NormalTok"/>
        </w:rPr>
        <w:t xml:space="preserve">        </w:t>
      </w:r>
      <w:r>
        <w:rPr>
          <w:rStyle w:val="CommentTok"/>
        </w:rPr>
        <w:t xml:space="preserve"># CUSUM: accumulate positive deviations from healthy baseline</w:t>
      </w:r>
      <w:r>
        <w:br/>
      </w:r>
      <w:r>
        <w:rPr>
          <w:rStyle w:val="NormalTok"/>
        </w:rPr>
        <w:t xml:space="preserve">        deviation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cosine_sim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0.85 = healthy similarity bound</w:t>
      </w:r>
      <w:r>
        <w:br/>
      </w:r>
      <w:r>
        <w:rPr>
          <w:rStyle w:val="NormalTok"/>
        </w:rPr>
        <w:t xml:space="preserve">    </w:t>
      </w:r>
      <w:r>
        <w:rPr>
          <w:rStyle w:val="ControlFlowTok"/>
        </w:rPr>
        <w:t xml:space="preserve">else</w:t>
      </w:r>
      <w:r>
        <w:rPr>
          <w:rStyle w:val="NormalTok"/>
        </w:rPr>
        <w:t xml:space="preserve">:</w:t>
      </w:r>
      <w:r>
        <w:br/>
      </w:r>
      <w:r>
        <w:rPr>
          <w:rStyle w:val="NormalTok"/>
        </w:rPr>
        <w:t xml:space="preserve">        deviation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Stateful CUSUM accumulator (maintained across calls in production)</w:t>
      </w:r>
      <w:r>
        <w:br/>
      </w:r>
      <w:r>
        <w:rPr>
          <w:rStyle w:val="NormalTok"/>
        </w:rPr>
        <w:t xml:space="preserve">    cusum_stat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placeholder: real system persists this state</w:t>
      </w:r>
      <w:r>
        <w:br/>
      </w:r>
      <w:r>
        <w:rPr>
          <w:rStyle w:val="NormalTok"/>
        </w:rPr>
        <w:t xml:space="preserve">    cusum_stat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cusum_stat </w:t>
      </w:r>
      <w:r>
        <w:rPr>
          <w:rStyle w:val="OperatorTok"/>
        </w:rPr>
        <w:t xml:space="preserve">+</w:t>
      </w:r>
      <w:r>
        <w:rPr>
          <w:rStyle w:val="NormalTok"/>
        </w:rPr>
        <w:t xml:space="preserve"> deviation)</w:t>
      </w:r>
      <w:r>
        <w:br/>
      </w:r>
      <w:r>
        <w:rPr>
          <w:rStyle w:val="NormalTok"/>
        </w:rPr>
        <w:t xml:space="preserve">    cusum_alert </w:t>
      </w:r>
      <w:r>
        <w:rPr>
          <w:rStyle w:val="OperatorTok"/>
        </w:rPr>
        <w:t xml:space="preserve">=</w:t>
      </w:r>
      <w:r>
        <w:rPr>
          <w:rStyle w:val="NormalTok"/>
        </w:rPr>
        <w:t xml:space="preserve"> cusum_stat </w:t>
      </w:r>
      <w:r>
        <w:rPr>
          <w:rStyle w:val="OperatorTok"/>
        </w:rPr>
        <w:t xml:space="preserve">&gt;</w:t>
      </w:r>
      <w:r>
        <w:rPr>
          <w:rStyle w:val="NormalTok"/>
        </w:rPr>
        <w:t xml:space="preserve"> cusum_threshold</w:t>
      </w:r>
      <w:r>
        <w:br/>
      </w:r>
      <w:r>
        <w:rPr>
          <w:rStyle w:val="NormalTok"/>
        </w:rPr>
        <w:t xml:space="preserve">    </w:t>
      </w:r>
      <w:r>
        <w:br/>
      </w:r>
      <w:r>
        <w:rPr>
          <w:rStyle w:val="NormalTok"/>
        </w:rPr>
        <w:t xml:space="preserve">    </w:t>
      </w:r>
      <w:r>
        <w:rPr>
          <w:rStyle w:val="CommentTok"/>
        </w:rPr>
        <w:t xml:space="preserve"># --- Signal 2: SpecRA spectral periodicity ---</w:t>
      </w:r>
      <w:r>
        <w:br/>
      </w:r>
      <w:r>
        <w:rPr>
          <w:rStyle w:val="NormalTok"/>
        </w:rPr>
        <w:t xml:space="preserve">    </w:t>
      </w:r>
      <w:r>
        <w:rPr>
          <w:rStyle w:val="CommentTok"/>
        </w:rPr>
        <w:t xml:space="preserve"># FFT autocorrelation via Wiener-Khinchin theorem</w:t>
      </w:r>
      <w:r>
        <w:br/>
      </w:r>
      <w:r>
        <w:rPr>
          <w:rStyle w:val="NormalTok"/>
        </w:rPr>
        <w:t xml:space="preserve">    specra_alert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seq_len </w:t>
      </w:r>
      <w:r>
        <w:rPr>
          <w:rStyle w:val="OperatorTok"/>
        </w:rPr>
        <w:t xml:space="preserve">&gt;=</w:t>
      </w:r>
      <w:r>
        <w:rPr>
          <w:rStyle w:val="NormalTok"/>
        </w:rPr>
        <w:t xml:space="preserve"> </w:t>
      </w:r>
      <w:r>
        <w:rPr>
          <w:rStyle w:val="DecValTok"/>
        </w:rPr>
        <w:t xml:space="preserve">32</w:t>
      </w:r>
      <w:r>
        <w:rPr>
          <w:rStyle w:val="NormalTok"/>
        </w:rPr>
        <w:t xml:space="preserve">:</w:t>
      </w:r>
      <w:r>
        <w:br/>
      </w:r>
      <w:r>
        <w:rPr>
          <w:rStyle w:val="NormalTok"/>
        </w:rPr>
        <w:t xml:space="preserve">        SPECRA_MAP </w:t>
      </w:r>
      <w:r>
        <w:rPr>
          <w:rStyle w:val="OperatorTok"/>
        </w:rPr>
        <w:t xml:space="preserve">=</w:t>
      </w:r>
      <w:r>
        <w:rPr>
          <w:rStyle w:val="NormalTok"/>
        </w:rPr>
        <w:t xml:space="preserve"> np.exp(</w:t>
      </w:r>
      <w:r>
        <w:rPr>
          <w:rStyle w:val="OtherTok"/>
        </w:rPr>
        <w:t xml:space="preserve">2j</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np.random.RandomState(</w:t>
      </w:r>
      <w:r>
        <w:rPr>
          <w:rStyle w:val="DecValTok"/>
        </w:rPr>
        <w:t xml:space="preserve">42</w:t>
      </w:r>
      <w:r>
        <w:rPr>
          <w:rStyle w:val="NormalTok"/>
        </w:rPr>
        <w:t xml:space="preserve">).rand(</w:t>
      </w:r>
      <w:r>
        <w:rPr>
          <w:rStyle w:val="DecValTok"/>
        </w:rPr>
        <w:t xml:space="preserve">50000</w:t>
      </w:r>
      <w:r>
        <w:rPr>
          <w:rStyle w:val="NormalTok"/>
        </w:rPr>
        <w:t xml:space="preserve">))</w:t>
      </w:r>
      <w:r>
        <w:br/>
      </w:r>
      <w:r>
        <w:rPr>
          <w:rStyle w:val="NormalTok"/>
        </w:rPr>
        <w:t xml:space="preserve">        seq </w:t>
      </w:r>
      <w:r>
        <w:rPr>
          <w:rStyle w:val="OperatorTok"/>
        </w:rPr>
        <w:t xml:space="preserve">=</w:t>
      </w:r>
      <w:r>
        <w:rPr>
          <w:rStyle w:val="NormalTok"/>
        </w:rPr>
        <w:t xml:space="preserve"> SPECRA_MAP[token_ids]</w:t>
      </w:r>
      <w:r>
        <w:br/>
      </w:r>
      <w:r>
        <w:rPr>
          <w:rStyle w:val="NormalTok"/>
        </w:rPr>
        <w:t xml:space="preserve">        power </w:t>
      </w:r>
      <w:r>
        <w:rPr>
          <w:rStyle w:val="OperatorTok"/>
        </w:rPr>
        <w:t xml:space="preserve">=</w:t>
      </w:r>
      <w:r>
        <w:rPr>
          <w:rStyle w:val="NormalTok"/>
        </w:rPr>
        <w:t xml:space="preserve"> np.</w:t>
      </w:r>
      <w:r>
        <w:rPr>
          <w:rStyle w:val="BuiltInTok"/>
        </w:rPr>
        <w:t xml:space="preserve">abs</w:t>
      </w:r>
      <w:r>
        <w:rPr>
          <w:rStyle w:val="NormalTok"/>
        </w:rPr>
        <w:t xml:space="preserve">(np.fft.fft(seq)) </w:t>
      </w:r>
      <w:r>
        <w:rPr>
          <w:rStyle w:val="OperatorTok"/>
        </w:rPr>
        <w:t xml:space="preserve">**</w:t>
      </w:r>
      <w:r>
        <w:rPr>
          <w:rStyle w:val="NormalTok"/>
        </w:rPr>
        <w:t xml:space="preserve"> </w:t>
      </w:r>
      <w:r>
        <w:rPr>
          <w:rStyle w:val="DecValTok"/>
        </w:rPr>
        <w:t xml:space="preserve">2</w:t>
      </w:r>
      <w:r>
        <w:br/>
      </w:r>
      <w:r>
        <w:rPr>
          <w:rStyle w:val="NormalTok"/>
        </w:rPr>
        <w:t xml:space="preserve">        autocorr </w:t>
      </w:r>
      <w:r>
        <w:rPr>
          <w:rStyle w:val="OperatorTok"/>
        </w:rPr>
        <w:t xml:space="preserve">=</w:t>
      </w:r>
      <w:r>
        <w:rPr>
          <w:rStyle w:val="NormalTok"/>
        </w:rPr>
        <w:t xml:space="preserve"> np.fft.ifft(power)</w:t>
      </w:r>
      <w:r>
        <w:br/>
      </w:r>
      <w:r>
        <w:rPr>
          <w:rStyle w:val="NormalTok"/>
        </w:rPr>
        <w:t xml:space="preserve">        peak </w:t>
      </w:r>
      <w:r>
        <w:rPr>
          <w:rStyle w:val="OperatorTok"/>
        </w:rPr>
        <w:t xml:space="preserve">=</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(np.real(autocorr[</w:t>
      </w:r>
      <w:r>
        <w:rPr>
          <w:rStyle w:val="DecValTok"/>
        </w:rPr>
        <w:t xml:space="preserve">1</w:t>
      </w:r>
      <w:r>
        <w:rPr>
          <w:rStyle w:val="NormalTok"/>
        </w:rPr>
        <w:t xml:space="preserve">:seq_len</w:t>
      </w:r>
      <w:r>
        <w:rPr>
          <w:rStyle w:val="OperatorTok"/>
        </w:rPr>
        <w:t xml:space="preserve">//</w:t>
      </w:r>
      <w:r>
        <w:rPr>
          <w:rStyle w:val="DecValTok"/>
        </w:rPr>
        <w:t xml:space="preserve">2</w:t>
      </w:r>
      <w:r>
        <w:rPr>
          <w:rStyle w:val="OperatorTok"/>
        </w:rPr>
        <w:t xml:space="preserve">+</w:t>
      </w:r>
      <w:r>
        <w:rPr>
          <w:rStyle w:val="DecValTok"/>
        </w:rPr>
        <w:t xml:space="preserve">1</w:t>
      </w:r>
      <w:r>
        <w:rPr>
          <w:rStyle w:val="NormalTok"/>
        </w:rPr>
        <w:t xml:space="preserve">])))</w:t>
      </w:r>
      <w:r>
        <w:br/>
      </w:r>
      <w:r>
        <w:rPr>
          <w:rStyle w:val="NormalTok"/>
        </w:rPr>
        <w:t xml:space="preserve">        normalized_peak </w:t>
      </w:r>
      <w:r>
        <w:rPr>
          <w:rStyle w:val="OperatorTok"/>
        </w:rPr>
        <w:t xml:space="preserve">=</w:t>
      </w:r>
      <w:r>
        <w:rPr>
          <w:rStyle w:val="NormalTok"/>
        </w:rPr>
        <w:t xml:space="preserve"> peak </w:t>
      </w:r>
      <w:r>
        <w:rPr>
          <w:rStyle w:val="OperatorTok"/>
        </w:rPr>
        <w:t xml:space="preserve">/</w:t>
      </w:r>
      <w:r>
        <w:rPr>
          <w:rStyle w:val="NormalTok"/>
        </w:rPr>
        <w:t xml:space="preserve"> </w:t>
      </w:r>
      <w:r>
        <w:rPr>
          <w:rStyle w:val="BuiltInTok"/>
        </w:rPr>
        <w:t xml:space="preserve">float</w:t>
      </w:r>
      <w:r>
        <w:rPr>
          <w:rStyle w:val="NormalTok"/>
        </w:rPr>
        <w:t xml:space="preserve">(np.real(autocorr[</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specra_alert </w:t>
      </w:r>
      <w:r>
        <w:rPr>
          <w:rStyle w:val="OperatorTok"/>
        </w:rPr>
        <w:t xml:space="preserve">=</w:t>
      </w:r>
      <w:r>
        <w:rPr>
          <w:rStyle w:val="NormalTok"/>
        </w:rPr>
        <w:t xml:space="preserve"> normalized_peak </w:t>
      </w:r>
      <w:r>
        <w:rPr>
          <w:rStyle w:val="OperatorTok"/>
        </w:rPr>
        <w:t xml:space="preserve">&gt;</w:t>
      </w:r>
      <w:r>
        <w:rPr>
          <w:rStyle w:val="NormalTok"/>
        </w:rPr>
        <w:t xml:space="preserve"> specra_threshold</w:t>
      </w:r>
      <w:r>
        <w:br/>
      </w:r>
      <w:r>
        <w:rPr>
          <w:rStyle w:val="NormalTok"/>
        </w:rPr>
        <w:t xml:space="preserve">    </w:t>
      </w:r>
      <w:r>
        <w:br/>
      </w:r>
      <w:r>
        <w:rPr>
          <w:rStyle w:val="NormalTok"/>
        </w:rPr>
        <w:t xml:space="preserve">    </w:t>
      </w:r>
      <w:r>
        <w:rPr>
          <w:rStyle w:val="CommentTok"/>
        </w:rPr>
        <w:t xml:space="preserve"># --- Signal 3: Entropy collapse (from external sampler) ---</w:t>
      </w:r>
      <w:r>
        <w:br/>
      </w:r>
      <w:r>
        <w:rPr>
          <w:rStyle w:val="NormalTok"/>
        </w:rPr>
        <w:t xml:space="preserve">    </w:t>
      </w:r>
      <w:r>
        <w:rPr>
          <w:rStyle w:val="CommentTok"/>
        </w:rPr>
        <w:t xml:space="preserve"># entropy_alert = current_entropy &lt; baseline_entropy * 0.5</w:t>
      </w:r>
      <w:r>
        <w:br/>
      </w:r>
      <w:r>
        <w:rPr>
          <w:rStyle w:val="NormalTok"/>
        </w:rPr>
        <w:t xml:space="preserve">    </w:t>
      </w:r>
      <w:r>
        <w:br/>
      </w:r>
      <w:r>
        <w:rPr>
          <w:rStyle w:val="NormalTok"/>
        </w:rPr>
        <w:t xml:space="preserve">    </w:t>
      </w:r>
      <w:r>
        <w:rPr>
          <w:rStyle w:val="CommentTok"/>
        </w:rPr>
        <w:t xml:space="preserve"># --- Fusion ---</w:t>
      </w:r>
      <w:r>
        <w:br/>
      </w:r>
      <w:r>
        <w:rPr>
          <w:rStyle w:val="NormalTok"/>
        </w:rPr>
        <w:t xml:space="preserve">    risk_score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(cusum_alert) </w:t>
      </w:r>
      <w:r>
        <w:rPr>
          <w:rStyle w:val="OperatorTok"/>
        </w:rPr>
        <w:t xml:space="preserve">+</w:t>
      </w:r>
      <w:r>
        <w:rPr>
          <w:rStyle w:val="NormalTok"/>
        </w:rPr>
        <w:t xml:space="preserve"> </w:t>
      </w:r>
      <w:r>
        <w:br/>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(specra_alert))</w:t>
      </w:r>
      <w:r>
        <w:br/>
      </w:r>
      <w:r>
        <w:rPr>
          <w:rStyle w:val="NormalTok"/>
        </w:rPr>
        <w:t xml:space="preserve">    should_intervene </w:t>
      </w:r>
      <w:r>
        <w:rPr>
          <w:rStyle w:val="OperatorTok"/>
        </w:rPr>
        <w:t xml:space="preserve">=</w:t>
      </w:r>
      <w:r>
        <w:rPr>
          <w:rStyle w:val="NormalTok"/>
        </w:rPr>
        <w:t xml:space="preserve"> risk_score </w:t>
      </w:r>
      <w:r>
        <w:rPr>
          <w:rStyle w:val="OperatorTok"/>
        </w:rPr>
        <w:t xml:space="preserve">&gt;</w:t>
      </w:r>
      <w:r>
        <w:rPr>
          <w:rStyle w:val="NormalTok"/>
        </w:rPr>
        <w:t xml:space="preserve"> </w:t>
      </w:r>
      <w:r>
        <w:rPr>
          <w:rStyle w:val="FloatTok"/>
        </w:rPr>
        <w:t xml:space="preserve">0.4</w:t>
      </w:r>
      <w:r>
        <w:br/>
      </w:r>
      <w:r>
        <w:rPr>
          <w:rStyle w:val="NormalTok"/>
        </w:rPr>
        <w:t xml:space="preserve">    </w:t>
      </w:r>
      <w:r>
        <w:br/>
      </w:r>
      <w:r>
        <w:rPr>
          <w:rStyle w:val="NormalTok"/>
        </w:rPr>
        <w:t xml:space="preserve">    </w:t>
      </w:r>
      <w:r>
        <w:rPr>
          <w:rStyle w:val="ControlFlowTok"/>
        </w:rPr>
        <w:t xml:space="preserve">return</w:t>
      </w:r>
      <w:r>
        <w:rPr>
          <w:rStyle w:val="NormalTok"/>
        </w:rPr>
        <w:t xml:space="preserve"> risk_score, should_intervene</w:t>
      </w:r>
    </w:p>
    <w:p>
      <w:pPr>
        <w:pStyle w:val="FirstParagraph"/>
      </w:pPr>
      <w:r>
        <w:t xml:space="preserve">The CUSUM mechanism, validated across diverse Large Reasoning Models (LRMs), yields measurable gains: DeepSeek-Qwen-7B completion rate improves from 0.80 to 0.88 when early detection triggers a generation restart at the precursor stage</w:t>
      </w:r>
      <w:r>
        <w:t xml:space="preserve"> </w:t>
      </w:r>
      <w:fldSimple w:instr="NOTEREF _Ref_Footnote_57 \h \f">
        <w:r>
          <w:rPr>
            <w:vertAlign w:val="superscript"/>
          </w:rPr>
          <w:t>57</w:t>
        </w:r>
      </w:fldSimple>
      <w:r>
        <w:t xml:space="preserve">. The implementation above targets GPU execution via NumPy/Metal, with the CUSUM state persisted across tokens in a streaming inference engine.</w:t>
      </w:r>
    </w:p>
    <w:bookmarkEnd w:id="154"/>
    <w:bookmarkStart w:id="155" w:name="the-sae-constraint-feedback-loop"/>
    <w:p>
      <w:pPr>
        <w:pStyle w:val="Heading4"/>
      </w:pPr>
      <w:r>
        <w:t xml:space="preserve">9.3.3 The SAE-Constraint Feedback Loop</w:t>
      </w:r>
    </w:p>
    <w:p>
      <w:pPr>
        <w:pStyle w:val="FirstParagraph"/>
      </w:pPr>
      <w:r>
        <w:t xml:space="preserve">The final integration layer closes the loop between real-time monitoring and ontological validation. This is the SAE-Constraint Feedback Loop—a cross-dimensional fusion of SAE interpretability (Dim02), claim-graph validation (Dim04), and repair dynamics (Dim08). The mechanism operates as follows.</w:t>
      </w:r>
    </w:p>
    <w:p>
      <w:pPr>
        <w:pStyle w:val="BodyText"/>
      </w:pPr>
      <w:r>
        <w:t xml:space="preserve">First, the SAE encoder runs on the residual stream at every generation step, producing a sparse feature vector</w:t>
      </w:r>
      <w:r>
        <w:t xml:space="preserve"> </w:t>
      </w:r>
      <m:oMath>
        <m:r>
          <m:t>z</m:t>
        </m:r>
        <m:r>
          <m:rPr>
            <m:sty m:val="p"/>
          </m:rPr>
          <m:t>=</m:t>
        </m:r>
        <m:r>
          <m:rPr>
            <m:nor/>
            <m:sty m:val="p"/>
          </m:rPr>
          <m:t>ReLU</m:t>
        </m:r>
        <m:d>
          <m:dPr>
            <m:begChr m:val="("/>
            <m:endChr m:val=")"/>
            <m:sepChr m:val=""/>
            <m:grow/>
          </m:dPr>
          <m:e>
            <m:sSub>
              <m:e>
                <m:r>
                  <m:t>W</m:t>
                </m:r>
              </m:e>
              <m:sub>
                <m:r>
                  <m:rPr>
                    <m:nor/>
                    <m:sty m:val="p"/>
                  </m:rPr>
                  <m:t>enc</m:t>
                </m:r>
              </m:sub>
            </m:sSub>
            <m:r>
              <m:rPr>
                <m:sty m:val="p"/>
              </m:rPr>
              <m:t>⋅</m:t>
            </m:r>
            <m:d>
              <m:dPr>
                <m:begChr m:val="("/>
                <m:endChr m:val=")"/>
                <m:sepChr m:val=""/>
                <m:grow/>
              </m:dPr>
              <m:e>
                <m:r>
                  <m:t>x</m:t>
                </m:r>
                <m:r>
                  <m:rPr>
                    <m:sty m:val="p"/>
                  </m:rPr>
                  <m:t>−</m:t>
                </m:r>
                <m:sSub>
                  <m:e>
                    <m:r>
                      <m:t>b</m:t>
                    </m:r>
                  </m:e>
                  <m:sub>
                    <m:r>
                      <m:rPr>
                        <m:nor/>
                        <m:sty m:val="p"/>
                      </m:rPr>
                      <m:t>pre</m:t>
                    </m:r>
                  </m:sub>
                </m:sSub>
              </m:e>
            </m:d>
            <m:r>
              <m:rPr>
                <m:sty m:val="p"/>
              </m:rPr>
              <m:t>+</m:t>
            </m:r>
            <m:sSub>
              <m:e>
                <m:r>
                  <m:t>b</m:t>
                </m:r>
              </m:e>
              <m:sub>
                <m:r>
                  <m:rPr>
                    <m:nor/>
                    <m:sty m:val="p"/>
                  </m:rPr>
                  <m:t>enc</m:t>
                </m:r>
              </m:sub>
            </m:sSub>
          </m:e>
        </m:d>
      </m:oMath>
      <w:r>
        <w:t xml:space="preserve">. The top-</w:t>
      </w:r>
      <m:oMath>
        <m:r>
          <m:t>K</m:t>
        </m:r>
      </m:oMath>
      <w:r>
        <w:t xml:space="preserve"> </w:t>
      </w:r>
      <w:r>
        <w:t xml:space="preserve">active features are compared against a registry of known dangerous directions: repetition features, hallucination features, and safety-critical features (deception, sycophancy, bias) identified in Anthropic’s monosemanticity work</w:t>
      </w:r>
      <w:r>
        <w:t xml:space="preserve"> </w:t>
      </w:r>
      <w:r>
        <w:rPr>
          <w:vertAlign w:val="superscript"/>
        </w:rPr>
        <w:footnoteReference w:id="86"/>
      </w:r>
      <w:r>
        <w:t xml:space="preserve">. Second, when a dangerous feature’s activation slope exceeds its learned threshold, the system computes the steering intervention</w:t>
      </w:r>
      <w:r>
        <w:t xml:space="preserve"> </w:t>
      </w:r>
      <m:oMath>
        <m:r>
          <m:t>h</m:t>
        </m:r>
        <m:r>
          <m:rPr>
            <m:sty m:val="p"/>
          </m:rPr>
          <m:t>′</m:t>
        </m:r>
        <m:r>
          <m:rPr>
            <m:sty m:val="p"/>
          </m:rPr>
          <m:t>←</m:t>
        </m:r>
        <m:r>
          <m:t>h</m:t>
        </m:r>
        <m:r>
          <m:rPr>
            <m:sty m:val="p"/>
          </m:rPr>
          <m:t>+</m:t>
        </m:r>
        <m:r>
          <m:t>α</m:t>
        </m:r>
        <m:r>
          <m:t>d</m:t>
        </m:r>
      </m:oMath>
      <w:r>
        <w:t xml:space="preserve"> </w:t>
      </w:r>
      <w:r>
        <w:t xml:space="preserve">to redirect the trajectory. Third, if the claim-level NLI verifier (running concurrently on the CPU) flags a generated claim as unsupported, the constraint engine pauses generation, extracts the claim graph, and invokes the verification pipeline.</w:t>
      </w:r>
    </w:p>
    <w:p>
      <w:pPr>
        <w:pStyle w:val="BodyText"/>
      </w:pPr>
      <w:r>
        <w:t xml:space="preserve">This transforms the constraint engine from a post-hoc validator into a predictive guard. The temporal ordering is critical: SAE activation precedes output generation; claim extraction parses partial output; steering modifies the latent state before the next token is sampled. The resulting closed control loop—monitor</w:t>
      </w:r>
      <w:r>
        <w:t xml:space="preserve"> </w:t>
      </w:r>
      <m:oMath>
        <m:r>
          <m:rPr>
            <m:sty m:val="p"/>
          </m:rPr>
          <m:t>→</m:t>
        </m:r>
      </m:oMath>
      <w:r>
        <w:t xml:space="preserve"> </w:t>
      </w:r>
      <w:r>
        <w:t xml:space="preserve">detect</w:t>
      </w:r>
      <w:r>
        <w:t xml:space="preserve"> </w:t>
      </w:r>
      <m:oMath>
        <m:r>
          <m:rPr>
            <m:sty m:val="p"/>
          </m:rPr>
          <m:t>→</m:t>
        </m:r>
      </m:oMath>
      <w:r>
        <w:t xml:space="preserve"> </w:t>
      </w:r>
      <w:r>
        <w:t xml:space="preserve">steer</w:t>
      </w:r>
      <w:r>
        <w:t xml:space="preserve"> </w:t>
      </w:r>
      <m:oMath>
        <m:r>
          <m:rPr>
            <m:sty m:val="p"/>
          </m:rPr>
          <m:t>→</m:t>
        </m:r>
      </m:oMath>
      <w:r>
        <w:t xml:space="preserve"> </w:t>
      </w:r>
      <w:r>
        <w:t xml:space="preserve">verify—is not present in any individual research paper but emerges from the architectural fusion of independently proven components. Linear probes on SAE features achieve AUC 0.90 with negligible overhead</w:t>
      </w:r>
      <w:r>
        <w:t xml:space="preserve"> </w:t>
      </w:r>
      <w:fldSimple w:instr="NOTEREF _Ref_Footnote_4 \h \f">
        <w:r>
          <w:rPr>
            <w:vertAlign w:val="superscript"/>
          </w:rPr>
          <w:t>4</w:t>
        </w:r>
      </w:fldSimple>
      <w:r>
        <w:t xml:space="preserve">; claim-level NLI verification achieves 94.8% F1</w:t>
      </w:r>
      <w:r>
        <w:t xml:space="preserve"> </w:t>
      </w:r>
      <w:fldSimple w:instr="NOTEREF _Ref_Footnote_23 \h \f">
        <w:r>
          <w:rPr>
            <w:vertAlign w:val="superscript"/>
          </w:rPr>
          <w:t>23</w:t>
        </w:r>
      </w:fldSimple>
      <w:r>
        <w:t xml:space="preserve">; SAE steering reduces hallucination scores by 31.4%</w:t>
      </w:r>
      <w:r>
        <w:t xml:space="preserve"> </w:t>
      </w:r>
      <w:fldSimple w:instr="NOTEREF _Ref_Footnote_25 \h \f">
        <w:r>
          <w:rPr>
            <w:vertAlign w:val="superscript"/>
          </w:rPr>
          <w:t>25</w:t>
        </w:r>
      </w:fldSimple>
      <w:r>
        <w:t xml:space="preserve">. Together, they create a system that watches its own cognition, detects when it is entering a dangerous region of latent space, and intervenes before the failure mode reaches the surface.</w:t>
      </w:r>
    </w:p>
    <w:p>
      <w:pPr>
        <w:pStyle w:val="BodyText"/>
      </w:pPr>
      <w:r>
        <w:t xml:space="preserve">The practical implementation on Apple Silicon exploits hardware parallelism: the ANE runs SAE feature probes while the GPU runs token generation; the CPU runs claim extraction and NLI verification in a batched pipeline. Total end-to-end detection-to-intervention latency is under 5 ms for the fast path (SAE + entropy) and under 20 ms when claim-level verification is required. This latency profile makes the architecture viable for real-time, high-stakes applications where hallucination and repetition are not merely quality issues but safety-critical failure modes.</w:t>
      </w:r>
    </w:p>
    <w:p>
      <w:r>
        <w:pict>
          <v:rect style="width:0;height:1.5pt" o:hralign="center" o:hrstd="t" o:hr="t"/>
        </w:pict>
      </w:r>
    </w:p>
    <w:bookmarkEnd w:id="155"/>
    <w:bookmarkEnd w:id="156"/>
    <w:bookmarkEnd w:id="157"/>
    <w:bookmarkStart w:id="179" w:name="fifteen-cross-dimensional-breakthroughs"/>
    <w:p>
      <w:pPr>
        <w:pStyle w:val="Heading2"/>
      </w:pPr>
      <w:r>
        <w:t xml:space="preserve">10. Fifteen Cross-Dimensional Breakthroughs</w:t>
      </w:r>
    </w:p>
    <w:p>
      <w:pPr>
        <w:pStyle w:val="FirstParagraph"/>
      </w:pPr>
      <w:r>
        <w:t xml:space="preserve">The preceding nine chapters examined each research dimension in isolation: deterministic execution, sparse autoencoder (SAE) interpretability, manifold constraints, memory architectures, executable ontologies, repair loops, Apple Silicon optimization, benchmark intelligence, and hallucination elimination. This chapter does the opposite. The fifteen insights below emerge exclusively from the intersections between dimensions. No single chapter produces them; each becomes visible only when evidence from two or more research areas is overlaid and the gaps between them are bridged.</w:t>
      </w:r>
    </w:p>
    <w:p>
      <w:pPr>
        <w:pStyle w:val="BodyText"/>
      </w:pPr>
      <w:r>
        <w:t xml:space="preserve">The methodological premise is straightforward. If Dimension A proves that X is causally controllable, and Dimension B proves that Y is formally verifiable, then the combination (X + Y) may enable Z — a capability neither dimension alone could produce. The cross-dimensional analysis followed a consistent protocol: identify a proven mechanism in one dimension, identify a complementary mechanism in another, determine whether their temporal ordering or structural coupling creates a closed loop absent from either alone, and assess confidence by whether each component is independently validated and whether their fusion is architecturally sound.</w:t>
      </w:r>
    </w:p>
    <w:p>
      <w:pPr>
        <w:pStyle w:val="BodyText"/>
      </w:pPr>
      <w:r>
        <w:t xml:space="preserve">The fifteen insights are grouped by readiness.</w:t>
      </w:r>
      <w:r>
        <w:t xml:space="preserve"> </w:t>
      </w:r>
      <w:r>
        <w:t xml:space="preserve">“</w:t>
      </w:r>
      <w:r>
        <w:t xml:space="preserve">Buildable Now</w:t>
      </w:r>
      <w:r>
        <w:t xml:space="preserve">”</w:t>
      </w:r>
      <w:r>
        <w:t xml:space="preserve"> </w:t>
      </w:r>
      <w:r>
        <w:t xml:space="preserve">contains five insights whose constituent components are individually proven and whose integration is an engineering problem.</w:t>
      </w:r>
      <w:r>
        <w:t xml:space="preserve"> </w:t>
      </w:r>
      <w:r>
        <w:t xml:space="preserve">“</w:t>
      </w:r>
      <w:r>
        <w:t xml:space="preserve">Requiring Implementation</w:t>
      </w:r>
      <w:r>
        <w:t xml:space="preserve">”</w:t>
      </w:r>
      <w:r>
        <w:t xml:space="preserve"> </w:t>
      </w:r>
      <w:r>
        <w:t xml:space="preserve">contains five insights where one or more components need additional implementation effort.</w:t>
      </w:r>
      <w:r>
        <w:t xml:space="preserve"> </w:t>
      </w:r>
      <w:r>
        <w:t xml:space="preserve">“</w:t>
      </w:r>
      <w:r>
        <w:t xml:space="preserve">Theoretical Foundations</w:t>
      </w:r>
      <w:r>
        <w:t xml:space="preserve">”</w:t>
      </w:r>
      <w:r>
        <w:t xml:space="preserve"> </w:t>
      </w:r>
      <w:r>
        <w:t xml:space="preserve">contains five insights that are conceptually rigorous and serve as principled explanations or strategic positioning rather than immediate build targets.</w:t>
      </w:r>
    </w:p>
    <w:p>
      <w:pPr>
        <w:pStyle w:val="CaptionedFigure"/>
      </w:pPr>
      <w:r>
        <w:drawing>
          <wp:inline>
            <wp:extent cx="5334000" cy="2637184"/>
            <wp:effectExtent b="0" l="0" r="0" t="0"/>
            <wp:docPr descr="Cross-dimensional synthesis depth" title="" id="159" name="Picture"/>
            <a:graphic>
              <a:graphicData uri="http://schemas.openxmlformats.org/drawingml/2006/picture">
                <pic:pic>
                  <pic:nvPicPr>
                    <pic:cNvPr descr="/mnt/agents/output/fig_10_1_cross_dimensional_depth.png" id="160" name="Picture"/>
                    <pic:cNvPicPr>
                      <a:picLocks noChangeArrowheads="1" noChangeAspect="1"/>
                    </pic:cNvPicPr>
                  </pic:nvPicPr>
                  <pic:blipFill>
                    <a:blip r:embed="rId158"/>
                    <a:stretch>
                      <a:fillRect/>
                    </a:stretch>
                  </pic:blipFill>
                  <pic:spPr bwMode="auto">
                    <a:xfrm>
                      <a:off x="0" y="0"/>
                      <a:ext cx="5334000" cy="2637184"/>
                    </a:xfrm>
                    <a:prstGeom prst="rect">
                      <a:avLst/>
                    </a:prstGeom>
                    <a:noFill/>
                    <a:ln w="9525">
                      <a:noFill/>
                      <a:headEnd/>
                      <a:tailEnd/>
                    </a:ln>
                  </pic:spPr>
                </pic:pic>
              </a:graphicData>
            </a:graphic>
          </wp:inline>
        </w:drawing>
      </w:r>
    </w:p>
    <w:p>
      <w:pPr>
        <w:pStyle w:val="ImageCaption"/>
      </w:pPr>
      <w:r>
        <w:t xml:space="preserve">Cross-dimensional synthesis depth</w:t>
      </w:r>
    </w:p>
    <w:p>
      <w:pPr>
        <w:pStyle w:val="BodyText"/>
      </w:pPr>
      <w:r>
        <w:rPr>
          <w:bCs/>
          <w:b/>
        </w:rPr>
        <w:t xml:space="preserve">Figure 10.1</w:t>
      </w:r>
      <w:r>
        <w:t xml:space="preserve"> </w:t>
      </w:r>
      <w:r>
        <w:t xml:space="preserve">Each insight synthesizes between two and seventeen research dimensions. The</w:t>
      </w:r>
      <w:r>
        <w:t xml:space="preserve"> </w:t>
      </w:r>
      <w:r>
        <w:t xml:space="preserve">“</w:t>
      </w:r>
      <w:r>
        <w:t xml:space="preserve">Buildable Now</w:t>
      </w:r>
      <w:r>
        <w:t xml:space="preserve">”</w:t>
      </w:r>
      <w:r>
        <w:t xml:space="preserve"> </w:t>
      </w:r>
      <w:r>
        <w:t xml:space="preserve">insights (1–3, 8, 10) draw from three to four dimensions each. The</w:t>
      </w:r>
      <w:r>
        <w:t xml:space="preserve"> </w:t>
      </w:r>
      <w:r>
        <w:t xml:space="preserve">“</w:t>
      </w:r>
      <w:r>
        <w:t xml:space="preserve">Complete Stack as New Paradigm</w:t>
      </w:r>
      <w:r>
        <w:t xml:space="preserve">”</w:t>
      </w:r>
      <w:r>
        <w:t xml:space="preserve"> </w:t>
      </w:r>
      <w:r>
        <w:t xml:space="preserve">(Insight 15) is the universal synthesis, drawing from all seventeen dimensions.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Insight</w:t>
            </w:r>
          </w:p>
        </w:tc>
        <w:tc>
          <w:tcPr/>
          <w:p>
            <w:pPr>
              <w:pStyle w:val="Compact"/>
              <w:jc w:val="left"/>
            </w:pPr>
            <w:r>
              <w:t xml:space="preserve">Synthesized Dimensions</w:t>
            </w:r>
          </w:p>
        </w:tc>
        <w:tc>
          <w:tcPr/>
          <w:p>
            <w:pPr>
              <w:pStyle w:val="Compact"/>
              <w:jc w:val="left"/>
            </w:pPr>
            <w:r>
              <w:t xml:space="preserve">Cross-Dimensional Mechanism</w:t>
            </w:r>
          </w:p>
        </w:tc>
        <w:tc>
          <w:tcPr/>
          <w:p>
            <w:pPr>
              <w:pStyle w:val="Compact"/>
              <w:jc w:val="left"/>
            </w:pPr>
            <w:r>
              <w:t xml:space="preserve">Confidence</w:t>
            </w:r>
          </w:p>
        </w:tc>
      </w:tr>
      <w:tr>
        <w:tc>
          <w:tcPr/>
          <w:p>
            <w:pPr>
              <w:pStyle w:val="Compact"/>
              <w:jc w:val="left"/>
            </w:pPr>
            <w:r>
              <w:t xml:space="preserve">1</w:t>
            </w:r>
          </w:p>
        </w:tc>
        <w:tc>
          <w:tcPr/>
          <w:p>
            <w:pPr>
              <w:pStyle w:val="Compact"/>
              <w:jc w:val="left"/>
            </w:pPr>
            <w:r>
              <w:t xml:space="preserve">SAE-Constraint Feedback Loop</w:t>
            </w:r>
          </w:p>
        </w:tc>
        <w:tc>
          <w:tcPr/>
          <w:p>
            <w:pPr>
              <w:pStyle w:val="Compact"/>
              <w:jc w:val="left"/>
            </w:pPr>
            <w:r>
              <w:t xml:space="preserve">SAE steering (Dim02) × Claim extraction (Dim04) × Repair loops (Dim08) × Hallucination root-cause (Dim10)</w:t>
            </w:r>
          </w:p>
        </w:tc>
        <w:tc>
          <w:tcPr/>
          <w:p>
            <w:pPr>
              <w:pStyle w:val="Compact"/>
              <w:jc w:val="left"/>
            </w:pPr>
            <w:r>
              <w:t xml:space="preserve">SAE feature trajectories predict constraint violations before token emission</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Proof-Carrying AI Chain</w:t>
            </w:r>
          </w:p>
        </w:tc>
        <w:tc>
          <w:tcPr/>
          <w:p>
            <w:pPr>
              <w:pStyle w:val="Compact"/>
              <w:jc w:val="left"/>
            </w:pPr>
            <w:r>
              <w:t xml:space="preserve">Determinism (Dim01) × Formal verification (Dim06) × Type-safe FFI (Dim12)</w:t>
            </w:r>
          </w:p>
        </w:tc>
        <w:tc>
          <w:tcPr/>
          <w:p>
            <w:pPr>
              <w:pStyle w:val="Compact"/>
              <w:jc w:val="left"/>
            </w:pPr>
            <w:r>
              <w:t xml:space="preserve">Merkle-root attestation of every computation step</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Three-Layer Memory Hierarchy</w:t>
            </w:r>
          </w:p>
        </w:tc>
        <w:tc>
          <w:tcPr/>
          <w:p>
            <w:pPr>
              <w:pStyle w:val="Compact"/>
              <w:jc w:val="left"/>
            </w:pPr>
            <w:r>
              <w:t xml:space="preserve">MLA compression (Dim13) × HDC associative memory (Dim11) × Kuramoto attractor memory (Dim05)</w:t>
            </w:r>
          </w:p>
        </w:tc>
        <w:tc>
          <w:tcPr/>
          <w:p>
            <w:pPr>
              <w:pStyle w:val="Compact"/>
              <w:jc w:val="left"/>
            </w:pPr>
            <w:r>
              <w:t xml:space="preserve">Latency-capacity stacking mirrors biological memory organization</w:t>
            </w:r>
          </w:p>
        </w:tc>
        <w:tc>
          <w:tcPr/>
          <w:p>
            <w:pPr>
              <w:pStyle w:val="Compact"/>
              <w:jc w:val="left"/>
            </w:pPr>
            <w:r>
              <w:t xml:space="preserve">MEDIUM-HIGH</w:t>
            </w:r>
          </w:p>
        </w:tc>
      </w:tr>
      <w:tr>
        <w:tc>
          <w:tcPr/>
          <w:p>
            <w:pPr>
              <w:pStyle w:val="Compact"/>
              <w:jc w:val="left"/>
            </w:pPr>
            <w:r>
              <w:t xml:space="preserve">4</w:t>
            </w:r>
          </w:p>
        </w:tc>
        <w:tc>
          <w:tcPr/>
          <w:p>
            <w:pPr>
              <w:pStyle w:val="Compact"/>
              <w:jc w:val="left"/>
            </w:pPr>
            <w:r>
              <w:t xml:space="preserve">Benchmark-Guided Curriculum RL</w:t>
            </w:r>
          </w:p>
        </w:tc>
        <w:tc>
          <w:tcPr/>
          <w:p>
            <w:pPr>
              <w:pStyle w:val="Compact"/>
              <w:jc w:val="left"/>
            </w:pPr>
            <w:r>
              <w:t xml:space="preserve">Benchmark fingerprinting (Dim09) × GRPO training (Dim13) × Repair convergence (Dim08)</w:t>
            </w:r>
          </w:p>
        </w:tc>
        <w:tc>
          <w:tcPr/>
          <w:p>
            <w:pPr>
              <w:pStyle w:val="Compact"/>
              <w:jc w:val="left"/>
            </w:pPr>
            <w:r>
              <w:t xml:space="preserve">Feature gaps automatically generate training curricula</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Compiler-Constrained SAE Steering</w:t>
            </w:r>
          </w:p>
        </w:tc>
        <w:tc>
          <w:tcPr/>
          <w:p>
            <w:pPr>
              <w:pStyle w:val="Compact"/>
              <w:jc w:val="left"/>
            </w:pPr>
            <w:r>
              <w:t xml:space="preserve">Type-safe compilation (Dim14) × SAE steering (Dim02)</w:t>
            </w:r>
          </w:p>
        </w:tc>
        <w:tc>
          <w:tcPr/>
          <w:p>
            <w:pPr>
              <w:pStyle w:val="Compact"/>
              <w:jc w:val="left"/>
            </w:pPr>
            <w:r>
              <w:t xml:space="preserve">Typed feature directions prevent unsafe interventions</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Free Energy Repair Dynamics</w:t>
            </w:r>
          </w:p>
        </w:tc>
        <w:tc>
          <w:tcPr/>
          <w:p>
            <w:pPr>
              <w:pStyle w:val="Compact"/>
              <w:jc w:val="left"/>
            </w:pPr>
            <w:r>
              <w:t xml:space="preserve">Active Inference (Dim17) × Repair loops (Dim08) × Constraint engine (Dim04)</w:t>
            </w:r>
          </w:p>
        </w:tc>
        <w:tc>
          <w:tcPr/>
          <w:p>
            <w:pPr>
              <w:pStyle w:val="Compact"/>
              <w:jc w:val="left"/>
            </w:pPr>
            <w:r>
              <w:t xml:space="preserve">Repair cycle is variational inference minimizing surprise</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Apple Silicon Determinism Moat</w:t>
            </w:r>
          </w:p>
        </w:tc>
        <w:tc>
          <w:tcPr/>
          <w:p>
            <w:pPr>
              <w:pStyle w:val="Compact"/>
              <w:jc w:val="left"/>
            </w:pPr>
            <w:r>
              <w:t xml:space="preserve">Determinism (Dim01) × Apple Silicon (Dim07) × FFI safety (Dim12)</w:t>
            </w:r>
          </w:p>
        </w:tc>
        <w:tc>
          <w:tcPr/>
          <w:p>
            <w:pPr>
              <w:pStyle w:val="Compact"/>
              <w:jc w:val="left"/>
            </w:pPr>
            <w:r>
              <w:t xml:space="preserve">UMA + Rust + Metal = uniquely deterministic platform</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Hallucination Early Warning</w:t>
            </w:r>
          </w:p>
        </w:tc>
        <w:tc>
          <w:tcPr/>
          <w:p>
            <w:pPr>
              <w:pStyle w:val="Compact"/>
              <w:jc w:val="left"/>
            </w:pPr>
            <w:r>
              <w:t xml:space="preserve">SAE monitoring (Dim02) × Entropy collapse (Dim10) × NLI verification (Dim04) × ANE concurrency (Dim07)</w:t>
            </w:r>
          </w:p>
        </w:tc>
        <w:tc>
          <w:tcPr/>
          <w:p>
            <w:pPr>
              <w:pStyle w:val="Compact"/>
              <w:jc w:val="left"/>
            </w:pPr>
            <w:r>
              <w:t xml:space="preserve">Multi-signal fusion with &lt;5 ms latency</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Physics-Informed GRPO Rewards</w:t>
            </w:r>
          </w:p>
        </w:tc>
        <w:tc>
          <w:tcPr/>
          <w:p>
            <w:pPr>
              <w:pStyle w:val="Compact"/>
              <w:jc w:val="left"/>
            </w:pPr>
            <w:r>
              <w:t xml:space="preserve">Physics surrogates (Dim16) × GRPO (Dim13) × PhysicsReward (Dim04)</w:t>
            </w:r>
          </w:p>
        </w:tc>
        <w:tc>
          <w:tcPr/>
          <w:p>
            <w:pPr>
              <w:pStyle w:val="Compact"/>
              <w:jc w:val="left"/>
            </w:pPr>
            <w:r>
              <w:t xml:space="preserve">FNO surrogates as fast physics checkers within reward function</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Local Deterministic Agent Swarm</w:t>
            </w:r>
          </w:p>
        </w:tc>
        <w:tc>
          <w:tcPr/>
          <w:p>
            <w:pPr>
              <w:pStyle w:val="Compact"/>
              <w:jc w:val="left"/>
            </w:pPr>
            <w:r>
              <w:t xml:space="preserve">Determinism (Dim01) × Local-first OS (Dim15) × Repair (Dim08) × Safe FFI (Dim12)</w:t>
            </w:r>
          </w:p>
        </w:tc>
        <w:tc>
          <w:tcPr/>
          <w:p>
            <w:pPr>
              <w:pStyle w:val="Compact"/>
              <w:jc w:val="left"/>
            </w:pPr>
            <w:r>
              <w:t xml:space="preserve">Reproducible multi-agent collaboration on a single MacBook</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Determinism-Privacy-Locality Triad</w:t>
            </w:r>
          </w:p>
        </w:tc>
        <w:tc>
          <w:tcPr/>
          <w:p>
            <w:pPr>
              <w:pStyle w:val="Compact"/>
              <w:jc w:val="left"/>
            </w:pPr>
            <w:r>
              <w:t xml:space="preserve">Determinism (Dim01) × Apple Silicon (Dim07) × Type safety (Dim14) × Local-first (Dim15)</w:t>
            </w:r>
          </w:p>
        </w:tc>
        <w:tc>
          <w:tcPr/>
          <w:p>
            <w:pPr>
              <w:pStyle w:val="Compact"/>
              <w:jc w:val="left"/>
            </w:pPr>
            <w:r>
              <w:t xml:space="preserve">Structural moat that cloud cannot replicate</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Feature-Directed Model Surgery</w:t>
            </w:r>
          </w:p>
        </w:tc>
        <w:tc>
          <w:tcPr/>
          <w:p>
            <w:pPr>
              <w:pStyle w:val="Compact"/>
              <w:jc w:val="left"/>
            </w:pPr>
            <w:r>
              <w:t xml:space="preserve">SAE identification (Dim02) × Manifold constraints (Dim03) × GRPO/TransMLA (Dim13)</w:t>
            </w:r>
          </w:p>
        </w:tc>
        <w:tc>
          <w:tcPr/>
          <w:p>
            <w:pPr>
              <w:pStyle w:val="Compact"/>
              <w:jc w:val="left"/>
            </w:pPr>
            <w:r>
              <w:t xml:space="preserve">Interpretability-guided targeted fine-tuning</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Ontological Compile Target</w:t>
            </w:r>
          </w:p>
        </w:tc>
        <w:tc>
          <w:tcPr/>
          <w:p>
            <w:pPr>
              <w:pStyle w:val="Compact"/>
              <w:jc w:val="left"/>
            </w:pPr>
            <w:r>
              <w:t xml:space="preserve">Ontologies (Dim04) × Type system (Dim14) × Physics-informed NNs (Dim16)</w:t>
            </w:r>
          </w:p>
        </w:tc>
        <w:tc>
          <w:tcPr/>
          <w:p>
            <w:pPr>
              <w:pStyle w:val="Compact"/>
              <w:jc w:val="left"/>
            </w:pPr>
            <w:r>
              <w:t xml:space="preserve">One specification compiles to both software and neural constraints</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Temporal Feature Drift Detection</w:t>
            </w:r>
          </w:p>
        </w:tc>
        <w:tc>
          <w:tcPr/>
          <w:p>
            <w:pPr>
              <w:pStyle w:val="Compact"/>
              <w:jc w:val="left"/>
            </w:pPr>
            <w:r>
              <w:t xml:space="preserve">SAE monitoring (Dim02) × Feature-performance correlation (Dim09) × Temporal encoding (Dim05)</w:t>
            </w:r>
          </w:p>
        </w:tc>
        <w:tc>
          <w:tcPr/>
          <w:p>
            <w:pPr>
              <w:pStyle w:val="Compact"/>
              <w:jc w:val="left"/>
            </w:pPr>
            <w:r>
              <w:t xml:space="preserve">Predictive maintenance for AI models</w:t>
            </w:r>
          </w:p>
        </w:tc>
        <w:tc>
          <w:tcPr/>
          <w:p>
            <w:pPr>
              <w:pStyle w:val="Compact"/>
              <w:jc w:val="left"/>
            </w:pPr>
            <w:r>
              <w:t xml:space="preserve">MEDIUM-HIGH</w:t>
            </w:r>
          </w:p>
        </w:tc>
      </w:tr>
      <w:tr>
        <w:tc>
          <w:tcPr/>
          <w:p>
            <w:pPr>
              <w:pStyle w:val="Compact"/>
              <w:jc w:val="left"/>
            </w:pPr>
            <w:r>
              <w:t xml:space="preserve">15</w:t>
            </w:r>
          </w:p>
        </w:tc>
        <w:tc>
          <w:tcPr/>
          <w:p>
            <w:pPr>
              <w:pStyle w:val="Compact"/>
              <w:jc w:val="left"/>
            </w:pPr>
            <w:r>
              <w:t xml:space="preserve">Complete Stack as New Paradigm</w:t>
            </w:r>
          </w:p>
        </w:tc>
        <w:tc>
          <w:tcPr/>
          <w:p>
            <w:pPr>
              <w:pStyle w:val="Compact"/>
              <w:jc w:val="left"/>
            </w:pPr>
            <w:r>
              <w:t xml:space="preserve">All 17 dimensions</w:t>
            </w:r>
          </w:p>
        </w:tc>
        <w:tc>
          <w:tcPr/>
          <w:p>
            <w:pPr>
              <w:pStyle w:val="Compact"/>
              <w:jc w:val="left"/>
            </w:pPr>
            <w:r>
              <w:t xml:space="preserve">Systematic integration creates emergent self-monitoring, self-improving, self-proving properties</w:t>
            </w:r>
          </w:p>
        </w:tc>
        <w:tc>
          <w:tcPr/>
          <w:p>
            <w:pPr>
              <w:pStyle w:val="Compact"/>
              <w:jc w:val="left"/>
            </w:pPr>
            <w:r>
              <w:t xml:space="preserve">HIGH</w:t>
            </w:r>
          </w:p>
        </w:tc>
      </w:tr>
    </w:tbl>
    <w:p>
      <w:pPr>
        <w:pStyle w:val="BodyText"/>
      </w:pPr>
      <w:r>
        <w:rPr>
          <w:iCs/>
          <w:i/>
        </w:rPr>
        <w:t xml:space="preserve">Table 10.1: The fifteen cross-dimensional insights, their originating dimensions, the mechanism that emerges only from their combination, and assessed confidence.</w:t>
      </w:r>
    </w:p>
    <w:bookmarkStart w:id="166" w:name="buildable-now-high-confidence"/>
    <w:p>
      <w:pPr>
        <w:pStyle w:val="Heading3"/>
      </w:pPr>
      <w:r>
        <w:t xml:space="preserve">10.1 Buildable Now (High Confidence)</w:t>
      </w:r>
    </w:p>
    <w:p>
      <w:pPr>
        <w:pStyle w:val="FirstParagraph"/>
      </w:pPr>
      <w:r>
        <w:t xml:space="preserve">The five insights in this category share a common property: every mechanism they combine has been empirically validated, and the integration path requires only engineering effort.</w:t>
      </w:r>
    </w:p>
    <w:bookmarkStart w:id="161" w:name="Xdb8e52641433ebd5300411353165554034daefd"/>
    <w:p>
      <w:pPr>
        <w:pStyle w:val="Heading4"/>
      </w:pPr>
      <w:r>
        <w:t xml:space="preserve">10.1.1 Insight 1 — SAE-Constraint Feedback Loop: Real-Time Pre-Emptive Violation Detection</w:t>
      </w:r>
    </w:p>
    <w:p>
      <w:pPr>
        <w:pStyle w:val="FirstParagraph"/>
      </w:pPr>
      <w:r>
        <w:t xml:space="preserve">The SAE-Constraint Feedback Loop transforms the ontological constraint engine from a post-hoc validator into a predictive guard. The insight emerges from four independently proven phenomena. Qwen-Scope establishes that SAE features are causally controllable via</w:t>
      </w:r>
      <w:r>
        <w:t xml:space="preserve"> </w:t>
      </w:r>
      <m:oMath>
        <m:r>
          <m:t>h</m:t>
        </m:r>
        <m:r>
          <m:rPr>
            <m:sty m:val="p"/>
          </m:rPr>
          <m:t>′</m:t>
        </m:r>
        <m:r>
          <m:rPr>
            <m:sty m:val="p"/>
          </m:rPr>
          <m:t>←</m:t>
        </m:r>
        <m:r>
          <m:t>h</m:t>
        </m:r>
        <m:r>
          <m:rPr>
            <m:sty m:val="p"/>
          </m:rPr>
          <m:t>+</m:t>
        </m:r>
        <m:r>
          <m:t>α</m:t>
        </m:r>
        <m:r>
          <m:t>d</m:t>
        </m:r>
      </m:oMath>
      <w:r>
        <w:t xml:space="preserve">, with Cohen’s d = 1.01 effect sizes confirmed by amplification and suppression experiments</w:t>
      </w:r>
      <w:r>
        <w:t xml:space="preserve"> </w:t>
      </w:r>
      <w:fldSimple w:instr="NOTEREF _Ref_Footnote_3 \h \f">
        <w:r>
          <w:rPr>
            <w:vertAlign w:val="superscript"/>
          </w:rPr>
          <w:t>3</w:t>
        </w:r>
      </w:fldSimple>
      <w:r>
        <w:t xml:space="preserve"> </w:t>
      </w:r>
      <w:fldSimple w:instr="NOTEREF _Ref_Footnote_56 \h \f">
        <w:r>
          <w:rPr>
            <w:vertAlign w:val="superscript"/>
          </w:rPr>
          <w:t>56</w:t>
        </w:r>
      </w:fldSimple>
      <w:r>
        <w:t xml:space="preserve">. XGrammar 2 demonstrates claim-graph extraction at 30–80 µs per token</w:t>
      </w:r>
      <w:r>
        <w:t xml:space="preserve"> </w:t>
      </w:r>
      <w:fldSimple w:instr="NOTEREF _Ref_Footnote_13 \h \f">
        <w:r>
          <w:rPr>
            <w:vertAlign w:val="superscript"/>
          </w:rPr>
          <w:t>13</w:t>
        </w:r>
      </w:fldSimple>
      <w:r>
        <w:t xml:space="preserve">. The Self-Correction Blind Spot literature shows intrinsic self-correction fails 64.5% of the time, while tool-augmented repair converges reliably</w:t>
      </w:r>
      <w:r>
        <w:t xml:space="preserve"> </w:t>
      </w:r>
      <w:fldSimple w:instr="NOTEREF _Ref_Footnote_4 \h \f">
        <w:r>
          <w:rPr>
            <w:vertAlign w:val="superscript"/>
          </w:rPr>
          <w:t>4</w:t>
        </w:r>
      </w:fldSimple>
      <w:r>
        <w:t xml:space="preserve">. And Qwen-Scope’s repetition feature spikes sharply at the exact onset of textual loops</w:t>
      </w:r>
      <w:r>
        <w:t xml:space="preserve"> </w:t>
      </w:r>
      <w:fldSimple w:instr="NOTEREF _Ref_Footnote_3 \h \f">
        <w:r>
          <w:rPr>
            <w:vertAlign w:val="superscript"/>
          </w:rPr>
          <w:t>3</w:t>
        </w:r>
      </w:fldSimple>
      <w:r>
        <w:t xml:space="preserve">.</w:t>
      </w:r>
    </w:p>
    <w:p>
      <w:pPr>
        <w:pStyle w:val="BodyText"/>
      </w:pPr>
      <w:r>
        <w:t xml:space="preserve">The fusion is a closed control loop. During generation, SAE feature activation trajectories are monitored in real time. When repetition features rise, hallucination features activate, or attention entropy collapses toward zero</w:t>
      </w:r>
      <w:r>
        <w:t xml:space="preserve"> </w:t>
      </w:r>
      <w:fldSimple w:instr="NOTEREF _Ref_Footnote_7 \h \f">
        <w:r>
          <w:rPr>
            <w:vertAlign w:val="superscript"/>
          </w:rPr>
          <w:t>7</w:t>
        </w:r>
      </w:fldSimple>
      <w:r>
        <w:t xml:space="preserve">, the system detects that the model is entering a dangerous region of latent space. Instead of waiting for the bad output to complete, the loop either steers the residual stream away (</w:t>
      </w:r>
      <m:oMath>
        <m:r>
          <m:t>α</m:t>
        </m:r>
        <m:r>
          <m:rPr>
            <m:sty m:val="p"/>
          </m:rPr>
          <m:t>&lt;</m:t>
        </m:r>
        <m:r>
          <m:t>0</m:t>
        </m:r>
      </m:oMath>
      <w:r>
        <w:t xml:space="preserve"> </w:t>
      </w:r>
      <w:r>
        <w:t xml:space="preserve">along the dangerous direction) or pauses generation to invoke claim-level constraint validation on the partial output. This pre-emptive intervention exploits the temporal ordering of neural computation: latent features precede tokens by at least one forward pass, creating a window no post-hoc filter can access.</w:t>
      </w:r>
    </w:p>
    <w:p>
      <w:pPr>
        <w:pStyle w:val="BodyText"/>
      </w:pPr>
      <w:r>
        <w:t xml:space="preserve">The engineering path is direct. Switch SAEs reduce encoder FLOPs by 128× via expert routing, making real-time monitoring feasible below 0.5 ms</w:t>
      </w:r>
      <w:r>
        <w:t xml:space="preserve"> </w:t>
      </w:r>
      <w:fldSimple w:instr="NOTEREF _Ref_Footnote_28 \h \f">
        <w:r>
          <w:rPr>
            <w:vertAlign w:val="superscript"/>
          </w:rPr>
          <w:t>28</w:t>
        </w:r>
      </w:fldSimple>
      <w:r>
        <w:t xml:space="preserve">. The ANE runs SAE probes concurrently with GPU generation</w:t>
      </w:r>
      <w:r>
        <w:t xml:space="preserve"> </w:t>
      </w:r>
      <w:fldSimple w:instr="NOTEREF _Ref_Footnote_6 \h \f">
        <w:r>
          <w:rPr>
            <w:vertAlign w:val="superscript"/>
          </w:rPr>
          <w:t>6</w:t>
        </w:r>
      </w:fldSimple>
      <w:r>
        <w:t xml:space="preserve"> </w:t>
      </w:r>
      <w:fldSimple w:instr="NOTEREF _Ref_Footnote_50 \h \f">
        <w:r>
          <w:rPr>
            <w:vertAlign w:val="superscript"/>
          </w:rPr>
          <w:t>50</w:t>
        </w:r>
      </w:fldSimple>
      <w:r>
        <w:t xml:space="preserve">. The steering intervention itself costs one fused multiply-add per token per monitored layer — negligible compared to attention computation.</w:t>
      </w:r>
    </w:p>
    <w:bookmarkEnd w:id="161"/>
    <w:bookmarkStart w:id="162" w:name="X74295d10262fe3be58ef89f5061f67194fff843"/>
    <w:p>
      <w:pPr>
        <w:pStyle w:val="Heading4"/>
      </w:pPr>
      <w:r>
        <w:t xml:space="preserve">10.1.2 Insight 2 — Proof-Carrying AI Chain: Cryptographic Attestation of Every Response</w:t>
      </w:r>
    </w:p>
    <w:p>
      <w:pPr>
        <w:pStyle w:val="FirstParagraph"/>
      </w:pPr>
      <w:r>
        <w:t xml:space="preserve">Deterministic execution produces byte-identical replays. Formal verification tools (Kani, Creusot, Lean) prove properties of Rust code</w:t>
      </w:r>
      <w:r>
        <w:t xml:space="preserve"> </w:t>
      </w:r>
      <w:fldSimple w:instr="NOTEREF _Ref_Footnote_70 \h \f">
        <w:r>
          <w:rPr>
            <w:vertAlign w:val="superscript"/>
          </w:rPr>
          <w:t>70</w:t>
        </w:r>
      </w:fldSimple>
      <w:r>
        <w:t xml:space="preserve">. UniFFI + Rust ownership + Swift 6 concurrency creates memory-safe boundaries with ~50–100 ns call overhead</w:t>
      </w:r>
      <w:r>
        <w:t xml:space="preserve"> </w:t>
      </w:r>
      <w:fldSimple w:instr="NOTEREF _Ref_Footnote_16 \h \f">
        <w:r>
          <w:rPr>
            <w:vertAlign w:val="superscript"/>
          </w:rPr>
          <w:t>16</w:t>
        </w:r>
      </w:fldSimple>
      <w:r>
        <w:t xml:space="preserve"> </w:t>
      </w:r>
      <w:fldSimple w:instr="NOTEREF _Ref_Footnote_23 \h \f">
        <w:r>
          <w:rPr>
            <w:vertAlign w:val="superscript"/>
          </w:rPr>
          <w:t>23</w:t>
        </w:r>
      </w:fldSimple>
      <w:r>
        <w:t xml:space="preserve">. The fusion is a</w:t>
      </w:r>
      <w:r>
        <w:t xml:space="preserve"> </w:t>
      </w:r>
      <w:r>
        <w:t xml:space="preserve">“</w:t>
      </w:r>
      <w:r>
        <w:t xml:space="preserve">Proof-Carrying Response</w:t>
      </w:r>
      <w:r>
        <w:t xml:space="preserve">”</w:t>
      </w:r>
      <w:r>
        <w:t xml:space="preserve"> </w:t>
      </w:r>
      <w:r>
        <w:t xml:space="preserve">protocol where every AI response carries a verifiable Merkle root of its entire computational provenance.</w:t>
      </w:r>
    </w:p>
    <w:p>
      <w:pPr>
        <w:pStyle w:val="BodyText"/>
      </w:pPr>
      <w:r>
        <w:t xml:space="preserve">The chain operates as follows. The model generates output within the deterministic Rex runtime; the runtime hashes its internal state after each token. Claim graph extraction produces structured claims; each claim is hashed. The constraint engine validates claims and hashes the validation result. Repair steps, if any, are logged and hashed. The final response includes a Merkle root committing to the model weights hash, the prompt hash, the seed, the constraint validation result, and the repair trace. A verifier can replay the exact computation: load model hash</w:t>
      </w:r>
      <w:r>
        <w:t xml:space="preserve"> </w:t>
      </w:r>
      <m:oMath>
        <m:r>
          <m:t>X</m:t>
        </m:r>
      </m:oMath>
      <w:r>
        <w:t xml:space="preserve">, seed</w:t>
      </w:r>
      <w:r>
        <w:t xml:space="preserve"> </w:t>
      </w:r>
      <m:oMath>
        <m:r>
          <m:t>W</m:t>
        </m:r>
      </m:oMath>
      <w:r>
        <w:t xml:space="preserve">, prompt hash</w:t>
      </w:r>
      <w:r>
        <w:t xml:space="preserve"> </w:t>
      </w:r>
      <m:oMath>
        <m:r>
          <m:t>Y</m:t>
        </m:r>
      </m:oMath>
      <w:r>
        <w:t xml:space="preserve">, and confirm that constraint result</w:t>
      </w:r>
      <w:r>
        <w:t xml:space="preserve"> </w:t>
      </w:r>
      <m:oMath>
        <m:r>
          <m:t>Z</m:t>
        </m:r>
      </m:oMath>
      <w:r>
        <w:t xml:space="preserve"> </w:t>
      </w:r>
      <w:r>
        <w:t xml:space="preserve">is reproduced.</w:t>
      </w:r>
    </w:p>
    <w:p>
      <w:pPr>
        <w:pStyle w:val="BodyText"/>
      </w:pPr>
      <w:r>
        <w:t xml:space="preserve">This is cryptographic attestation, not merely logging. The determinism substrate makes replay possible; the formal verification layer ensures the Rust code executing replay is proven correct for bounded properties; the type-safe FFI ensures no memory corruption or data race can corrupt the attestation chain during cross-language boundary crossing. For scientific, legal, and financial applications where provenance is mandatory, this chain transforms an AI response from opinion into evidence.</w:t>
      </w:r>
    </w:p>
    <w:bookmarkEnd w:id="162"/>
    <w:bookmarkStart w:id="163" w:name="Xf2b228edfc3f88981ab4c80b2522f1efa640187"/>
    <w:p>
      <w:pPr>
        <w:pStyle w:val="Heading4"/>
      </w:pPr>
      <w:r>
        <w:t xml:space="preserve">10.1.3 Insight 3 — Three-Layer Memory Hierarchy: Biological Memory on Silicon</w:t>
      </w:r>
    </w:p>
    <w:p>
      <w:pPr>
        <w:pStyle w:val="FirstParagraph"/>
      </w:pPr>
      <w:r>
        <w:t xml:space="preserve">Local AI needs three distinct memory layers because each occupies a different position in the latency-capacity tradeoff space. MLA compresses the KV cache by 90%+ via low-rank latent attention, providing constant-size working memory with sub-millisecond latency</w:t>
      </w:r>
      <w:r>
        <w:t xml:space="preserve"> </w:t>
      </w:r>
      <w:fldSimple w:instr="NOTEREF _Ref_Footnote_20 \h \f">
        <w:r>
          <w:rPr>
            <w:vertAlign w:val="superscript"/>
          </w:rPr>
          <w:t>20</w:t>
        </w:r>
      </w:fldSimple>
      <w:r>
        <w:t xml:space="preserve">. HDC hypervectors provide linear-scaling associative memory (~20 items per 1000 dimensions) with ~10 µs query latency and inherent noise tolerance</w:t>
      </w:r>
      <w:r>
        <w:t xml:space="preserve"> </w:t>
      </w:r>
      <w:fldSimple w:instr="NOTEREF _Ref_Footnote_58 \h \f">
        <w:r>
          <w:rPr>
            <w:vertAlign w:val="superscript"/>
          </w:rPr>
          <w:t>58</w:t>
        </w:r>
      </w:fldSimple>
      <w:r>
        <w:t xml:space="preserve">. Kuramoto networks on honeycomb topologies achieve exponential capacity</w:t>
      </w:r>
      <w:r>
        <w:t xml:space="preserve"> </w:t>
      </w:r>
      <m:oMath>
        <m:sSub>
          <m:e>
            <m:r>
              <m:t>C</m:t>
            </m:r>
          </m:e>
          <m:sub>
            <m:r>
              <m:rPr>
                <m:nor/>
                <m:sty m:val="p"/>
              </m:rPr>
              <m:t>honeycomb</m:t>
            </m:r>
          </m:sub>
        </m:sSub>
        <m:r>
          <m:rPr>
            <m:sty m:val="p"/>
          </m:rPr>
          <m:t>=</m:t>
        </m:r>
        <m:sSup>
          <m:e>
            <m:d>
              <m:dPr>
                <m:begChr m:val="("/>
                <m:endChr m:val=")"/>
                <m:sepChr m:val=""/>
                <m:grow/>
              </m:dPr>
              <m:e>
                <m:r>
                  <m:t>2</m:t>
                </m:r>
                <m:r>
                  <m:rPr>
                    <m:sty m:val="p"/>
                  </m:rPr>
                  <m:t>⌈</m:t>
                </m:r>
                <m:sSub>
                  <m:e>
                    <m:r>
                      <m:t>n</m:t>
                    </m:r>
                  </m:e>
                  <m:sub>
                    <m:r>
                      <m:t>c</m:t>
                    </m:r>
                  </m:sub>
                </m:sSub>
                <m:r>
                  <m:rPr>
                    <m:sty m:val="p"/>
                  </m:rPr>
                  <m:t>/</m:t>
                </m:r>
                <m:r>
                  <m:t>4</m:t>
                </m:r>
                <m:r>
                  <m:rPr>
                    <m:sty m:val="p"/>
                  </m:rPr>
                  <m:t>⌉</m:t>
                </m:r>
                <m:r>
                  <m:rPr>
                    <m:sty m:val="p"/>
                  </m:rPr>
                  <m:t>−</m:t>
                </m:r>
                <m:r>
                  <m:t>1</m:t>
                </m:r>
              </m:e>
            </m:d>
          </m:e>
          <m:sup>
            <m:r>
              <m:t>m</m:t>
            </m:r>
          </m:sup>
        </m:sSup>
      </m:oMath>
      <w:r>
        <w:t xml:space="preserve"> </w:t>
      </w:r>
      <w:r>
        <w:t xml:space="preserve">with millisecond-scale retrieval</w:t>
      </w:r>
      <w:r>
        <w:t xml:space="preserve"> </w:t>
      </w:r>
      <w:fldSimple w:instr="NOTEREF _Ref_Footnote_17 \h \f">
        <w:r>
          <w:rPr>
            <w:vertAlign w:val="superscript"/>
          </w:rPr>
          <w:t>17</w:t>
        </w:r>
      </w:fldSimple>
      <w:r>
        <w:t xml:space="preserve">.</w:t>
      </w:r>
    </w:p>
    <w:p>
      <w:pPr>
        <w:pStyle w:val="BodyText"/>
      </w:pPr>
      <w:r>
        <w:t xml:space="preserve">The stacking mirrors biological organization: working memory (MLA) for the current conversation, hippocampal-like associative indexing (HDC) for knowledge graph facts, and cortical-like deep consolidation (Kuramoto) for persistent user patterns. The architectural flow is uni-directional: incoming tokens encode into the MLA cache; at session boundaries, salient patterns bundle into HDC hypervectors; over longer horizons, frequently retrieved HDC patterns consolidate into Kuramoto attractor basins. All three layers have existing implementations: MLA is production-ready in DeepSeek-V3 and retrofittable via TransMLA</w:t>
      </w:r>
      <w:r>
        <w:t xml:space="preserve"> </w:t>
      </w:r>
      <w:fldSimple w:instr="NOTEREF _Ref_Footnote_21 \h \f">
        <w:r>
          <w:rPr>
            <w:vertAlign w:val="superscript"/>
          </w:rPr>
          <w:t>21</w:t>
        </w:r>
      </w:fldSimple>
      <w:r>
        <w:t xml:space="preserve">; HDC libraries exist in Rust and Python with FPGA implementations achieving 1300× CPU speedup; Kuramoto simulation is GPU-parallelizable via strategies achieving ~33× over naive CPU</w:t>
      </w:r>
      <w:r>
        <w:t xml:space="preserve"> </w:t>
      </w:r>
      <w:fldSimple w:instr="NOTEREF _Ref_Footnote_54 \h \f">
        <w:r>
          <w:rPr>
            <w:vertAlign w:val="superscript"/>
          </w:rPr>
          <w:t>54</w:t>
        </w:r>
      </w:fldSimple>
      <w:r>
        <w:t xml:space="preserve">, with Metal porting as an engineering task.</w:t>
      </w:r>
    </w:p>
    <w:bookmarkEnd w:id="163"/>
    <w:bookmarkStart w:id="164" w:name="X730261e2339ebcbed2b29fbbfbb2ed101fb00c0"/>
    <w:p>
      <w:pPr>
        <w:pStyle w:val="Heading4"/>
      </w:pPr>
      <w:r>
        <w:t xml:space="preserve">10.1.4 Insight 8 — Hallucination Early Warning: Multi-Signal Fusion with &lt;5 ms Latency</w:t>
      </w:r>
    </w:p>
    <w:p>
      <w:pPr>
        <w:pStyle w:val="FirstParagraph"/>
      </w:pPr>
      <w:r>
        <w:t xml:space="preserve">The Hallucination Early Warning system fuses four independent detection signals into a unified risk score with sub-5-millisecond latency. Signal 1 is SAE feature slope monitoring on the ANE (~0.5 ms), where linear probes achieve AUC 0.90</w:t>
      </w:r>
      <w:r>
        <w:t xml:space="preserve"> </w:t>
      </w:r>
      <w:fldSimple w:instr="NOTEREF _Ref_Footnote_4 \h \f">
        <w:r>
          <w:rPr>
            <w:vertAlign w:val="superscript"/>
          </w:rPr>
          <w:t>4</w:t>
        </w:r>
      </w:fldSimple>
      <w:r>
        <w:t xml:space="preserve">. Signal 2 is attention entropy trajectory analysis via GPU shader (~0.1 ms); Theorem 5.1 establishes that attention entropy</w:t>
      </w:r>
      <w:r>
        <w:t xml:space="preserve"> </w:t>
      </w:r>
      <m:oMath>
        <m:r>
          <m:t>H</m:t>
        </m:r>
        <m:d>
          <m:dPr>
            <m:begChr m:val="("/>
            <m:endChr m:val=")"/>
            <m:sepChr m:val=""/>
            <m:grow/>
          </m:dPr>
          <m:e>
            <m:r>
              <m:t>p</m:t>
            </m:r>
          </m:e>
        </m:d>
      </m:oMath>
      <w:r>
        <w:t xml:space="preserve"> </w:t>
      </w:r>
      <w:r>
        <w:t xml:space="preserve">collapses as logit variance increases, creating a detectable</w:t>
      </w:r>
      <w:r>
        <w:t xml:space="preserve"> </w:t>
      </w:r>
      <w:r>
        <w:t xml:space="preserve">“</w:t>
      </w:r>
      <w:r>
        <w:t xml:space="preserve">rigidity event</w:t>
      </w:r>
      <w:r>
        <w:t xml:space="preserve">”</w:t>
      </w:r>
      <w:r>
        <w:t xml:space="preserve"> </w:t>
      </w:r>
      <w:r>
        <w:t xml:space="preserve">before textual manifestation</w:t>
      </w:r>
      <w:r>
        <w:t xml:space="preserve"> </w:t>
      </w:r>
      <w:fldSimple w:instr="NOTEREF _Ref_Footnote_7 \h \f">
        <w:r>
          <w:rPr>
            <w:vertAlign w:val="superscript"/>
          </w:rPr>
          <w:t>7</w:t>
        </w:r>
      </w:fldSimple>
      <w:r>
        <w:t xml:space="preserve">. Signal 3 is token entropy anomaly detection on the GPU (~0.1 ms). Signal 4 is claim-level NLI on the CPU (~2 ms, batched), scoring entailment probability</w:t>
      </w:r>
      <w:r>
        <w:t xml:space="preserve"> </w:t>
      </w:r>
      <m:oMath>
        <m:r>
          <m:t>P</m:t>
        </m:r>
        <m:d>
          <m:dPr>
            <m:begChr m:val="("/>
            <m:endChr m:val=")"/>
            <m:sepChr m:val=""/>
            <m:grow/>
          </m:dPr>
          <m:e>
            <m:r>
              <m:rPr>
                <m:nor/>
                <m:sty m:val="p"/>
              </m:rPr>
              <m:t>entail</m:t>
            </m:r>
            <m:r>
              <m:rPr>
                <m:sty m:val="p"/>
              </m:rPr>
              <m:t>∣</m:t>
            </m:r>
            <m:r>
              <m:rPr>
                <m:nor/>
                <m:sty m:val="p"/>
              </m:rPr>
              <m:t>claim</m:t>
            </m:r>
            <m:r>
              <m:rPr>
                <m:sty m:val="p"/>
              </m:rPr>
              <m:t>,</m:t>
            </m:r>
            <m:r>
              <m:rPr>
                <m:nor/>
                <m:sty m:val="p"/>
              </m:rPr>
              <m:t>context</m:t>
            </m:r>
          </m:e>
        </m:d>
      </m:oMath>
      <w:r>
        <w:t xml:space="preserve"> </w:t>
      </w:r>
      <w:fldSimple w:instr="NOTEREF _Ref_Footnote_8 \h \f">
        <w:r>
          <w:rPr>
            <w:vertAlign w:val="superscript"/>
          </w:rPr>
          <w:t>8</w:t>
        </w:r>
      </w:fldSimple>
      <w:r>
        <w:t xml:space="preserve">.</w:t>
      </w:r>
    </w:p>
    <w:p>
      <w:pPr>
        <w:pStyle w:val="BodyText"/>
      </w:pPr>
      <w:r>
        <w:t xml:space="preserve">The fusion logic is a weighted combination learned on annotated failure cases. When the fused score exceeds a domain-adaptive threshold, the system triggers steering intervention (</w:t>
      </w:r>
      <m:oMath>
        <m:r>
          <m:t>h</m:t>
        </m:r>
        <m:r>
          <m:rPr>
            <m:sty m:val="p"/>
          </m:rPr>
          <m:t>′</m:t>
        </m:r>
        <m:r>
          <m:rPr>
            <m:sty m:val="p"/>
          </m:rPr>
          <m:t>←</m:t>
        </m:r>
        <m:r>
          <m:t>h</m:t>
        </m:r>
        <m:r>
          <m:rPr>
            <m:sty m:val="p"/>
          </m:rPr>
          <m:t>+</m:t>
        </m:r>
        <m:r>
          <m:t>α</m:t>
        </m:r>
        <m:r>
          <m:t>d</m:t>
        </m:r>
      </m:oMath>
      <w:r>
        <w:t xml:space="preserve"> </w:t>
      </w:r>
      <w:r>
        <w:t xml:space="preserve">with</w:t>
      </w:r>
      <w:r>
        <w:t xml:space="preserve"> </w:t>
      </w:r>
      <m:oMath>
        <m:r>
          <m:t>α</m:t>
        </m:r>
        <m:r>
          <m:rPr>
            <m:sty m:val="p"/>
          </m:rPr>
          <m:t>&lt;</m:t>
        </m:r>
        <m:r>
          <m:t>0</m:t>
        </m:r>
      </m:oMath>
      <w:r>
        <w:t xml:space="preserve">) or pauses generation for constraint validation. SAVE confirms that early layers respond best to small magnitudes (</w:t>
      </w:r>
      <m:oMath>
        <m:r>
          <m:t>α</m:t>
        </m:r>
        <m:r>
          <m:rPr>
            <m:sty m:val="p"/>
          </m:rPr>
          <m:t>=</m:t>
        </m:r>
        <m:r>
          <m:t>3</m:t>
        </m:r>
      </m:oMath>
      <w:r>
        <w:t xml:space="preserve">), mid-layers to moderate strengths (</w:t>
      </w:r>
      <m:oMath>
        <m:r>
          <m:t>α</m:t>
        </m:r>
        <m:r>
          <m:rPr>
            <m:sty m:val="p"/>
          </m:rPr>
          <m:t>∈</m:t>
        </m:r>
        <m:r>
          <m:rPr>
            <m:sty m:val="p"/>
          </m:rPr>
          <m:t>{</m:t>
        </m:r>
        <m:r>
          <m:t>3</m:t>
        </m:r>
        <m:r>
          <m:rPr>
            <m:sty m:val="p"/>
          </m:rPr>
          <m:t>,</m:t>
        </m:r>
        <m:r>
          <m:t>5</m:t>
        </m:r>
        <m:r>
          <m:rPr>
            <m:sty m:val="p"/>
          </m:rPr>
          <m:t>}</m:t>
        </m:r>
      </m:oMath>
      <w:r>
        <w:t xml:space="preserve">), and deep layers to stronger intervention (</w:t>
      </w:r>
      <m:oMath>
        <m:r>
          <m:t>α</m:t>
        </m:r>
        <m:r>
          <m:rPr>
            <m:sty m:val="p"/>
          </m:rPr>
          <m:t>∈</m:t>
        </m:r>
        <m:r>
          <m:rPr>
            <m:sty m:val="p"/>
          </m:rPr>
          <m:t>{</m:t>
        </m:r>
        <m:r>
          <m:t>5</m:t>
        </m:r>
        <m:r>
          <m:rPr>
            <m:sty m:val="p"/>
          </m:rPr>
          <m:t>,</m:t>
        </m:r>
        <m:r>
          <m:t>10</m:t>
        </m:r>
        <m:r>
          <m:rPr>
            <m:sty m:val="p"/>
          </m:rPr>
          <m:t>,</m:t>
        </m:r>
        <m:r>
          <m:t>15</m:t>
        </m:r>
        <m:r>
          <m:rPr>
            <m:sty m:val="p"/>
          </m:rPr>
          <m:t>}</m:t>
        </m:r>
      </m:oMath>
      <w:r>
        <w:t xml:space="preserve">)</w:t>
      </w:r>
      <w:r>
        <w:t xml:space="preserve"> </w:t>
      </w:r>
      <w:fldSimple w:instr="NOTEREF _Ref_Footnote_25 \h \f">
        <w:r>
          <w:rPr>
            <w:vertAlign w:val="superscript"/>
          </w:rPr>
          <w:t>25</w:t>
        </w:r>
      </w:fldSimple>
      <w:r>
        <w:t xml:space="preserve">. The &lt;5 ms budget is feasible because ANE and GPU execute concurrently: the ANE runs SAE probes while the GPU generates the next token, adding no critical-path latency.</w:t>
      </w:r>
    </w:p>
    <w:bookmarkEnd w:id="164"/>
    <w:bookmarkStart w:id="165" w:name="X4749fff96bdd15f8f7e589010989e74ee41c291"/>
    <w:p>
      <w:pPr>
        <w:pStyle w:val="Heading4"/>
      </w:pPr>
      <w:r>
        <w:t xml:space="preserve">10.1.5 Insight 10 — Local Deterministic Agent Swarm: Sovereign Multi-Agent Collaboration</w:t>
      </w:r>
    </w:p>
    <w:p>
      <w:pPr>
        <w:pStyle w:val="FirstParagraph"/>
      </w:pPr>
      <w:r>
        <w:t xml:space="preserve">A deterministic runtime + local-first cognitive operating system + repair loops + safe FFI enables reproducible multi-agent collaboration on a single MacBook. On an M4 Max with 128 GB unified memory, 8+ specialized agents run concurrently. Each agent’s execution is deterministic: seeded RNG, fixed scheduler, byte-identical replay. Agent interactions are logged in a Merkle DAG. CRDTs synchronize agent state without conflicts, eliminating the need for a central coordinator</w:t>
      </w:r>
      <w:r>
        <w:t xml:space="preserve"> </w:t>
      </w:r>
      <w:fldSimple w:instr="NOTEREF _Ref_Footnote_23 \h \f">
        <w:r>
          <w:rPr>
            <w:vertAlign w:val="superscript"/>
          </w:rPr>
          <w:t>23</w:t>
        </w:r>
      </w:fldSimple>
      <w:r>
        <w:t xml:space="preserve">. The repair loop operates both within and across agents: when one agent’s output is consumed by another, the consumer validates the producer’s claims before incorporation.</w:t>
      </w:r>
    </w:p>
    <w:p>
      <w:pPr>
        <w:pStyle w:val="BodyText"/>
      </w:pPr>
      <w:r>
        <w:t xml:space="preserve">Swift 6’s actor isolation prevents data races at the language level; Rust’s ownership system prevents them at compile time; UniFFI bridges the two with ~50–100 ns overhead</w:t>
      </w:r>
      <w:r>
        <w:t xml:space="preserve"> </w:t>
      </w:r>
      <w:fldSimple w:instr="NOTEREF _Ref_Footnote_16 \h \f">
        <w:r>
          <w:rPr>
            <w:vertAlign w:val="superscript"/>
          </w:rPr>
          <w:t>16</w:t>
        </w:r>
      </w:fldSimple>
      <w:r>
        <w:t xml:space="preserve"> </w:t>
      </w:r>
      <w:fldSimple w:instr="NOTEREF _Ref_Footnote_23 \h \f">
        <w:r>
          <w:rPr>
            <w:vertAlign w:val="superscript"/>
          </w:rPr>
          <w:t>23</w:t>
        </w:r>
      </w:fldSimple>
      <w:r>
        <w:t xml:space="preserve">. The result is a sovereign AI cluster — no cloud, no API keys, no data leakage, no multi-tenant scheduling variance. The M4 Max’s 546 GB/s unified memory bandwidth sustains multiple 7B-parameter models in parallel, and the M3 Ultra’s 512 GB pool expands this to ensembles that would require distributed GPU clusters in cloud settings</w:t>
      </w:r>
      <w:r>
        <w:t xml:space="preserve"> </w:t>
      </w:r>
      <w:fldSimple w:instr="NOTEREF _Ref_Footnote_20 \h \f">
        <w:r>
          <w:rPr>
            <w:vertAlign w:val="superscript"/>
          </w:rPr>
          <w:t>20</w:t>
        </w:r>
      </w:fldSimple>
      <w:r>
        <w:t xml:space="preserve"> </w:t>
      </w:r>
      <w:fldSimple w:instr="NOTEREF _Ref_Footnote_24 \h \f">
        <w:r>
          <w:rPr>
            <w:vertAlign w:val="superscript"/>
          </w:rPr>
          <w:t>24</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Insight</w:t>
            </w:r>
          </w:p>
        </w:tc>
        <w:tc>
          <w:tcPr/>
          <w:p>
            <w:pPr>
              <w:pStyle w:val="Compact"/>
              <w:jc w:val="left"/>
            </w:pPr>
            <w:r>
              <w:t xml:space="preserve">Proven Components</w:t>
            </w:r>
          </w:p>
        </w:tc>
        <w:tc>
          <w:tcPr/>
          <w:p>
            <w:pPr>
              <w:pStyle w:val="Compact"/>
              <w:jc w:val="left"/>
            </w:pPr>
            <w:r>
              <w:t xml:space="preserve">Integration Path</w:t>
            </w:r>
          </w:p>
        </w:tc>
        <w:tc>
          <w:tcPr/>
          <w:p>
            <w:pPr>
              <w:pStyle w:val="Compact"/>
              <w:jc w:val="left"/>
            </w:pPr>
            <w:r>
              <w:t xml:space="preserve">Target Latency / Performance</w:t>
            </w:r>
          </w:p>
        </w:tc>
        <w:tc>
          <w:tcPr/>
          <w:p>
            <w:pPr>
              <w:pStyle w:val="Compact"/>
              <w:jc w:val="left"/>
            </w:pPr>
            <w:r>
              <w:t xml:space="preserve">Primary Blocker</w:t>
            </w:r>
          </w:p>
        </w:tc>
      </w:tr>
      <w:tr>
        <w:tc>
          <w:tcPr/>
          <w:p>
            <w:pPr>
              <w:pStyle w:val="Compact"/>
              <w:jc w:val="left"/>
            </w:pPr>
            <w:r>
              <w:t xml:space="preserve">1. SAE-Constraint Feedback Loop</w:t>
            </w:r>
          </w:p>
        </w:tc>
        <w:tc>
          <w:tcPr/>
          <w:p>
            <w:pPr>
              <w:pStyle w:val="Compact"/>
              <w:jc w:val="left"/>
            </w:pPr>
            <w:r>
              <w:t xml:space="preserve">SAE steering</w:t>
            </w:r>
            <w:r>
              <w:t xml:space="preserve"> </w:t>
            </w:r>
            <w:fldSimple w:instr="NOTEREF _Ref_Footnote_3 \h \f">
              <w:r>
                <w:rPr>
                  <w:vertAlign w:val="superscript"/>
                </w:rPr>
                <w:t>3</w:t>
              </w:r>
            </w:fldSimple>
            <w:r>
              <w:t xml:space="preserve">, claim extraction</w:t>
            </w:r>
            <w:r>
              <w:t xml:space="preserve"> </w:t>
            </w:r>
            <w:fldSimple w:instr="NOTEREF _Ref_Footnote_13 \h \f">
              <w:r>
                <w:rPr>
                  <w:vertAlign w:val="superscript"/>
                </w:rPr>
                <w:t>13</w:t>
              </w:r>
            </w:fldSimple>
            <w:r>
              <w:t xml:space="preserve">, repair convergence</w:t>
            </w:r>
            <w:r>
              <w:t xml:space="preserve"> </w:t>
            </w:r>
            <w:fldSimple w:instr="NOTEREF _Ref_Footnote_4 \h \f">
              <w:r>
                <w:rPr>
                  <w:vertAlign w:val="superscript"/>
                </w:rPr>
                <w:t>4</w:t>
              </w:r>
            </w:fldSimple>
          </w:p>
        </w:tc>
        <w:tc>
          <w:tcPr/>
          <w:p>
            <w:pPr>
              <w:pStyle w:val="Compact"/>
              <w:jc w:val="left"/>
            </w:pPr>
            <w:r>
              <w:t xml:space="preserve">Hook SAE monitor into generation loop; route to constraint engine on threshold breach</w:t>
            </w:r>
          </w:p>
        </w:tc>
        <w:tc>
          <w:tcPr/>
          <w:p>
            <w:pPr>
              <w:pStyle w:val="Compact"/>
              <w:jc w:val="left"/>
            </w:pPr>
            <w:r>
              <w:t xml:space="preserve">&lt;1 ms detection-to-intervention</w:t>
            </w:r>
          </w:p>
        </w:tc>
        <w:tc>
          <w:tcPr/>
          <w:p>
            <w:pPr>
              <w:pStyle w:val="Compact"/>
              <w:jc w:val="left"/>
            </w:pPr>
            <w:r>
              <w:t xml:space="preserve">ANE scheduling opacity for SAE dispatch</w:t>
            </w:r>
          </w:p>
        </w:tc>
      </w:tr>
      <w:tr>
        <w:tc>
          <w:tcPr/>
          <w:p>
            <w:pPr>
              <w:pStyle w:val="Compact"/>
              <w:jc w:val="left"/>
            </w:pPr>
            <w:r>
              <w:t xml:space="preserve">2. Proof-Carrying AI Chain</w:t>
            </w:r>
          </w:p>
        </w:tc>
        <w:tc>
          <w:tcPr/>
          <w:p>
            <w:pPr>
              <w:pStyle w:val="Compact"/>
              <w:jc w:val="left"/>
            </w:pPr>
            <w:r>
              <w:t xml:space="preserve">Deterministic replay</w:t>
            </w:r>
            <w:r>
              <w:t xml:space="preserve"> </w:t>
            </w:r>
            <w:fldSimple w:instr="NOTEREF _Ref_Footnote_15 \h \f">
              <w:r>
                <w:rPr>
                  <w:vertAlign w:val="superscript"/>
                </w:rPr>
                <w:t>15</w:t>
              </w:r>
            </w:fldSimple>
            <w:r>
              <w:t xml:space="preserve">, formal verification</w:t>
            </w:r>
            <w:r>
              <w:t xml:space="preserve"> </w:t>
            </w:r>
            <w:fldSimple w:instr="NOTEREF _Ref_Footnote_70 \h \f">
              <w:r>
                <w:rPr>
                  <w:vertAlign w:val="superscript"/>
                </w:rPr>
                <w:t>70</w:t>
              </w:r>
            </w:fldSimple>
            <w:r>
              <w:t xml:space="preserve">, UniFFI</w:t>
            </w:r>
            <w:r>
              <w:t xml:space="preserve"> </w:t>
            </w:r>
            <w:fldSimple w:instr="NOTEREF _Ref_Footnote_16 \h \f">
              <w:r>
                <w:rPr>
                  <w:vertAlign w:val="superscript"/>
                </w:rPr>
                <w:t>16</w:t>
              </w:r>
            </w:fldSimple>
          </w:p>
        </w:tc>
        <w:tc>
          <w:tcPr/>
          <w:p>
            <w:pPr>
              <w:pStyle w:val="Compact"/>
              <w:jc w:val="left"/>
            </w:pPr>
            <w:r>
              <w:t xml:space="preserve">Hash every RunEvent; compute Merkle root; append to response metadata</w:t>
            </w:r>
          </w:p>
        </w:tc>
        <w:tc>
          <w:tcPr/>
          <w:p>
            <w:pPr>
              <w:pStyle w:val="Compact"/>
              <w:jc w:val="left"/>
            </w:pPr>
            <w:r>
              <w:t xml:space="preserve">~10 µs hashing overhead per token</w:t>
            </w:r>
          </w:p>
        </w:tc>
        <w:tc>
          <w:tcPr/>
          <w:p>
            <w:pPr>
              <w:pStyle w:val="Compact"/>
              <w:jc w:val="left"/>
            </w:pPr>
            <w:r>
              <w:t xml:space="preserve">Merkle standardization for verifier ecosystem</w:t>
            </w:r>
          </w:p>
        </w:tc>
      </w:tr>
      <w:tr>
        <w:tc>
          <w:tcPr/>
          <w:p>
            <w:pPr>
              <w:pStyle w:val="Compact"/>
              <w:jc w:val="left"/>
            </w:pPr>
            <w:r>
              <w:t xml:space="preserve">3. Three-Layer Memory Hierarchy</w:t>
            </w:r>
          </w:p>
        </w:tc>
        <w:tc>
          <w:tcPr/>
          <w:p>
            <w:pPr>
              <w:pStyle w:val="Compact"/>
              <w:jc w:val="left"/>
            </w:pPr>
            <w:r>
              <w:t xml:space="preserve">MLA</w:t>
            </w:r>
            <w:r>
              <w:t xml:space="preserve"> </w:t>
            </w:r>
            <w:fldSimple w:instr="NOTEREF _Ref_Footnote_20 \h \f">
              <w:r>
                <w:rPr>
                  <w:vertAlign w:val="superscript"/>
                </w:rPr>
                <w:t>20</w:t>
              </w:r>
            </w:fldSimple>
            <w:r>
              <w:t xml:space="preserve">, HDC</w:t>
            </w:r>
            <w:r>
              <w:t xml:space="preserve"> </w:t>
            </w:r>
            <w:fldSimple w:instr="NOTEREF _Ref_Footnote_58 \h \f">
              <w:r>
                <w:rPr>
                  <w:vertAlign w:val="superscript"/>
                </w:rPr>
                <w:t>58</w:t>
              </w:r>
            </w:fldSimple>
            <w:r>
              <w:t xml:space="preserve">, Kuramoto</w:t>
            </w:r>
            <w:r>
              <w:t xml:space="preserve"> </w:t>
            </w:r>
            <w:fldSimple w:instr="NOTEREF _Ref_Footnote_17 \h \f">
              <w:r>
                <w:rPr>
                  <w:vertAlign w:val="superscript"/>
                </w:rPr>
                <w:t>17</w:t>
              </w:r>
            </w:fldSimple>
          </w:p>
        </w:tc>
        <w:tc>
          <w:tcPr/>
          <w:p>
            <w:pPr>
              <w:pStyle w:val="Compact"/>
              <w:jc w:val="left"/>
            </w:pPr>
            <w:r>
              <w:t xml:space="preserve">Stack with defined promotion/demotion policies between layers</w:t>
            </w:r>
          </w:p>
        </w:tc>
        <w:tc>
          <w:tcPr/>
          <w:p>
            <w:pPr>
              <w:pStyle w:val="Compact"/>
              <w:jc w:val="left"/>
            </w:pPr>
            <w:r>
              <w:t xml:space="preserve">L1: &lt;1 ms; L2: ~10 µs; L3: ~1 ms</w:t>
            </w:r>
          </w:p>
        </w:tc>
        <w:tc>
          <w:tcPr/>
          <w:p>
            <w:pPr>
              <w:pStyle w:val="Compact"/>
              <w:jc w:val="left"/>
            </w:pPr>
            <w:r>
              <w:t xml:space="preserve">Kuramoto Metal kernel port from CUDA</w:t>
            </w:r>
          </w:p>
        </w:tc>
      </w:tr>
      <w:tr>
        <w:tc>
          <w:tcPr/>
          <w:p>
            <w:pPr>
              <w:pStyle w:val="Compact"/>
              <w:jc w:val="left"/>
            </w:pPr>
            <w:r>
              <w:t xml:space="preserve">8. Hallucination Early Warning</w:t>
            </w:r>
          </w:p>
        </w:tc>
        <w:tc>
          <w:tcPr/>
          <w:p>
            <w:pPr>
              <w:pStyle w:val="Compact"/>
              <w:jc w:val="left"/>
            </w:pPr>
            <w:r>
              <w:t xml:space="preserve">SAE probes</w:t>
            </w:r>
            <w:r>
              <w:t xml:space="preserve"> </w:t>
            </w:r>
            <w:fldSimple w:instr="NOTEREF _Ref_Footnote_4 \h \f">
              <w:r>
                <w:rPr>
                  <w:vertAlign w:val="superscript"/>
                </w:rPr>
                <w:t>4</w:t>
              </w:r>
            </w:fldSimple>
            <w:r>
              <w:t xml:space="preserve">, entropy collapse</w:t>
            </w:r>
            <w:r>
              <w:t xml:space="preserve"> </w:t>
            </w:r>
            <w:fldSimple w:instr="NOTEREF _Ref_Footnote_7 \h \f">
              <w:r>
                <w:rPr>
                  <w:vertAlign w:val="superscript"/>
                </w:rPr>
                <w:t>7</w:t>
              </w:r>
            </w:fldSimple>
            <w:r>
              <w:t xml:space="preserve">, NLI</w:t>
            </w:r>
            <w:r>
              <w:t xml:space="preserve"> </w:t>
            </w:r>
            <w:fldSimple w:instr="NOTEREF _Ref_Footnote_8 \h \f">
              <w:r>
                <w:rPr>
                  <w:vertAlign w:val="superscript"/>
                </w:rPr>
                <w:t>8</w:t>
              </w:r>
            </w:fldSimple>
            <w:r>
              <w:t xml:space="preserve">, ANE</w:t>
            </w:r>
            <w:r>
              <w:t xml:space="preserve"> </w:t>
            </w:r>
            <w:fldSimple w:instr="NOTEREF _Ref_Footnote_6 \h \f">
              <w:r>
                <w:rPr>
                  <w:vertAlign w:val="superscript"/>
                </w:rPr>
                <w:t>6</w:t>
              </w:r>
            </w:fldSimple>
          </w:p>
        </w:tc>
        <w:tc>
          <w:tcPr/>
          <w:p>
            <w:pPr>
              <w:pStyle w:val="Compact"/>
              <w:jc w:val="left"/>
            </w:pPr>
            <w:r>
              <w:t xml:space="preserve">Weighted fusion layer with per-domain calibrated thresholds</w:t>
            </w:r>
          </w:p>
        </w:tc>
        <w:tc>
          <w:tcPr/>
          <w:p>
            <w:pPr>
              <w:pStyle w:val="Compact"/>
              <w:jc w:val="left"/>
            </w:pPr>
            <w:r>
              <w:t xml:space="preserve">&lt;5 ms fused score</w:t>
            </w:r>
          </w:p>
        </w:tc>
        <w:tc>
          <w:tcPr/>
          <w:p>
            <w:pPr>
              <w:pStyle w:val="Compact"/>
              <w:jc w:val="left"/>
            </w:pPr>
            <w:r>
              <w:t xml:space="preserve">Multi-signal training data for fusion weights</w:t>
            </w:r>
          </w:p>
        </w:tc>
      </w:tr>
      <w:tr>
        <w:tc>
          <w:tcPr/>
          <w:p>
            <w:pPr>
              <w:pStyle w:val="Compact"/>
              <w:jc w:val="left"/>
            </w:pPr>
            <w:r>
              <w:t xml:space="preserve">10. Local Agent Swarm</w:t>
            </w:r>
          </w:p>
        </w:tc>
        <w:tc>
          <w:tcPr/>
          <w:p>
            <w:pPr>
              <w:pStyle w:val="Compact"/>
              <w:jc w:val="left"/>
            </w:pPr>
            <w:r>
              <w:t xml:space="preserve">Determinism</w:t>
            </w:r>
            <w:r>
              <w:t xml:space="preserve"> </w:t>
            </w:r>
            <w:fldSimple w:instr="NOTEREF _Ref_Footnote_36 \h \f">
              <w:r>
                <w:rPr>
                  <w:vertAlign w:val="superscript"/>
                </w:rPr>
                <w:t>36</w:t>
              </w:r>
            </w:fldSimple>
            <w:r>
              <w:t xml:space="preserve">, CRDTs</w:t>
            </w:r>
            <w:r>
              <w:t xml:space="preserve"> </w:t>
            </w:r>
            <w:fldSimple w:instr="NOTEREF _Ref_Footnote_23 \h \f">
              <w:r>
                <w:rPr>
                  <w:vertAlign w:val="superscript"/>
                </w:rPr>
                <w:t>23</w:t>
              </w:r>
            </w:fldSimple>
            <w:r>
              <w:t xml:space="preserve">, repair loops</w:t>
            </w:r>
            <w:r>
              <w:t xml:space="preserve"> </w:t>
            </w:r>
            <w:fldSimple w:instr="NOTEREF _Ref_Footnote_27 \h \f">
              <w:r>
                <w:rPr>
                  <w:vertAlign w:val="superscript"/>
                </w:rPr>
                <w:t>27</w:t>
              </w:r>
            </w:fldSimple>
            <w:r>
              <w:t xml:space="preserve">, UniFFI</w:t>
            </w:r>
            <w:r>
              <w:t xml:space="preserve"> </w:t>
            </w:r>
            <w:fldSimple w:instr="NOTEREF _Ref_Footnote_16 \h \f">
              <w:r>
                <w:rPr>
                  <w:vertAlign w:val="superscript"/>
                </w:rPr>
                <w:t>16</w:t>
              </w:r>
            </w:fldSimple>
          </w:p>
        </w:tc>
        <w:tc>
          <w:tcPr/>
          <w:p>
            <w:pPr>
              <w:pStyle w:val="Compact"/>
              <w:jc w:val="left"/>
            </w:pPr>
            <w:r>
              <w:t xml:space="preserve">Agent runtime with Merkle logging + CRDT state sync</w:t>
            </w:r>
          </w:p>
        </w:tc>
        <w:tc>
          <w:tcPr/>
          <w:p>
            <w:pPr>
              <w:pStyle w:val="Compact"/>
              <w:jc w:val="left"/>
            </w:pPr>
            <w:r>
              <w:t xml:space="preserve">8+ agents on M4 Max 128 GB</w:t>
            </w:r>
          </w:p>
        </w:tc>
        <w:tc>
          <w:tcPr/>
          <w:p>
            <w:pPr>
              <w:pStyle w:val="Compact"/>
              <w:jc w:val="left"/>
            </w:pPr>
            <w:r>
              <w:t xml:space="preserve">Agent role ontology and interaction protocol</w:t>
            </w:r>
          </w:p>
        </w:tc>
      </w:tr>
    </w:tbl>
    <w:p>
      <w:pPr>
        <w:pStyle w:val="BodyText"/>
      </w:pPr>
      <w:r>
        <w:rPr>
          <w:iCs/>
          <w:i/>
        </w:rPr>
        <w:t xml:space="preserve">Table 10.2: Technical readiness assessment for the Buildable Now insights. All components are independently validated; blockers are engineering rather than research obstacles.</w:t>
      </w:r>
    </w:p>
    <w:bookmarkEnd w:id="165"/>
    <w:bookmarkEnd w:id="166"/>
    <w:bookmarkStart w:id="172" w:name="X3c4f909c5cb4fe88c6529c8761748f73db9d9f7"/>
    <w:p>
      <w:pPr>
        <w:pStyle w:val="Heading3"/>
      </w:pPr>
      <w:r>
        <w:t xml:space="preserve">10.2 Requiring Implementation (Medium Confidence)</w:t>
      </w:r>
    </w:p>
    <w:p>
      <w:pPr>
        <w:pStyle w:val="FirstParagraph"/>
      </w:pPr>
      <w:r>
        <w:t xml:space="preserve">The five insights in this category have architecturally sound fusion designs and proven individual components, but one or more integration steps require implementation effort not yet completed.</w:t>
      </w:r>
    </w:p>
    <w:bookmarkStart w:id="167" w:name="X03209d14c9d5fdd1dc59f29a9c36a3745265071"/>
    <w:p>
      <w:pPr>
        <w:pStyle w:val="Heading4"/>
      </w:pPr>
      <w:r>
        <w:t xml:space="preserve">10.2.1 Insight 4 — Benchmark-Guided Curriculum RL: Feature-Level Training Automation</w:t>
      </w:r>
    </w:p>
    <w:p>
      <w:pPr>
        <w:pStyle w:val="FirstParagraph"/>
      </w:pPr>
      <w:r>
        <w:t xml:space="preserve">SAE benchmark fingerprinting can automatically generate targeted training curricula for GRPO, creating a closed evaluation-training loop. The insight fuses Qwen-Scope’s feature overlap analysis (Spearman</w:t>
      </w:r>
      <w:r>
        <w:t xml:space="preserve"> </w:t>
      </w:r>
      <m:oMath>
        <m:r>
          <m:t>ρ</m:t>
        </m:r>
        <m:r>
          <m:rPr>
            <m:sty m:val="p"/>
          </m:rPr>
          <m:t>≈</m:t>
        </m:r>
        <m:r>
          <m:t>0.85</m:t>
        </m:r>
      </m:oMath>
      <w:r>
        <w:t xml:space="preserve"> </w:t>
      </w:r>
      <w:fldSimple w:instr="NOTEREF _Ref_Footnote_3 \h \f">
        <w:r>
          <w:rPr>
            <w:vertAlign w:val="superscript"/>
          </w:rPr>
          <w:t>3</w:t>
        </w:r>
      </w:fldSimple>
      <w:r>
        <w:t xml:space="preserve">), GRPO’s efficient RL without a critic model (~50% memory reduction</w:t>
      </w:r>
      <w:r>
        <w:t xml:space="preserve"> </w:t>
      </w:r>
      <w:fldSimple w:instr="NOTEREF _Ref_Footnote_12 \h \f">
        <w:r>
          <w:rPr>
            <w:vertAlign w:val="superscript"/>
          </w:rPr>
          <w:t>12</w:t>
        </w:r>
      </w:fldSimple>
      <w:r>
        <w:t xml:space="preserve">), and repair loop convergence patterns (1–3 iterations typical</w:t>
      </w:r>
      <w:r>
        <w:t xml:space="preserve"> </w:t>
      </w:r>
      <w:fldSimple w:instr="NOTEREF _Ref_Footnote_27 \h \f">
        <w:r>
          <w:rPr>
            <w:vertAlign w:val="superscript"/>
          </w:rPr>
          <w:t>27</w:t>
        </w:r>
      </w:fldSimple>
      <w:r>
        <w:t xml:space="preserve">).</w:t>
      </w:r>
    </w:p>
    <w:p>
      <w:pPr>
        <w:pStyle w:val="BodyText"/>
      </w:pPr>
      <w:r>
        <w:t xml:space="preserve">The fusion operates at the representation level. Standard curriculum design organizes by subject (mathematics, coding). Feature-guided design asks: which latent feature directions are underdeveloped? The procedure is: (1) profile the model on SAE feature space across all benchmarks; (2) identify feature gaps — benchmarks with low feature coverage; (3) use FAC Synthesis (150× fewer samples needed</w:t>
      </w:r>
      <w:r>
        <w:t xml:space="preserve"> </w:t>
      </w:r>
      <w:fldSimple w:instr="NOTEREF _Ref_Footnote_3 \h \f">
        <w:r>
          <w:rPr>
            <w:vertAlign w:val="superscript"/>
          </w:rPr>
          <w:t>3</w:t>
        </w:r>
      </w:fldSimple>
      <w:r>
        <w:t xml:space="preserve">) to generate targeted synthetic data; (4) train with GRPO using rule-based rewards; (5) re-evaluate with SAE fingerprinting to close the loop.</w:t>
      </w:r>
    </w:p>
    <w:p>
      <w:pPr>
        <w:pStyle w:val="BodyText"/>
      </w:pPr>
      <w:r>
        <w:t xml:space="preserve">A model underperforming on MATH may lack competition-math features distinct from elementary-math features (GSM8K ⊂ MATH at only 63% overlap</w:t>
      </w:r>
      <w:r>
        <w:t xml:space="preserve"> </w:t>
      </w:r>
      <w:fldSimple w:instr="NOTEREF _Ref_Footnote_3 \h \f">
        <w:r>
          <w:rPr>
            <w:vertAlign w:val="superscript"/>
          </w:rPr>
          <w:t>3</w:t>
        </w:r>
      </w:fldSimple>
      <w:r>
        <w:t xml:space="preserve">). Feature-guided synthesis targets the missing 37% directly. The implementation gap is building the automated pipeline from feature gap detection to FAC Synthesis invocation to GRPO training launch.</w:t>
      </w:r>
    </w:p>
    <w:bookmarkEnd w:id="167"/>
    <w:bookmarkStart w:id="168" w:name="X875512699c7a237a7b6b0e1e18f3ae422c68b99"/>
    <w:p>
      <w:pPr>
        <w:pStyle w:val="Heading4"/>
      </w:pPr>
      <w:r>
        <w:t xml:space="preserve">10.2.2 Insight 5 — Compiler-Constrained SAE Steering: Type-Safe Feature Direction Enforcement</w:t>
      </w:r>
    </w:p>
    <w:p>
      <w:pPr>
        <w:pStyle w:val="FirstParagraph"/>
      </w:pPr>
      <w:r>
        <w:t xml:space="preserve">SAE steering is powerful but unsafe: a steering vector can push the model into untested regions of latent space. Compiler-Constrained SAE Steering adds a type system to feature directions. The insight fuses Rust const generics, which enforce dimensional analysis at compile time with zero runtime cost</w:t>
      </w:r>
      <w:r>
        <w:t xml:space="preserve"> </w:t>
      </w:r>
      <w:fldSimple w:instr="NOTEREF _Ref_Footnote_70 \h \f">
        <w:r>
          <w:rPr>
            <w:vertAlign w:val="superscript"/>
          </w:rPr>
          <w:t>70</w:t>
        </w:r>
      </w:fldSimple>
      <w:r>
        <w:t xml:space="preserve">, with SAE steering via</w:t>
      </w:r>
      <w:r>
        <w:t xml:space="preserve"> </w:t>
      </w:r>
      <m:oMath>
        <m:r>
          <m:t>h</m:t>
        </m:r>
        <m:r>
          <m:rPr>
            <m:sty m:val="p"/>
          </m:rPr>
          <m:t>′</m:t>
        </m:r>
        <m:r>
          <m:rPr>
            <m:sty m:val="p"/>
          </m:rPr>
          <m:t>←</m:t>
        </m:r>
        <m:r>
          <m:t>h</m:t>
        </m:r>
        <m:r>
          <m:rPr>
            <m:sty m:val="p"/>
          </m:rPr>
          <m:t>+</m:t>
        </m:r>
        <m:r>
          <m:t>α</m:t>
        </m:r>
        <m:r>
          <m:t>d</m:t>
        </m:r>
      </m:oMath>
      <w:r>
        <w:t xml:space="preserve"> </w:t>
      </w:r>
      <w:fldSimple w:instr="NOTEREF _Ref_Footnote_56 \h \f">
        <w:r>
          <w:rPr>
            <w:vertAlign w:val="superscript"/>
          </w:rPr>
          <w:t>56</w:t>
        </w:r>
      </w:fldSimple>
      <w:r>
        <w:t xml:space="preserve">.</w:t>
      </w:r>
    </w:p>
    <w:p>
      <w:pPr>
        <w:pStyle w:val="BodyText"/>
      </w:pPr>
      <w:r>
        <w:t xml:space="preserve">The fusion assigns an ontological type to each SAE feature direction:</w:t>
      </w:r>
      <w:r>
        <w:t xml:space="preserve"> </w:t>
      </w:r>
      <w:r>
        <w:t xml:space="preserve">“</w:t>
      </w:r>
      <w:r>
        <w:t xml:space="preserve">this direction affects physical quantities,</w:t>
      </w:r>
      <w:r>
        <w:t xml:space="preserve">”</w:t>
      </w:r>
      <w:r>
        <w:t xml:space="preserve"> </w:t>
      </w:r>
      <w:r>
        <w:t xml:space="preserve">“</w:t>
      </w:r>
      <w:r>
        <w:t xml:space="preserve">this direction affects temporal reasoning,</w:t>
      </w:r>
      <w:r>
        <w:t xml:space="preserve">”</w:t>
      </w:r>
      <w:r>
        <w:t xml:space="preserve"> </w:t>
      </w:r>
      <w:r>
        <w:t xml:space="preserve">“</w:t>
      </w:r>
      <w:r>
        <w:t xml:space="preserve">this direction is safety-critical.</w:t>
      </w:r>
      <w:r>
        <w:t xml:space="preserve">”</w:t>
      </w:r>
      <w:r>
        <w:t xml:space="preserve"> </w:t>
      </w:r>
      <w:r>
        <w:t xml:space="preserve">Steering vectors are then constrained by type compatibility — a physics query can only be steered by features typed as</w:t>
      </w:r>
      <w:r>
        <w:t xml:space="preserve"> </w:t>
      </w:r>
      <w:r>
        <w:rPr>
          <w:rStyle w:val="VerbatimChar"/>
        </w:rPr>
        <w:t xml:space="preserve">PhysicsProfile</w:t>
      </w:r>
      <w:r>
        <w:t xml:space="preserve">. The implementation requires feature typing, which is not yet automated. Current SAE features are labeled manually or via automated interpretability producing natural-language descriptions. The additional step — compiling these descriptions into ontological types and enforcing them at the steering API boundary — is the missing piece.</w:t>
      </w:r>
    </w:p>
    <w:bookmarkEnd w:id="168"/>
    <w:bookmarkStart w:id="169" w:name="X258306bc1fc0fde867dadbbd5e27fc5f5c87a73"/>
    <w:p>
      <w:pPr>
        <w:pStyle w:val="Heading4"/>
      </w:pPr>
      <w:r>
        <w:t xml:space="preserve">10.2.3 Insight 9 — Physics-Informed GRPO Rewards: Differentiable Physics-Aware RL</w:t>
      </w:r>
    </w:p>
    <w:p>
      <w:pPr>
        <w:pStyle w:val="FirstParagraph"/>
      </w:pPr>
      <w:r>
        <w:t xml:space="preserve">Fourier Neural Operators (FNO) can serve as ultra-fast physics surrogates within GRPO’s reward function. The insight fuses FNO (~440× speedup over pseudo-spectral PDE solvers</w:t>
      </w:r>
      <w:r>
        <w:t xml:space="preserve"> </w:t>
      </w:r>
      <w:fldSimple w:instr="NOTEREF _Ref_Footnote_17 \h \f">
        <w:r>
          <w:rPr>
            <w:vertAlign w:val="superscript"/>
          </w:rPr>
          <w:t>17</w:t>
        </w:r>
      </w:fldSimple>
      <w:r>
        <w:t xml:space="preserve">), GRPO without critic model</w:t>
      </w:r>
      <w:r>
        <w:t xml:space="preserve"> </w:t>
      </w:r>
      <w:fldSimple w:instr="NOTEREF _Ref_Footnote_12 \h \f">
        <w:r>
          <w:rPr>
            <w:vertAlign w:val="superscript"/>
          </w:rPr>
          <w:t>12</w:t>
        </w:r>
      </w:fldSimple>
      <w:r>
        <w:t xml:space="preserve">, and the PhysicsReward function with</w:t>
      </w:r>
      <w:r>
        <w:t xml:space="preserve"> </w:t>
      </w:r>
      <w:r>
        <w:rPr>
          <w:rStyle w:val="VerbatimChar"/>
        </w:rPr>
        <w:t xml:space="preserve">physical_consistency</w:t>
      </w:r>
      <w:r>
        <w:t xml:space="preserve"> </w:t>
      </w:r>
      <w:r>
        <w:t xml:space="preserve">and</w:t>
      </w:r>
      <w:r>
        <w:t xml:space="preserve"> </w:t>
      </w:r>
      <w:r>
        <w:rPr>
          <w:rStyle w:val="VerbatimChar"/>
        </w:rPr>
        <w:t xml:space="preserve">unit_consistency</w:t>
      </w:r>
      <w:r>
        <w:t xml:space="preserve"> </w:t>
      </w:r>
      <w:r>
        <w:t xml:space="preserve">components</w:t>
      </w:r>
      <w:r>
        <w:t xml:space="preserve"> </w:t>
      </w:r>
      <w:fldSimple w:instr="NOTEREF _Ref_Footnote_13 \h \f">
        <w:r>
          <w:rPr>
            <w:vertAlign w:val="superscript"/>
          </w:rPr>
          <w:t>13</w:t>
        </w:r>
      </w:fldSimple>
      <w:r>
        <w:t xml:space="preserve">.</w:t>
      </w:r>
    </w:p>
    <w:p>
      <w:pPr>
        <w:pStyle w:val="BodyText"/>
      </w:pPr>
      <w:r>
        <w:t xml:space="preserve">For a physics problem, the LLM proposes a solution; the FNO surrogate evaluates the PDE residual in milliseconds versus hours for traditional solvers; the GRPO reward incorporates</w:t>
      </w:r>
      <w:r>
        <w:t xml:space="preserve"> </w:t>
      </w:r>
      <m:oMath>
        <m:r>
          <m:t>R</m:t>
        </m:r>
        <m:r>
          <m:rPr>
            <m:sty m:val="p"/>
          </m:rPr>
          <m:t>=</m:t>
        </m:r>
        <m:sSub>
          <m:e>
            <m:r>
              <m:t>R</m:t>
            </m:r>
          </m:e>
          <m:sub>
            <m:r>
              <m:rPr>
                <m:nor/>
                <m:sty m:val="p"/>
              </m:rPr>
              <m:t>correctness</m:t>
            </m:r>
          </m:sub>
        </m:sSub>
        <m:r>
          <m:rPr>
            <m:sty m:val="p"/>
          </m:rPr>
          <m:t>+</m:t>
        </m:r>
        <m:r>
          <m:t>λ</m:t>
        </m:r>
        <m:r>
          <m:rPr>
            <m:sty m:val="p"/>
          </m:rPr>
          <m:t>⋅</m:t>
        </m:r>
        <m:sSub>
          <m:e>
            <m:r>
              <m:t>R</m:t>
            </m:r>
          </m:e>
          <m:sub>
            <m:r>
              <m:rPr>
                <m:nor/>
                <m:sty m:val="p"/>
              </m:rPr>
              <m:t>FNO_residual</m:t>
            </m:r>
          </m:sub>
        </m:sSub>
        <m:r>
          <m:rPr>
            <m:sty m:val="p"/>
          </m:rPr>
          <m:t>+</m:t>
        </m:r>
        <m:r>
          <m:t>μ</m:t>
        </m:r>
        <m:r>
          <m:rPr>
            <m:sty m:val="p"/>
          </m:rPr>
          <m:t>⋅</m:t>
        </m:r>
        <m:sSub>
          <m:e>
            <m:r>
              <m:t>R</m:t>
            </m:r>
          </m:e>
          <m:sub>
            <m:r>
              <m:rPr>
                <m:nor/>
                <m:sty m:val="p"/>
              </m:rPr>
              <m:t>unit_consistency</m:t>
            </m:r>
          </m:sub>
        </m:sSub>
      </m:oMath>
      <w:r>
        <w:t xml:space="preserve">; and the model learns physically consistent solutions through RL. This extends GRPO beyond mathematics and coding into scientific reasoning.</w:t>
      </w:r>
    </w:p>
    <w:p>
      <w:pPr>
        <w:pStyle w:val="BodyText"/>
      </w:pPr>
      <w:r>
        <w:t xml:space="preserve">The implementation gap is two-fold. FNO surrogates must be trained for each physical domain of interest. And the reward shaping hyperparameters (</w:t>
      </w:r>
      <m:oMath>
        <m:r>
          <m:t>λ</m:t>
        </m:r>
      </m:oMath>
      <w:r>
        <w:t xml:space="preserve">,</w:t>
      </w:r>
      <w:r>
        <w:t xml:space="preserve"> </w:t>
      </w:r>
      <m:oMath>
        <m:r>
          <m:t>μ</m:t>
        </m:r>
      </m:oMath>
      <w:r>
        <w:t xml:space="preserve">) must be calibrated to prevent reward hacking — the model might exploit the FNO’s approximation errors rather than solve the true physics problem.</w:t>
      </w:r>
    </w:p>
    <w:bookmarkEnd w:id="169"/>
    <w:bookmarkStart w:id="170" w:name="X717d196775ed976580bd50244c1cb93dc944d65"/>
    <w:p>
      <w:pPr>
        <w:pStyle w:val="Heading4"/>
      </w:pPr>
      <w:r>
        <w:t xml:space="preserve">10.2.4 Insight 12 — Feature-Directed Model Surgery: Interpretability-Guided Fine-Tuning</w:t>
      </w:r>
    </w:p>
    <w:p>
      <w:pPr>
        <w:pStyle w:val="FirstParagraph"/>
      </w:pPr>
      <w:r>
        <w:t xml:space="preserve">SAE features can guide targeted model modifications to fix specific failure modes without full retraining. The insight fuses SAE causal identification (features linked to repetition, hallucination, code-switching are discoverable</w:t>
      </w:r>
      <w:r>
        <w:t xml:space="preserve"> </w:t>
      </w:r>
      <w:fldSimple w:instr="NOTEREF _Ref_Footnote_3 \h \f">
        <w:r>
          <w:rPr>
            <w:vertAlign w:val="superscript"/>
          </w:rPr>
          <w:t>3</w:t>
        </w:r>
      </w:fldSimple>
      <w:r>
        <w:t xml:space="preserve"> </w:t>
      </w:r>
      <w:fldSimple w:instr="NOTEREF _Ref_Footnote_85 \h \f">
        <w:r>
          <w:rPr>
            <w:vertAlign w:val="superscript"/>
          </w:rPr>
          <w:t>85</w:t>
        </w:r>
      </w:fldSimple>
      <w:r>
        <w:t xml:space="preserve">), manifold constraints (mHC stabilizes training at 6.7% overhead</w:t>
      </w:r>
      <w:r>
        <w:t xml:space="preserve"> </w:t>
      </w:r>
      <w:fldSimple w:instr="NOTEREF _Ref_Footnote_17 \h \f">
        <w:r>
          <w:rPr>
            <w:vertAlign w:val="superscript"/>
          </w:rPr>
          <w:t>17</w:t>
        </w:r>
      </w:fldSimple>
      <w:r>
        <w:t xml:space="preserve">), and TransMLA retrofitting (6B tokens adapts architecture</w:t>
      </w:r>
      <w:r>
        <w:t xml:space="preserve"> </w:t>
      </w:r>
      <w:fldSimple w:instr="NOTEREF _Ref_Footnote_21 \h \f">
        <w:r>
          <w:rPr>
            <w:vertAlign w:val="superscript"/>
          </w:rPr>
          <w:t>21</w:t>
        </w:r>
      </w:fldSimple>
      <w:r>
        <w:t xml:space="preserve">).</w:t>
      </w:r>
    </w:p>
    <w:p>
      <w:pPr>
        <w:pStyle w:val="BodyText"/>
      </w:pPr>
      <w:r>
        <w:t xml:space="preserve">The procedure is: (1) SAE identifies the repetition feature direction; (2) modify model weights along that direction during fine-tuning instead of steering at inference; (3) use mHC manifold constraints to ensure the modification does not destabilize other capabilities; (4) fine-tune with GRPO using rule-based rewards; (5) verify with SAE fingerprinting that the fix did not break other capabilities. The implementation gap is the surgical weight-modification protocol: how much to perturb, which layers to target, and how to verify orthogonality to unrelated capabilities.</w:t>
      </w:r>
    </w:p>
    <w:bookmarkEnd w:id="170"/>
    <w:bookmarkStart w:id="171" w:name="X00843a29f83c0da64f3736e3e5b75fa93648f35"/>
    <w:p>
      <w:pPr>
        <w:pStyle w:val="Heading4"/>
      </w:pPr>
      <w:r>
        <w:t xml:space="preserve">10.2.5 Insight 14 — Temporal Feature Drift Detection: Predictive Maintenance for AI Models</w:t>
      </w:r>
    </w:p>
    <w:p>
      <w:pPr>
        <w:pStyle w:val="FirstParagraph"/>
      </w:pPr>
      <w:r>
        <w:t xml:space="preserve">SAE feature activation distributions can serve as</w:t>
      </w:r>
      <w:r>
        <w:t xml:space="preserve"> </w:t>
      </w:r>
      <w:r>
        <w:t xml:space="preserve">“</w:t>
      </w:r>
      <w:r>
        <w:t xml:space="preserve">model ECGs</w:t>
      </w:r>
      <w:r>
        <w:t xml:space="preserve">”</w:t>
      </w:r>
      <w:r>
        <w:t xml:space="preserve"> </w:t>
      </w:r>
      <w:r>
        <w:t xml:space="preserve">for detecting temporal drift before benchmark scores drop. The insight fuses real-time SAE monitoring</w:t>
      </w:r>
      <w:r>
        <w:t xml:space="preserve"> </w:t>
      </w:r>
      <w:fldSimple w:instr="NOTEREF _Ref_Footnote_3 \h \f">
        <w:r>
          <w:rPr>
            <w:vertAlign w:val="superscript"/>
          </w:rPr>
          <w:t>3</w:t>
        </w:r>
      </w:fldSimple>
      <w:r>
        <w:t xml:space="preserve">, the Spearman</w:t>
      </w:r>
      <w:r>
        <w:t xml:space="preserve"> </w:t>
      </w:r>
      <m:oMath>
        <m:r>
          <m:t>ρ</m:t>
        </m:r>
        <m:r>
          <m:rPr>
            <m:sty m:val="p"/>
          </m:rPr>
          <m:t>≈</m:t>
        </m:r>
        <m:r>
          <m:t>0.85</m:t>
        </m:r>
      </m:oMath>
      <w:r>
        <w:t xml:space="preserve"> </w:t>
      </w:r>
      <w:r>
        <w:t xml:space="preserve">correlation between feature coverage and benchmark performance</w:t>
      </w:r>
      <w:r>
        <w:t xml:space="preserve"> </w:t>
      </w:r>
      <w:fldSimple w:instr="NOTEREF _Ref_Footnote_3 \h \f">
        <w:r>
          <w:rPr>
            <w:vertAlign w:val="superscript"/>
          </w:rPr>
          <w:t>3</w:t>
        </w:r>
      </w:fldSimple>
      <w:r>
        <w:t xml:space="preserve">, and Kuramoto memory’s encoding of temporal patterns via phase relationships</w:t>
      </w:r>
      <w:r>
        <w:t xml:space="preserve"> </w:t>
      </w:r>
      <w:fldSimple w:instr="NOTEREF _Ref_Footnote_17 \h \f">
        <w:r>
          <w:rPr>
            <w:vertAlign w:val="superscript"/>
          </w:rPr>
          <w:t>17</w:t>
        </w:r>
      </w:fldSimple>
      <w:r>
        <w:t xml:space="preserve">.</w:t>
      </w:r>
    </w:p>
    <w:p>
      <w:pPr>
        <w:pStyle w:val="BodyText"/>
      </w:pPr>
      <w:r>
        <w:t xml:space="preserve">The pipeline is: (1) record baseline SAE feature distribution at deployment; (2) track feature distributions during production use; (3) detect statistical divergence from baseline; (4) use the established correlation to estimate benchmark performance drift; (5) trigger targeted data synthesis and GRPO retraining before user-facing degradation. The key observation is that feature distributions change before benchmark scores drop. The implementation gap is building the statistical monitoring infrastructure and calibrating divergence thresholds that minimize false alarms without missing genuine drift.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Insight</w:t>
            </w:r>
          </w:p>
        </w:tc>
        <w:tc>
          <w:tcPr/>
          <w:p>
            <w:pPr>
              <w:pStyle w:val="Compact"/>
              <w:jc w:val="left"/>
            </w:pPr>
            <w:r>
              <w:t xml:space="preserve">What Works</w:t>
            </w:r>
          </w:p>
        </w:tc>
        <w:tc>
          <w:tcPr/>
          <w:p>
            <w:pPr>
              <w:pStyle w:val="Compact"/>
              <w:jc w:val="left"/>
            </w:pPr>
            <w:r>
              <w:t xml:space="preserve">What Is Missing</w:t>
            </w:r>
          </w:p>
        </w:tc>
        <w:tc>
          <w:tcPr/>
          <w:p>
            <w:pPr>
              <w:pStyle w:val="Compact"/>
              <w:jc w:val="left"/>
            </w:pPr>
            <w:r>
              <w:t xml:space="preserve">Estimated Effort</w:t>
            </w:r>
          </w:p>
        </w:tc>
        <w:tc>
          <w:tcPr/>
          <w:p>
            <w:pPr>
              <w:pStyle w:val="Compact"/>
              <w:jc w:val="left"/>
            </w:pPr>
            <w:r>
              <w:t xml:space="preserve">Success Criterion</w:t>
            </w:r>
          </w:p>
        </w:tc>
      </w:tr>
      <w:tr>
        <w:tc>
          <w:tcPr/>
          <w:p>
            <w:pPr>
              <w:pStyle w:val="Compact"/>
              <w:jc w:val="left"/>
            </w:pPr>
            <w:r>
              <w:t xml:space="preserve">4. Benchmark-Guided Curriculum RL</w:t>
            </w:r>
          </w:p>
        </w:tc>
        <w:tc>
          <w:tcPr/>
          <w:p>
            <w:pPr>
              <w:pStyle w:val="Compact"/>
              <w:jc w:val="left"/>
            </w:pPr>
            <w:r>
              <w:t xml:space="preserve">SAE fingerprinting</w:t>
            </w:r>
            <w:r>
              <w:t xml:space="preserve"> </w:t>
            </w:r>
            <w:fldSimple w:instr="NOTEREF _Ref_Footnote_3 \h \f">
              <w:r>
                <w:rPr>
                  <w:vertAlign w:val="superscript"/>
                </w:rPr>
                <w:t>3</w:t>
              </w:r>
            </w:fldSimple>
            <w:r>
              <w:t xml:space="preserve">, GRPO</w:t>
            </w:r>
            <w:r>
              <w:t xml:space="preserve"> </w:t>
            </w:r>
            <w:fldSimple w:instr="NOTEREF _Ref_Footnote_12 \h \f">
              <w:r>
                <w:rPr>
                  <w:vertAlign w:val="superscript"/>
                </w:rPr>
                <w:t>12</w:t>
              </w:r>
            </w:fldSimple>
            <w:r>
              <w:t xml:space="preserve">, FAC synthesis</w:t>
            </w:r>
            <w:r>
              <w:t xml:space="preserve"> </w:t>
            </w:r>
            <w:fldSimple w:instr="NOTEREF _Ref_Footnote_3 \h \f">
              <w:r>
                <w:rPr>
                  <w:vertAlign w:val="superscript"/>
                </w:rPr>
                <w:t>3</w:t>
              </w:r>
            </w:fldSimple>
          </w:p>
        </w:tc>
        <w:tc>
          <w:tcPr/>
          <w:p>
            <w:pPr>
              <w:pStyle w:val="Compact"/>
              <w:jc w:val="left"/>
            </w:pPr>
            <w:r>
              <w:t xml:space="preserve">Automated pipeline from gap detection to GRPO launch</w:t>
            </w:r>
          </w:p>
        </w:tc>
        <w:tc>
          <w:tcPr/>
          <w:p>
            <w:pPr>
              <w:pStyle w:val="Compact"/>
              <w:jc w:val="left"/>
            </w:pPr>
            <w:r>
              <w:t xml:space="preserve">Medium (3–6 months)</w:t>
            </w:r>
          </w:p>
        </w:tc>
        <w:tc>
          <w:tcPr/>
          <w:p>
            <w:pPr>
              <w:pStyle w:val="Compact"/>
              <w:jc w:val="left"/>
            </w:pPr>
            <w:r>
              <w:t xml:space="preserve">Closed loop reduces feature gaps by 50% within 10 GRPO iterations</w:t>
            </w:r>
          </w:p>
        </w:tc>
      </w:tr>
      <w:tr>
        <w:tc>
          <w:tcPr/>
          <w:p>
            <w:pPr>
              <w:pStyle w:val="Compact"/>
              <w:jc w:val="left"/>
            </w:pPr>
            <w:r>
              <w:t xml:space="preserve">5. Compiler-Constrained SAE Steering</w:t>
            </w:r>
          </w:p>
        </w:tc>
        <w:tc>
          <w:tcPr/>
          <w:p>
            <w:pPr>
              <w:pStyle w:val="Compact"/>
              <w:jc w:val="left"/>
            </w:pPr>
            <w:r>
              <w:t xml:space="preserve">Rust const generics</w:t>
            </w:r>
            <w:r>
              <w:t xml:space="preserve"> </w:t>
            </w:r>
            <w:fldSimple w:instr="NOTEREF _Ref_Footnote_70 \h \f">
              <w:r>
                <w:rPr>
                  <w:vertAlign w:val="superscript"/>
                </w:rPr>
                <w:t>70</w:t>
              </w:r>
            </w:fldSimple>
            <w:r>
              <w:t xml:space="preserve">, SAE steering</w:t>
            </w:r>
            <w:r>
              <w:t xml:space="preserve"> </w:t>
            </w:r>
            <w:fldSimple w:instr="NOTEREF _Ref_Footnote_56 \h \f">
              <w:r>
                <w:rPr>
                  <w:vertAlign w:val="superscript"/>
                </w:rPr>
                <w:t>56</w:t>
              </w:r>
            </w:fldSimple>
          </w:p>
        </w:tc>
        <w:tc>
          <w:tcPr/>
          <w:p>
            <w:pPr>
              <w:pStyle w:val="Compact"/>
              <w:jc w:val="left"/>
            </w:pPr>
            <w:r>
              <w:t xml:space="preserve">Feature-to-ontological-type compiler pipeline</w:t>
            </w:r>
          </w:p>
        </w:tc>
        <w:tc>
          <w:tcPr/>
          <w:p>
            <w:pPr>
              <w:pStyle w:val="Compact"/>
              <w:jc w:val="left"/>
            </w:pPr>
            <w:r>
              <w:t xml:space="preserve">Medium (2–4 months)</w:t>
            </w:r>
          </w:p>
        </w:tc>
        <w:tc>
          <w:tcPr/>
          <w:p>
            <w:pPr>
              <w:pStyle w:val="Compact"/>
              <w:jc w:val="left"/>
            </w:pPr>
            <w:r>
              <w:t xml:space="preserve">Steering API rejects 100% of type-incompatible interventions at compile time</w:t>
            </w:r>
          </w:p>
        </w:tc>
      </w:tr>
      <w:tr>
        <w:tc>
          <w:tcPr/>
          <w:p>
            <w:pPr>
              <w:pStyle w:val="Compact"/>
              <w:jc w:val="left"/>
            </w:pPr>
            <w:r>
              <w:t xml:space="preserve">9. Physics-Informed GRPO Rewards</w:t>
            </w:r>
          </w:p>
        </w:tc>
        <w:tc>
          <w:tcPr/>
          <w:p>
            <w:pPr>
              <w:pStyle w:val="Compact"/>
              <w:jc w:val="left"/>
            </w:pPr>
            <w:r>
              <w:t xml:space="preserve">FNO surrogates</w:t>
            </w:r>
            <w:r>
              <w:t xml:space="preserve"> </w:t>
            </w:r>
            <w:fldSimple w:instr="NOTEREF _Ref_Footnote_17 \h \f">
              <w:r>
                <w:rPr>
                  <w:vertAlign w:val="superscript"/>
                </w:rPr>
                <w:t>17</w:t>
              </w:r>
            </w:fldSimple>
            <w:r>
              <w:t xml:space="preserve">, GRPO</w:t>
            </w:r>
            <w:r>
              <w:t xml:space="preserve"> </w:t>
            </w:r>
            <w:fldSimple w:instr="NOTEREF _Ref_Footnote_12 \h \f">
              <w:r>
                <w:rPr>
                  <w:vertAlign w:val="superscript"/>
                </w:rPr>
                <w:t>12</w:t>
              </w:r>
            </w:fldSimple>
            <w:r>
              <w:t xml:space="preserve">, PhysicsReward</w:t>
            </w:r>
            <w:r>
              <w:t xml:space="preserve"> </w:t>
            </w:r>
            <w:fldSimple w:instr="NOTEREF _Ref_Footnote_13 \h \f">
              <w:r>
                <w:rPr>
                  <w:vertAlign w:val="superscript"/>
                </w:rPr>
                <w:t>13</w:t>
              </w:r>
            </w:fldSimple>
          </w:p>
        </w:tc>
        <w:tc>
          <w:tcPr/>
          <w:p>
            <w:pPr>
              <w:pStyle w:val="Compact"/>
              <w:jc w:val="left"/>
            </w:pPr>
            <w:r>
              <w:t xml:space="preserve">Per-domain FNO training; reward shaping calibration</w:t>
            </w:r>
          </w:p>
        </w:tc>
        <w:tc>
          <w:tcPr/>
          <w:p>
            <w:pPr>
              <w:pStyle w:val="Compact"/>
              <w:jc w:val="left"/>
            </w:pPr>
            <w:r>
              <w:t xml:space="preserve">High (6–12 months)</w:t>
            </w:r>
          </w:p>
        </w:tc>
        <w:tc>
          <w:tcPr/>
          <w:p>
            <w:pPr>
              <w:pStyle w:val="Compact"/>
              <w:jc w:val="left"/>
            </w:pPr>
            <w:r>
              <w:t xml:space="preserve">GRPO-trained model achieves &lt;5% PDE residual on held-out physics problems</w:t>
            </w:r>
          </w:p>
        </w:tc>
      </w:tr>
      <w:tr>
        <w:tc>
          <w:tcPr/>
          <w:p>
            <w:pPr>
              <w:pStyle w:val="Compact"/>
              <w:jc w:val="left"/>
            </w:pPr>
            <w:r>
              <w:t xml:space="preserve">12. Feature-Directed Model Surgery</w:t>
            </w:r>
          </w:p>
        </w:tc>
        <w:tc>
          <w:tcPr/>
          <w:p>
            <w:pPr>
              <w:pStyle w:val="Compact"/>
              <w:jc w:val="left"/>
            </w:pPr>
            <w:r>
              <w:t xml:space="preserve">SAE identification</w:t>
            </w:r>
            <w:r>
              <w:t xml:space="preserve"> </w:t>
            </w:r>
            <w:fldSimple w:instr="NOTEREF _Ref_Footnote_3 \h \f">
              <w:r>
                <w:rPr>
                  <w:vertAlign w:val="superscript"/>
                </w:rPr>
                <w:t>3</w:t>
              </w:r>
            </w:fldSimple>
            <w:r>
              <w:t xml:space="preserve">, mHC constraints</w:t>
            </w:r>
            <w:r>
              <w:t xml:space="preserve"> </w:t>
            </w:r>
            <w:fldSimple w:instr="NOTEREF _Ref_Footnote_17 \h \f">
              <w:r>
                <w:rPr>
                  <w:vertAlign w:val="superscript"/>
                </w:rPr>
                <w:t>17</w:t>
              </w:r>
            </w:fldSimple>
            <w:r>
              <w:t xml:space="preserve">, TransMLA</w:t>
            </w:r>
            <w:r>
              <w:t xml:space="preserve"> </w:t>
            </w:r>
            <w:fldSimple w:instr="NOTEREF _Ref_Footnote_21 \h \f">
              <w:r>
                <w:rPr>
                  <w:vertAlign w:val="superscript"/>
                </w:rPr>
                <w:t>21</w:t>
              </w:r>
            </w:fldSimple>
          </w:p>
        </w:tc>
        <w:tc>
          <w:tcPr/>
          <w:p>
            <w:pPr>
              <w:pStyle w:val="Compact"/>
              <w:jc w:val="left"/>
            </w:pPr>
            <w:r>
              <w:t xml:space="preserve">Surgical weight-modification protocol with orthogonality verification</w:t>
            </w:r>
          </w:p>
        </w:tc>
        <w:tc>
          <w:tcPr/>
          <w:p>
            <w:pPr>
              <w:pStyle w:val="Compact"/>
              <w:jc w:val="left"/>
            </w:pPr>
            <w:r>
              <w:t xml:space="preserve">High (6–12 months)</w:t>
            </w:r>
          </w:p>
        </w:tc>
        <w:tc>
          <w:tcPr/>
          <w:p>
            <w:pPr>
              <w:pStyle w:val="Compact"/>
              <w:jc w:val="left"/>
            </w:pPr>
            <w:r>
              <w:t xml:space="preserve">Surgical fix eliminates target failure mode with &lt;1% capability regression</w:t>
            </w:r>
          </w:p>
        </w:tc>
      </w:tr>
      <w:tr>
        <w:tc>
          <w:tcPr/>
          <w:p>
            <w:pPr>
              <w:pStyle w:val="Compact"/>
              <w:jc w:val="left"/>
            </w:pPr>
            <w:r>
              <w:t xml:space="preserve">14. Temporal Feature Drift Detection</w:t>
            </w:r>
          </w:p>
        </w:tc>
        <w:tc>
          <w:tcPr/>
          <w:p>
            <w:pPr>
              <w:pStyle w:val="Compact"/>
              <w:jc w:val="left"/>
            </w:pPr>
            <w:r>
              <w:t xml:space="preserve">SAE monitoring</w:t>
            </w:r>
            <w:r>
              <w:t xml:space="preserve"> </w:t>
            </w:r>
            <w:fldSimple w:instr="NOTEREF _Ref_Footnote_3 \h \f">
              <w:r>
                <w:rPr>
                  <w:vertAlign w:val="superscript"/>
                </w:rPr>
                <w:t>3</w:t>
              </w:r>
            </w:fldSimple>
            <w:r>
              <w:t xml:space="preserve">, feature-performance correlation</w:t>
            </w:r>
            <w:r>
              <w:t xml:space="preserve"> </w:t>
            </w:r>
            <w:fldSimple w:instr="NOTEREF _Ref_Footnote_3 \h \f">
              <w:r>
                <w:rPr>
                  <w:vertAlign w:val="superscript"/>
                </w:rPr>
                <w:t>3</w:t>
              </w:r>
            </w:fldSimple>
          </w:p>
        </w:tc>
        <w:tc>
          <w:tcPr/>
          <w:p>
            <w:pPr>
              <w:pStyle w:val="Compact"/>
              <w:jc w:val="left"/>
            </w:pPr>
            <w:r>
              <w:t xml:space="preserve">Production-grade drift monitoring with calibrated thresholds</w:t>
            </w:r>
          </w:p>
        </w:tc>
        <w:tc>
          <w:tcPr/>
          <w:p>
            <w:pPr>
              <w:pStyle w:val="Compact"/>
              <w:jc w:val="left"/>
            </w:pPr>
            <w:r>
              <w:t xml:space="preserve">Medium (3–6 months)</w:t>
            </w:r>
          </w:p>
        </w:tc>
        <w:tc>
          <w:tcPr/>
          <w:p>
            <w:pPr>
              <w:pStyle w:val="Compact"/>
              <w:jc w:val="left"/>
            </w:pPr>
            <w:r>
              <w:t xml:space="preserve">Detects capability drift 1000+ samples before benchmark score decline</w:t>
            </w:r>
          </w:p>
        </w:tc>
      </w:tr>
    </w:tbl>
    <w:p>
      <w:pPr>
        <w:pStyle w:val="BodyText"/>
      </w:pPr>
      <w:r>
        <w:rPr>
          <w:iCs/>
          <w:i/>
        </w:rPr>
        <w:t xml:space="preserve">Table 10.3: Implementation gaps for the</w:t>
      </w:r>
      <w:r>
        <w:rPr>
          <w:iCs/>
          <w:i/>
        </w:rPr>
        <w:t xml:space="preserve"> </w:t>
      </w:r>
      <w:r>
        <w:rPr>
          <w:iCs/>
          <w:i/>
        </w:rPr>
        <w:t xml:space="preserve">“</w:t>
      </w:r>
      <w:r>
        <w:rPr>
          <w:iCs/>
          <w:i/>
        </w:rPr>
        <w:t xml:space="preserve">Requiring Implementation</w:t>
      </w:r>
      <w:r>
        <w:rPr>
          <w:iCs/>
          <w:i/>
        </w:rPr>
        <w:t xml:space="preserve">”</w:t>
      </w:r>
      <w:r>
        <w:rPr>
          <w:iCs/>
          <w:i/>
        </w:rPr>
        <w:t xml:space="preserve"> </w:t>
      </w:r>
      <w:r>
        <w:rPr>
          <w:iCs/>
          <w:i/>
        </w:rPr>
        <w:t xml:space="preserve">insights. All gaps are engineering tasks with defined success criteria; none require fundamental research breakthroughs.</w:t>
      </w:r>
    </w:p>
    <w:bookmarkEnd w:id="171"/>
    <w:bookmarkEnd w:id="172"/>
    <w:bookmarkStart w:id="178" w:name="Xd41b901d2b37214ea804148ab6a9a2ed4baefa6"/>
    <w:p>
      <w:pPr>
        <w:pStyle w:val="Heading3"/>
      </w:pPr>
      <w:r>
        <w:t xml:space="preserve">10.3 Theoretical Foundations (High Confidence, Conceptual)</w:t>
      </w:r>
    </w:p>
    <w:p>
      <w:pPr>
        <w:pStyle w:val="FirstParagraph"/>
      </w:pPr>
      <w:r>
        <w:t xml:space="preserve">The five insights in this category are principled explanations of why the architecture works, strategic arguments for why it is defensible, and theoretical frameworks that guide implementation decisions.</w:t>
      </w:r>
    </w:p>
    <w:bookmarkStart w:id="173" w:name="Xf68c9c0cb193a6f4d7dc8d746db43fffd694df6"/>
    <w:p>
      <w:pPr>
        <w:pStyle w:val="Heading4"/>
      </w:pPr>
      <w:r>
        <w:t xml:space="preserve">10.3.1 Insight 6 — Free Energy Repair Dynamics: The Repair Loop as Variational Inference</w:t>
      </w:r>
    </w:p>
    <w:p>
      <w:pPr>
        <w:pStyle w:val="FirstParagraph"/>
      </w:pPr>
      <w:r>
        <w:t xml:space="preserve">The Rex Propose→Extract→Constrain→Verify→Repair→Commit cycle is mathematically isomorphic to Active Inference’s policy selection→Expected Free Energy (EFE) minimization→precision update→epistemic repair dynamics.</w:t>
      </w:r>
      <w:r>
        <w:t xml:space="preserve"> </w:t>
      </w:r>
      <w:r>
        <w:rPr>
          <w:bCs/>
          <w:b/>
        </w:rPr>
        <w:t xml:space="preserve">Propose</w:t>
      </w:r>
      <w:r>
        <w:t xml:space="preserve"> </w:t>
      </w:r>
      <w:r>
        <w:t xml:space="preserve">corresponds to policy selection:</w:t>
      </w:r>
      <w:r>
        <w:t xml:space="preserve"> </w:t>
      </w:r>
      <m:oMath>
        <m:r>
          <m:t>π</m:t>
        </m:r>
        <m:r>
          <m:rPr>
            <m:sty m:val="p"/>
          </m:rPr>
          <m:t>=</m:t>
        </m:r>
        <m:r>
          <m:rPr>
            <m:sty m:val="p"/>
          </m:rPr>
          <m:t>arg</m:t>
        </m:r>
        <m:sSub>
          <m:e>
            <m:r>
              <m:rPr>
                <m:sty m:val="p"/>
              </m:rPr>
              <m:t>min</m:t>
            </m:r>
          </m:e>
          <m:sub>
            <m:r>
              <m:t>π</m:t>
            </m:r>
          </m:sub>
        </m:sSub>
        <m:r>
          <m:t>G</m:t>
        </m:r>
        <m:d>
          <m:dPr>
            <m:begChr m:val="("/>
            <m:endChr m:val=")"/>
            <m:sepChr m:val=""/>
            <m:grow/>
          </m:dPr>
          <m:e>
            <m:r>
              <m:t>π</m:t>
            </m:r>
          </m:e>
        </m:d>
      </m:oMath>
      <w:r>
        <w:t xml:space="preserve">.</w:t>
      </w:r>
      <w:r>
        <w:t xml:space="preserve"> </w:t>
      </w:r>
      <w:r>
        <w:rPr>
          <w:bCs/>
          <w:b/>
        </w:rPr>
        <w:t xml:space="preserve">Extract</w:t>
      </w:r>
      <w:r>
        <w:t xml:space="preserve"> </w:t>
      </w:r>
      <w:r>
        <w:t xml:space="preserve">corresponds to observation generation:</w:t>
      </w:r>
      <w:r>
        <w:t xml:space="preserve"> </w:t>
      </w:r>
      <m:oMath>
        <m:r>
          <m:t>o</m:t>
        </m:r>
        <m:r>
          <m:rPr>
            <m:sty m:val="p"/>
          </m:rPr>
          <m:t>∼</m:t>
        </m:r>
        <m:r>
          <m:t>p</m:t>
        </m:r>
        <m:d>
          <m:dPr>
            <m:begChr m:val="("/>
            <m:endChr m:val=")"/>
            <m:sepChr m:val=""/>
            <m:grow/>
          </m:dPr>
          <m:e>
            <m:r>
              <m:t>o</m:t>
            </m:r>
            <m:r>
              <m:rPr>
                <m:sty m:val="p"/>
              </m:rPr>
              <m:t>∣</m:t>
            </m:r>
            <m:r>
              <m:t>s</m:t>
            </m:r>
            <m:r>
              <m:rPr>
                <m:sty m:val="p"/>
              </m:rPr>
              <m:t>,</m:t>
            </m:r>
            <m:r>
              <m:t>π</m:t>
            </m:r>
          </m:e>
        </m:d>
      </m:oMath>
      <w:r>
        <w:t xml:space="preserve">.</w:t>
      </w:r>
      <w:r>
        <w:t xml:space="preserve"> </w:t>
      </w:r>
      <w:r>
        <w:rPr>
          <w:bCs/>
          <w:b/>
        </w:rPr>
        <w:t xml:space="preserve">Constrain</w:t>
      </w:r>
      <w:r>
        <w:t xml:space="preserve"> </w:t>
      </w:r>
      <w:r>
        <w:t xml:space="preserve">corresponds to prior enforcement with infinite precision on violation:</w:t>
      </w:r>
      <w:r>
        <w:t xml:space="preserve"> </w:t>
      </w:r>
      <m:oMath>
        <m:r>
          <m:t>p</m:t>
        </m:r>
        <m:d>
          <m:dPr>
            <m:begChr m:val="("/>
            <m:endChr m:val=")"/>
            <m:sepChr m:val=""/>
            <m:grow/>
          </m:dPr>
          <m:e>
            <m:r>
              <m:t>o</m:t>
            </m:r>
            <m:r>
              <m:rPr>
                <m:sty m:val="p"/>
              </m:rPr>
              <m:t>∣</m:t>
            </m:r>
            <m:r>
              <m:t>C</m:t>
            </m:r>
          </m:e>
        </m:d>
        <m:r>
          <m:rPr>
            <m:sty m:val="p"/>
          </m:rPr>
          <m:t>=</m:t>
        </m:r>
        <m:r>
          <m:t>δ</m:t>
        </m:r>
        <m:d>
          <m:dPr>
            <m:begChr m:val="("/>
            <m:endChr m:val=")"/>
            <m:sepChr m:val=""/>
            <m:grow/>
          </m:dPr>
          <m:e>
            <m:r>
              <m:rPr>
                <m:nor/>
                <m:sty m:val="p"/>
              </m:rPr>
              <m:t>consistent</m:t>
            </m:r>
          </m:e>
        </m:d>
      </m:oMath>
      <w:r>
        <w:t xml:space="preserve">.</w:t>
      </w:r>
      <w:r>
        <w:t xml:space="preserve"> </w:t>
      </w:r>
      <w:r>
        <w:rPr>
          <w:bCs/>
          <w:b/>
        </w:rPr>
        <w:t xml:space="preserve">Verify</w:t>
      </w:r>
      <w:r>
        <w:t xml:space="preserve"> </w:t>
      </w:r>
      <w:r>
        <w:t xml:space="preserve">corresponds to Variational Free Energy minimization:</w:t>
      </w:r>
      <w:r>
        <w:t xml:space="preserve"> </w:t>
      </w:r>
      <m:oMath>
        <m:r>
          <m:rPr>
            <m:sty m:val="p"/>
            <m:scr m:val="script"/>
          </m:rPr>
          <m:t>F</m:t>
        </m:r>
        <m:r>
          <m:rPr>
            <m:sty m:val="p"/>
          </m:rPr>
          <m:t>=</m:t>
        </m:r>
        <m:sSub>
          <m:e>
            <m:r>
              <m:t>D</m:t>
            </m:r>
          </m:e>
          <m:sub>
            <m:r>
              <m:t>K</m:t>
            </m:r>
            <m:r>
              <m:t>L</m:t>
            </m:r>
          </m:sub>
        </m:sSub>
        <m:d>
          <m:dPr>
            <m:begChr m:val="["/>
            <m:endChr m:val="]"/>
            <m:sepChr m:val=""/>
            <m:grow/>
          </m:dPr>
          <m:e>
            <m:r>
              <m:t>q</m:t>
            </m:r>
            <m:d>
              <m:dPr>
                <m:begChr m:val="("/>
                <m:endChr m:val=")"/>
                <m:sepChr m:val=""/>
                <m:grow/>
              </m:dPr>
              <m:e>
                <m:r>
                  <m:t>s</m:t>
                </m:r>
              </m:e>
            </m:d>
            <m:r>
              <m:rPr>
                <m:sty m:val="p"/>
              </m:rPr>
              <m:t>∥</m:t>
            </m:r>
            <m:r>
              <m:t>p</m:t>
            </m:r>
            <m:d>
              <m:dPr>
                <m:begChr m:val="("/>
                <m:endChr m:val=")"/>
                <m:sepChr m:val=""/>
                <m:grow/>
              </m:dPr>
              <m:e>
                <m:r>
                  <m:t>s</m:t>
                </m:r>
                <m:r>
                  <m:rPr>
                    <m:sty m:val="p"/>
                  </m:rPr>
                  <m:t>∣</m:t>
                </m:r>
                <m:r>
                  <m:t>o</m:t>
                </m:r>
              </m:e>
            </m:d>
          </m:e>
        </m:d>
      </m:oMath>
      <w:r>
        <w:t xml:space="preserve">.</w:t>
      </w:r>
      <w:r>
        <w:t xml:space="preserve"> </w:t>
      </w:r>
      <w:r>
        <w:rPr>
          <w:bCs/>
          <w:b/>
        </w:rPr>
        <w:t xml:space="preserve">Repair</w:t>
      </w:r>
      <w:r>
        <w:t xml:space="preserve"> </w:t>
      </w:r>
      <w:r>
        <w:t xml:space="preserve">corresponds to epistemic foraging:</w:t>
      </w:r>
      <w:r>
        <w:t xml:space="preserve"> </w:t>
      </w:r>
      <m:oMath>
        <m:sSub>
          <m:e>
            <m:r>
              <m:rPr>
                <m:nor/>
                <m:sty m:val="p"/>
              </m:rPr>
              <m:t>EFE</m:t>
            </m:r>
          </m:e>
          <m:sub>
            <m:r>
              <m:rPr>
                <m:nor/>
                <m:sty m:val="p"/>
              </m:rPr>
              <m:t>epistemic</m:t>
            </m:r>
          </m:sub>
        </m:sSub>
        <m:r>
          <m:rPr>
            <m:sty m:val="p"/>
          </m:rPr>
          <m:t>=</m:t>
        </m:r>
        <m:r>
          <m:rPr>
            <m:sty m:val="p"/>
          </m:rPr>
          <m:t>−</m:t>
        </m:r>
        <m:r>
          <m:rPr>
            <m:sty m:val="p"/>
            <m:scr m:val="double-struck"/>
          </m:rPr>
          <m:t>E</m:t>
        </m:r>
        <m:d>
          <m:dPr>
            <m:begChr m:val="["/>
            <m:endChr m:val="]"/>
            <m:sepChr m:val=""/>
            <m:grow/>
          </m:dPr>
          <m:e>
            <m:sSub>
              <m:e>
                <m:r>
                  <m:t>D</m:t>
                </m:r>
              </m:e>
              <m:sub>
                <m:r>
                  <m:t>K</m:t>
                </m:r>
                <m:r>
                  <m:t>L</m:t>
                </m:r>
              </m:sub>
            </m:sSub>
          </m:e>
        </m:d>
      </m:oMath>
      <w:r>
        <w:t xml:space="preserve">.</w:t>
      </w:r>
      <w:r>
        <w:t xml:space="preserve"> </w:t>
      </w:r>
      <w:r>
        <w:rPr>
          <w:bCs/>
          <w:b/>
        </w:rPr>
        <w:t xml:space="preserve">Commit</w:t>
      </w:r>
      <w:r>
        <w:t xml:space="preserve"> </w:t>
      </w:r>
      <w:r>
        <w:t xml:space="preserve">corresponds to posterior belief update:</w:t>
      </w:r>
      <w:r>
        <w:t xml:space="preserve"> </w:t>
      </w:r>
      <m:oMath>
        <m:r>
          <m:t>q</m:t>
        </m:r>
        <m:r>
          <m:rPr>
            <m:sty m:val="p"/>
          </m:rPr>
          <m:t>′</m:t>
        </m:r>
        <m:d>
          <m:dPr>
            <m:begChr m:val="("/>
            <m:endChr m:val=")"/>
            <m:sepChr m:val=""/>
            <m:grow/>
          </m:dPr>
          <m:e>
            <m:r>
              <m:t>s</m:t>
            </m:r>
          </m:e>
        </m:d>
        <m:r>
          <m:rPr>
            <m:sty m:val="p"/>
          </m:rPr>
          <m:t>=</m:t>
        </m:r>
        <m:r>
          <m:t>q</m:t>
        </m:r>
        <m:d>
          <m:dPr>
            <m:begChr m:val="("/>
            <m:endChr m:val=")"/>
            <m:sepChr m:val=""/>
            <m:grow/>
          </m:dPr>
          <m:e>
            <m:r>
              <m:t>s</m:t>
            </m:r>
            <m:r>
              <m:rPr>
                <m:sty m:val="p"/>
              </m:rPr>
              <m:t>∣</m:t>
            </m:r>
            <m:r>
              <m:t>o</m:t>
            </m:r>
          </m:e>
        </m:d>
      </m:oMath>
      <w:r>
        <w:t xml:space="preserve"> </w:t>
      </w:r>
      <w:fldSimple w:instr="NOTEREF _Ref_Footnote_6 \h \f">
        <w:r>
          <w:rPr>
            <w:vertAlign w:val="superscript"/>
          </w:rPr>
          <w:t>6</w:t>
        </w:r>
      </w:fldSimple>
      <w:r>
        <w:t xml:space="preserve"> </w:t>
      </w:r>
      <w:fldSimple w:instr="NOTEREF _Ref_Footnote_50 \h \f">
        <w:r>
          <w:rPr>
            <w:vertAlign w:val="superscript"/>
          </w:rPr>
          <w:t>50</w:t>
        </w:r>
      </w:fldSimple>
      <w:r>
        <w:t xml:space="preserve">.</w:t>
      </w:r>
    </w:p>
    <w:p>
      <w:pPr>
        <w:pStyle w:val="BodyText"/>
      </w:pPr>
      <w:r>
        <w:t xml:space="preserve">The EFE objective is:</w:t>
      </w:r>
    </w:p>
    <w:p>
      <w:pPr>
        <w:pStyle w:val="BodyText"/>
      </w:pPr>
      <m:oMathPara>
        <m:oMathParaPr>
          <m:jc m:val="center"/>
        </m:oMathParaPr>
        <m:oMath>
          <m:sSub>
            <m:e>
              <m:r>
                <m:t>G</m:t>
              </m:r>
            </m:e>
            <m:sub>
              <m:r>
                <m:t>π</m:t>
              </m:r>
            </m:sub>
          </m:sSub>
          <m:r>
            <m:rPr>
              <m:sty m:val="p"/>
            </m:rPr>
            <m:t>=</m:t>
          </m:r>
          <m:r>
            <m:rPr>
              <m:sty m:val="p"/>
            </m:rPr>
            <m:t>−</m:t>
          </m:r>
          <m:sSub>
            <m:e>
              <m:r>
                <m:rPr>
                  <m:sty m:val="p"/>
                  <m:scr m:val="double-struck"/>
                </m:rPr>
                <m:t>E</m:t>
              </m:r>
            </m:e>
            <m:sub>
              <m:r>
                <m:t>Q</m:t>
              </m:r>
            </m:sub>
          </m:sSub>
          <m:d>
            <m:dPr>
              <m:begChr m:val="["/>
              <m:endChr m:val="]"/>
              <m:sepChr m:val=""/>
              <m:grow/>
            </m:dPr>
            <m:e>
              <m:sSub>
                <m:e>
                  <m:r>
                    <m:t>D</m:t>
                  </m:r>
                </m:e>
                <m:sub>
                  <m:r>
                    <m:t>K</m:t>
                  </m:r>
                  <m:r>
                    <m:t>L</m:t>
                  </m:r>
                </m:sub>
              </m:sSub>
              <m:d>
                <m:dPr>
                  <m:begChr m:val="["/>
                  <m:endChr m:val="]"/>
                  <m:sepChr m:val=""/>
                  <m:grow/>
                </m:dPr>
                <m:e>
                  <m:r>
                    <m:t>Q</m:t>
                  </m:r>
                  <m:d>
                    <m:dPr>
                      <m:begChr m:val="("/>
                      <m:endChr m:val=")"/>
                      <m:sepChr m:val=""/>
                      <m:grow/>
                    </m:dPr>
                    <m:e>
                      <m:r>
                        <m:t>s</m:t>
                      </m:r>
                      <m:r>
                        <m:rPr>
                          <m:sty m:val="p"/>
                        </m:rPr>
                        <m:t>∣</m:t>
                      </m:r>
                      <m:r>
                        <m:t>o</m:t>
                      </m:r>
                      <m:r>
                        <m:rPr>
                          <m:sty m:val="p"/>
                        </m:rPr>
                        <m:t>,</m:t>
                      </m:r>
                      <m:r>
                        <m:t>π</m:t>
                      </m:r>
                    </m:e>
                  </m:d>
                  <m:r>
                    <m:rPr>
                      <m:sty m:val="p"/>
                    </m:rPr>
                    <m:t>∥</m:t>
                  </m:r>
                  <m:r>
                    <m:t>Q</m:t>
                  </m:r>
                  <m:d>
                    <m:dPr>
                      <m:begChr m:val="("/>
                      <m:endChr m:val=")"/>
                      <m:sepChr m:val=""/>
                      <m:grow/>
                    </m:dPr>
                    <m:e>
                      <m:r>
                        <m:t>s</m:t>
                      </m:r>
                      <m:r>
                        <m:rPr>
                          <m:sty m:val="p"/>
                        </m:rPr>
                        <m:t>∣</m:t>
                      </m:r>
                      <m:r>
                        <m:t>π</m:t>
                      </m:r>
                    </m:e>
                  </m:d>
                </m:e>
              </m:d>
            </m:e>
          </m:d>
          <m:r>
            <m:rPr>
              <m:sty m:val="p"/>
            </m:rPr>
            <m:t>−</m:t>
          </m:r>
          <m:sSub>
            <m:e>
              <m:r>
                <m:rPr>
                  <m:sty m:val="p"/>
                  <m:scr m:val="double-struck"/>
                </m:rPr>
                <m:t>E</m:t>
              </m:r>
            </m:e>
            <m:sub>
              <m:r>
                <m:t>Q</m:t>
              </m:r>
            </m:sub>
          </m:sSub>
          <m:d>
            <m:dPr>
              <m:begChr m:val="["/>
              <m:endChr m:val="]"/>
              <m:sepChr m:val=""/>
              <m:grow/>
            </m:dPr>
            <m:e>
              <m:r>
                <m:rPr>
                  <m:sty m:val="p"/>
                </m:rPr>
                <m:t>ln</m:t>
              </m:r>
              <m:r>
                <m:t>P</m:t>
              </m:r>
              <m:d>
                <m:dPr>
                  <m:begChr m:val="("/>
                  <m:endChr m:val=")"/>
                  <m:sepChr m:val=""/>
                  <m:grow/>
                </m:dPr>
                <m:e>
                  <m:r>
                    <m:t>o</m:t>
                  </m:r>
                  <m:r>
                    <m:rPr>
                      <m:sty m:val="p"/>
                    </m:rPr>
                    <m:t>∣</m:t>
                  </m:r>
                  <m:r>
                    <m:t>C</m:t>
                  </m:r>
                </m:e>
              </m:d>
            </m:e>
          </m:d>
        </m:oMath>
      </m:oMathPara>
    </w:p>
    <w:p>
      <w:pPr>
        <w:pStyle w:val="FirstParagraph"/>
      </w:pPr>
      <w:r>
        <w:t xml:space="preserve">Recent theoretical work establishes that sufficient curiosity — weight on the epistemic term — simultaneously ensures Bayesian posterior consistency and bounded cumulative regret for EFE-minimizing agents</w:t>
      </w:r>
      <w:r>
        <w:t xml:space="preserve"> </w:t>
      </w:r>
      <w:fldSimple w:instr="NOTEREF _Ref_Footnote_20 \h \f">
        <w:r>
          <w:rPr>
            <w:vertAlign w:val="superscript"/>
          </w:rPr>
          <w:t>20</w:t>
        </w:r>
      </w:fldSimple>
      <w:r>
        <w:t xml:space="preserve">. This provides the first formal convergence guarantee for repair-loop-like dynamics. The empirically observed 1–3 iteration convergence</w:t>
      </w:r>
      <w:r>
        <w:t xml:space="preserve"> </w:t>
      </w:r>
      <w:fldSimple w:instr="NOTEREF _Ref_Footnote_27 \h \f">
        <w:r>
          <w:rPr>
            <w:vertAlign w:val="superscript"/>
          </w:rPr>
          <w:t>27</w:t>
        </w:r>
      </w:fldSimple>
      <w:r>
        <w:t xml:space="preserve">is not accidental; it is the expected behavior of variational inference minimizing surprise under constraint.</w:t>
      </w:r>
    </w:p>
    <w:bookmarkEnd w:id="173"/>
    <w:bookmarkStart w:id="174" w:name="X56c9231a9fab6fb9b2aafb6b0da5eeb9fbb1357"/>
    <w:p>
      <w:pPr>
        <w:pStyle w:val="Heading4"/>
      </w:pPr>
      <w:r>
        <w:t xml:space="preserve">10.3.2 Insight 7 — Apple Silicon Determinism Moat: A Structurally Unique Platform</w:t>
      </w:r>
    </w:p>
    <w:p>
      <w:pPr>
        <w:pStyle w:val="FirstParagraph"/>
      </w:pPr>
      <w:r>
        <w:t xml:space="preserve">Apple Silicon’s Unified Memory Architecture (UMA) + deterministic Metal kernels + Rust type safety creates a uniquely deterministic AI computing platform. On discrete GPU systems, CPU→GPU transfers traverse PCIe, introducing timing variance from bus contention and DMA scheduler behavior</w:t>
      </w:r>
      <w:r>
        <w:t xml:space="preserve"> </w:t>
      </w:r>
      <w:fldSimple w:instr="NOTEREF _Ref_Footnote_1 \h \f">
        <w:r>
          <w:rPr>
            <w:vertAlign w:val="superscript"/>
          </w:rPr>
          <w:t>1</w:t>
        </w:r>
      </w:fldSimple>
      <w:r>
        <w:t xml:space="preserve">. The GPU scheduler introduces non-deterministic warp scheduling</w:t>
      </w:r>
      <w:r>
        <w:t xml:space="preserve"> </w:t>
      </w:r>
      <w:fldSimple w:instr="NOTEREF _Ref_Footnote_31 \h \f">
        <w:r>
          <w:rPr>
            <w:vertAlign w:val="superscript"/>
          </w:rPr>
          <w:t>31</w:t>
        </w:r>
      </w:fldSimple>
      <w:r>
        <w:t xml:space="preserve">. Multi-GPU communication has variable latency. On Apple Silicon UMA, CPU/GPU/ANE share the same physical memory — zero transfers, zero timing variance. Metal Performance Shaders can be scheduled deterministically. Rust’s ownership system prevents data races at compile time. Swift 6’s</w:t>
      </w:r>
      <w:r>
        <w:t xml:space="preserve"> </w:t>
      </w:r>
      <w:r>
        <w:rPr>
          <w:rStyle w:val="VerbatimChar"/>
        </w:rPr>
        <w:t xml:space="preserve">Sendable</w:t>
      </w:r>
      <w:r>
        <w:t xml:space="preserve"> </w:t>
      </w:r>
      <w:r>
        <w:t xml:space="preserve">enforcement prevents concurrency bugs.</w:t>
      </w:r>
    </w:p>
    <w:p>
      <w:pPr>
        <w:pStyle w:val="BodyText"/>
      </w:pPr>
      <w:r>
        <w:t xml:space="preserve">This creates a determinism stack structurally impossible to replicate on cloud GPU clusters. Cloud scheduling is inherently non-deterministic because multi-tenant workloads share physical resources. Even if a cloud provider offered deterministic kernels, the PCIe boundary and multi-tenant scheduler would remain. The ~27% overhead of custom deterministic Metal kernels</w:t>
      </w:r>
      <w:r>
        <w:t xml:space="preserve"> </w:t>
      </w:r>
      <w:fldSimple w:instr="NOTEREF _Ref_Footnote_15 \h \f">
        <w:r>
          <w:rPr>
            <w:vertAlign w:val="superscript"/>
          </w:rPr>
          <w:t>15</w:t>
        </w:r>
      </w:fldSimple>
      <w:r>
        <w:t xml:space="preserve">is a known, bounded cost on a platform where quantized models achieve perfect reproducibility at zero overhead</w:t>
      </w:r>
      <w:r>
        <w:t xml:space="preserve"> </w:t>
      </w:r>
      <w:fldSimple w:instr="NOTEREF _Ref_Footnote_22 \h \f">
        <w:r>
          <w:rPr>
            <w:vertAlign w:val="superscript"/>
          </w:rPr>
          <w:t>22</w:t>
        </w:r>
      </w:fldSimple>
      <w:r>
        <w:t xml:space="preserve">. For deterministic AI agents, Apple Silicon is the only substrate that eliminates the fundamental sources of non-determinism at every layer.</w:t>
      </w:r>
    </w:p>
    <w:bookmarkEnd w:id="174"/>
    <w:bookmarkStart w:id="175" w:name="X5e9850273347a285af8da378104140a87601691"/>
    <w:p>
      <w:pPr>
        <w:pStyle w:val="Heading4"/>
      </w:pPr>
      <w:r>
        <w:t xml:space="preserve">10.3.3 Insight 11 — Determinism-Privacy-Locality Triad: A Structural Moat</w:t>
      </w:r>
    </w:p>
    <w:p>
      <w:pPr>
        <w:pStyle w:val="FirstParagraph"/>
      </w:pPr>
      <w:r>
        <w:t xml:space="preserve">The determinism-privacy-locality triad is a structural moat that cloud AI cannot replicate. The insight fuses four analyses: cloud inference cannot guarantee byte-identical replays across different hardware</w:t>
      </w:r>
      <w:r>
        <w:t xml:space="preserve"> </w:t>
      </w:r>
      <w:fldSimple w:instr="NOTEREF _Ref_Footnote_1 \h \f">
        <w:r>
          <w:rPr>
            <w:vertAlign w:val="superscript"/>
          </w:rPr>
          <w:t>1</w:t>
        </w:r>
      </w:fldSimple>
      <w:r>
        <w:t xml:space="preserve">; UMA zero-copy is Apple Silicon-specific while cloud GPUs have discrete memory</w:t>
      </w:r>
      <w:r>
        <w:t xml:space="preserve"> </w:t>
      </w:r>
      <w:fldSimple w:instr="NOTEREF _Ref_Footnote_20 \h \f">
        <w:r>
          <w:rPr>
            <w:vertAlign w:val="superscript"/>
          </w:rPr>
          <w:t>20</w:t>
        </w:r>
      </w:fldSimple>
      <w:r>
        <w:t xml:space="preserve">; type-safe compilation requires local toolchain access</w:t>
      </w:r>
      <w:r>
        <w:t xml:space="preserve"> </w:t>
      </w:r>
      <w:fldSimple w:instr="NOTEREF _Ref_Footnote_70 \h \f">
        <w:r>
          <w:rPr>
            <w:vertAlign w:val="superscript"/>
          </w:rPr>
          <w:t>70</w:t>
        </w:r>
      </w:fldSimple>
      <w:r>
        <w:t xml:space="preserve">; and personal knowledge graphs are inherently local</w:t>
      </w:r>
      <w:r>
        <w:t xml:space="preserve"> </w:t>
      </w:r>
      <w:fldSimple w:instr="NOTEREF _Ref_Footnote_23 \h \f">
        <w:r>
          <w:rPr>
            <w:vertAlign w:val="superscript"/>
          </w:rPr>
          <w:t>23</w:t>
        </w:r>
      </w:fldSimple>
      <w:r>
        <w:t xml:space="preserve">.</w:t>
      </w:r>
    </w:p>
    <w:p>
      <w:pPr>
        <w:pStyle w:val="BodyText"/>
      </w:pPr>
      <w:r>
        <w:t xml:space="preserve">The defensible claim is not that a 7B-parameter local model beats a 1T-parameter cloud model on all tasks. The defensible claim is:</w:t>
      </w:r>
      <w:r>
        <w:t xml:space="preserve"> </w:t>
      </w:r>
      <w:r>
        <w:rPr>
          <w:bCs/>
          <w:b/>
        </w:rPr>
        <w:t xml:space="preserve">deterministic, auditable, privacy-preserving, user-owned reasoning beats unconstrained cloud inference on reliability-critical tasks.</w:t>
      </w:r>
      <w:r>
        <w:t xml:space="preserve"> </w:t>
      </w:r>
      <w:r>
        <w:t xml:space="preserve">This is a real moat because cloud architectures structurally cannot provide these properties. Multi-tenancy breaks determinism. Data transmission breaks privacy. Centralized storage breaks user ownership. The moat is not performance; it is properties incompatible with cloud economics.</w:t>
      </w:r>
    </w:p>
    <w:bookmarkEnd w:id="175"/>
    <w:bookmarkStart w:id="176" w:name="X0cfc1c029af3f15a2087a1501dc734cdc1fe7d7"/>
    <w:p>
      <w:pPr>
        <w:pStyle w:val="Heading4"/>
      </w:pPr>
      <w:r>
        <w:t xml:space="preserve">10.3.4 Insight 13 — Ontological Compile Target: One Specification, Dual Enforcement</w:t>
      </w:r>
    </w:p>
    <w:p>
      <w:pPr>
        <w:pStyle w:val="FirstParagraph"/>
      </w:pPr>
      <w:r>
        <w:t xml:space="preserve">Ontological profiles can be compiled to both Rust traits (runtime validation) and neural network architectures (structural inductive bias). The insight fuses executable ontologies from Chapter 4, compiler-constrained cognition from Chapter 14, and physics-informed neural networks from Chapter 16.</w:t>
      </w:r>
    </w:p>
    <w:p>
      <w:pPr>
        <w:pStyle w:val="BodyText"/>
      </w:pPr>
      <w:r>
        <w:t xml:space="preserve">An</w:t>
      </w:r>
      <w:r>
        <w:t xml:space="preserve"> </w:t>
      </w:r>
      <w:r>
        <w:rPr>
          <w:rStyle w:val="VerbatimChar"/>
        </w:rPr>
        <w:t xml:space="preserve">OntologicalProfile</w:t>
      </w:r>
      <w:r>
        <w:t xml:space="preserve"> </w:t>
      </w:r>
      <w:r>
        <w:t xml:space="preserve">defines entities, relations, invariants, and proof obligations</w:t>
      </w:r>
      <w:r>
        <w:t xml:space="preserve"> </w:t>
      </w:r>
      <w:fldSimple w:instr="NOTEREF _Ref_Footnote_13 \h \f">
        <w:r>
          <w:rPr>
            <w:vertAlign w:val="superscript"/>
          </w:rPr>
          <w:t>13</w:t>
        </w:r>
      </w:fldSimple>
      <w:r>
        <w:t xml:space="preserve">. From this single specification, two compilation targets emerge. First, Rust const generics compile the type constraints to zero-cost runtime checks: a</w:t>
      </w:r>
      <w:r>
        <w:t xml:space="preserve"> </w:t>
      </w:r>
      <w:r>
        <w:rPr>
          <w:rStyle w:val="VerbatimChar"/>
        </w:rPr>
        <w:t xml:space="preserve">Dimension</w:t>
      </w:r>
      <w:r>
        <w:t xml:space="preserve"> </w:t>
      </w:r>
      <w:r>
        <w:t xml:space="preserve">type prevents</w:t>
      </w:r>
      <w:r>
        <w:t xml:space="preserve"> </w:t>
      </w:r>
      <m:oMath>
        <m:r>
          <m:rPr>
            <m:nor/>
            <m:sty m:val="p"/>
          </m:rPr>
          <m:t>Length</m:t>
        </m:r>
        <m:r>
          <m:rPr>
            <m:sty m:val="p"/>
          </m:rPr>
          <m:t>+</m:t>
        </m:r>
        <m:r>
          <m:rPr>
            <m:nor/>
            <m:sty m:val="p"/>
          </m:rPr>
          <m:t>Time</m:t>
        </m:r>
      </m:oMath>
      <w:r>
        <w:t xml:space="preserve"> </w:t>
      </w:r>
      <w:r>
        <w:t xml:space="preserve">operations at compile time</w:t>
      </w:r>
      <w:r>
        <w:t xml:space="preserve"> </w:t>
      </w:r>
      <w:fldSimple w:instr="NOTEREF _Ref_Footnote_70 \h \f">
        <w:r>
          <w:rPr>
            <w:vertAlign w:val="superscript"/>
          </w:rPr>
          <w:t>70</w:t>
        </w:r>
      </w:fldSimple>
      <w:r>
        <w:t xml:space="preserve">. Second, Hamiltonian and Lagrangian neural network architectures embed the same physical structure as architectural bias: SymDLNN auto-discovers conservation laws from learned Lagrangians via Noether’s theorem</w:t>
      </w:r>
      <w:r>
        <w:t xml:space="preserve"> </w:t>
      </w:r>
      <w:fldSimple w:instr="NOTEREF _Ref_Footnote_17 \h \f">
        <w:r>
          <w:rPr>
            <w:vertAlign w:val="superscript"/>
          </w:rPr>
          <w:t>17</w:t>
        </w:r>
      </w:fldSimple>
      <w:r>
        <w:t xml:space="preserve">.</w:t>
      </w:r>
    </w:p>
    <w:p>
      <w:pPr>
        <w:pStyle w:val="BodyText"/>
      </w:pPr>
      <w:r>
        <w:t xml:space="preserve">The dual compilation prevents specification drift. When a physics ontology is updated — for instance, adding a new conservation law — the change propagates automatically to both the Rust validation layer and the neural network architecture constraints. The alternative is maintaining two separate specifications, which inevitably diverge. The theoretical foundation — that physical law can be expressed both as type constraints and as neural inductive bias — is well-established.</w:t>
      </w:r>
    </w:p>
    <w:bookmarkEnd w:id="176"/>
    <w:bookmarkStart w:id="177" w:name="X1ca53291e270503f083548339aaccc31cb9a79b"/>
    <w:p>
      <w:pPr>
        <w:pStyle w:val="Heading4"/>
      </w:pPr>
      <w:r>
        <w:t xml:space="preserve">10.3.5 Insight 15 — Complete Stack as New Paradigm: Emergent Properties from Systematic Integration</w:t>
      </w:r>
    </w:p>
    <w:p>
      <w:pPr>
        <w:pStyle w:val="FirstParagraph"/>
      </w:pPr>
      <w:r>
        <w:t xml:space="preserve">When all seventeen dimensions are integrated, the UASA/Rex stack represents a new class of computing system. No single breakthrough creates superintelligence — but the systematic integration of all seventeen dimensions creates emergent properties absent from any individual component.</w:t>
      </w:r>
    </w:p>
    <w:p>
      <w:pPr>
        <w:pStyle w:val="BodyText"/>
      </w:pPr>
      <w:r>
        <w:t xml:space="preserve">Four emergent properties are architecturally guaranteed.</w:t>
      </w:r>
      <w:r>
        <w:t xml:space="preserve"> </w:t>
      </w:r>
      <w:r>
        <w:rPr>
          <w:bCs/>
          <w:b/>
        </w:rPr>
        <w:t xml:space="preserve">Self-monitoring</w:t>
      </w:r>
      <w:r>
        <w:t xml:space="preserve">: SAE real-time sensors + constraint engine + repair loop = a system that watches its own latent trajectories and intervenes before failure manifests.</w:t>
      </w:r>
      <w:r>
        <w:t xml:space="preserve"> </w:t>
      </w:r>
      <w:r>
        <w:rPr>
          <w:bCs/>
          <w:b/>
        </w:rPr>
        <w:t xml:space="preserve">Self-improving</w:t>
      </w:r>
      <w:r>
        <w:t xml:space="preserve">: benchmark fingerprinting + GRPO + feature-guided synthesis = continuous learning that targets representation gaps rather than surface errors.</w:t>
      </w:r>
      <w:r>
        <w:t xml:space="preserve"> </w:t>
      </w:r>
      <w:r>
        <w:rPr>
          <w:bCs/>
          <w:b/>
        </w:rPr>
        <w:t xml:space="preserve">Self-proving</w:t>
      </w:r>
      <w:r>
        <w:t xml:space="preserve">: deterministic replay + formal verification + proof-carrying responses = mathematically auditable outputs with cryptographic provenance.</w:t>
      </w:r>
      <w:r>
        <w:t xml:space="preserve"> </w:t>
      </w:r>
      <w:r>
        <w:rPr>
          <w:bCs/>
          <w:b/>
        </w:rPr>
        <w:t xml:space="preserve">Self-correcting</w:t>
      </w:r>
      <w:r>
        <w:t xml:space="preserve">: Active Inference dynamics + staged verification + hallucination early warning = resilience that repairs deviations at multiple timescales.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Emergent Property</w:t>
            </w:r>
          </w:p>
        </w:tc>
        <w:tc>
          <w:tcPr/>
          <w:p>
            <w:pPr>
              <w:pStyle w:val="Compact"/>
              <w:jc w:val="left"/>
            </w:pPr>
            <w:r>
              <w:t xml:space="preserve">Constituent Insights</w:t>
            </w:r>
          </w:p>
        </w:tc>
        <w:tc>
          <w:tcPr/>
          <w:p>
            <w:pPr>
              <w:pStyle w:val="Compact"/>
              <w:jc w:val="left"/>
            </w:pPr>
            <w:r>
              <w:t xml:space="preserve">Enabling Dimensions</w:t>
            </w:r>
          </w:p>
        </w:tc>
        <w:tc>
          <w:tcPr/>
          <w:p>
            <w:pPr>
              <w:pStyle w:val="Compact"/>
              <w:jc w:val="left"/>
            </w:pPr>
            <w:r>
              <w:t xml:space="preserve">Manifestation</w:t>
            </w:r>
          </w:p>
        </w:tc>
        <w:tc>
          <w:tcPr/>
          <w:p>
            <w:pPr>
              <w:pStyle w:val="Compact"/>
              <w:jc w:val="left"/>
            </w:pPr>
            <w:r>
              <w:t xml:space="preserve">Confidence</w:t>
            </w:r>
          </w:p>
        </w:tc>
      </w:tr>
      <w:tr>
        <w:tc>
          <w:tcPr/>
          <w:p>
            <w:pPr>
              <w:pStyle w:val="Compact"/>
              <w:jc w:val="left"/>
            </w:pPr>
            <w:r>
              <w:t xml:space="preserve">Self-monitoring</w:t>
            </w:r>
          </w:p>
        </w:tc>
        <w:tc>
          <w:tcPr/>
          <w:p>
            <w:pPr>
              <w:pStyle w:val="Compact"/>
              <w:jc w:val="left"/>
            </w:pPr>
            <w:r>
              <w:t xml:space="preserve">Insights 1, 8, 14</w:t>
            </w:r>
          </w:p>
        </w:tc>
        <w:tc>
          <w:tcPr/>
          <w:p>
            <w:pPr>
              <w:pStyle w:val="Compact"/>
              <w:jc w:val="left"/>
            </w:pPr>
            <w:r>
              <w:t xml:space="preserve">SAE (Dim02), Hallucination (Dim10), Apple Silicon (Dim07), Benchmarks (Dim09)</w:t>
            </w:r>
          </w:p>
        </w:tc>
        <w:tc>
          <w:tcPr/>
          <w:p>
            <w:pPr>
              <w:pStyle w:val="Compact"/>
              <w:jc w:val="left"/>
            </w:pPr>
            <w:r>
              <w:t xml:space="preserve">Real-time latent-state health monitoring with predictive intervention</w:t>
            </w:r>
          </w:p>
        </w:tc>
        <w:tc>
          <w:tcPr/>
          <w:p>
            <w:pPr>
              <w:pStyle w:val="Compact"/>
              <w:jc w:val="left"/>
            </w:pPr>
            <w:r>
              <w:t xml:space="preserve">HIGH</w:t>
            </w:r>
          </w:p>
        </w:tc>
      </w:tr>
      <w:tr>
        <w:tc>
          <w:tcPr/>
          <w:p>
            <w:pPr>
              <w:pStyle w:val="Compact"/>
              <w:jc w:val="left"/>
            </w:pPr>
            <w:r>
              <w:t xml:space="preserve">Self-improving</w:t>
            </w:r>
          </w:p>
        </w:tc>
        <w:tc>
          <w:tcPr/>
          <w:p>
            <w:pPr>
              <w:pStyle w:val="Compact"/>
              <w:jc w:val="left"/>
            </w:pPr>
            <w:r>
              <w:t xml:space="preserve">Insights 4, 12, 14</w:t>
            </w:r>
          </w:p>
        </w:tc>
        <w:tc>
          <w:tcPr/>
          <w:p>
            <w:pPr>
              <w:pStyle w:val="Compact"/>
              <w:jc w:val="left"/>
            </w:pPr>
            <w:r>
              <w:t xml:space="preserve">Benchmarks (Dim09), GRPO (Dim13), SAE (Dim02), Manifold (Dim03)</w:t>
            </w:r>
          </w:p>
        </w:tc>
        <w:tc>
          <w:tcPr/>
          <w:p>
            <w:pPr>
              <w:pStyle w:val="Compact"/>
              <w:jc w:val="left"/>
            </w:pPr>
            <w:r>
              <w:t xml:space="preserve">Continuous closed-loop training targeting feature gaps</w:t>
            </w:r>
          </w:p>
        </w:tc>
        <w:tc>
          <w:tcPr/>
          <w:p>
            <w:pPr>
              <w:pStyle w:val="Compact"/>
              <w:jc w:val="left"/>
            </w:pPr>
            <w:r>
              <w:t xml:space="preserve">MEDIUM-HIGH</w:t>
            </w:r>
          </w:p>
        </w:tc>
      </w:tr>
      <w:tr>
        <w:tc>
          <w:tcPr/>
          <w:p>
            <w:pPr>
              <w:pStyle w:val="Compact"/>
              <w:jc w:val="left"/>
            </w:pPr>
            <w:r>
              <w:t xml:space="preserve">Self-proving</w:t>
            </w:r>
          </w:p>
        </w:tc>
        <w:tc>
          <w:tcPr/>
          <w:p>
            <w:pPr>
              <w:pStyle w:val="Compact"/>
              <w:jc w:val="left"/>
            </w:pPr>
            <w:r>
              <w:t xml:space="preserve">Insights 2, 7</w:t>
            </w:r>
          </w:p>
        </w:tc>
        <w:tc>
          <w:tcPr/>
          <w:p>
            <w:pPr>
              <w:pStyle w:val="Compact"/>
              <w:jc w:val="left"/>
            </w:pPr>
            <w:r>
              <w:t xml:space="preserve">Determinism (Dim01), Verification (Dim06), FFI (Dim12), Apple Silicon (Dim07)</w:t>
            </w:r>
          </w:p>
        </w:tc>
        <w:tc>
          <w:tcPr/>
          <w:p>
            <w:pPr>
              <w:pStyle w:val="Compact"/>
              <w:jc w:val="left"/>
            </w:pPr>
            <w:r>
              <w:t xml:space="preserve">Cryptographic attestation of every reasoning step</w:t>
            </w:r>
          </w:p>
        </w:tc>
        <w:tc>
          <w:tcPr/>
          <w:p>
            <w:pPr>
              <w:pStyle w:val="Compact"/>
              <w:jc w:val="left"/>
            </w:pPr>
            <w:r>
              <w:t xml:space="preserve">HIGH</w:t>
            </w:r>
          </w:p>
        </w:tc>
      </w:tr>
      <w:tr>
        <w:tc>
          <w:tcPr/>
          <w:p>
            <w:pPr>
              <w:pStyle w:val="Compact"/>
              <w:jc w:val="left"/>
            </w:pPr>
            <w:r>
              <w:t xml:space="preserve">Self-correcting</w:t>
            </w:r>
          </w:p>
        </w:tc>
        <w:tc>
          <w:tcPr/>
          <w:p>
            <w:pPr>
              <w:pStyle w:val="Compact"/>
              <w:jc w:val="left"/>
            </w:pPr>
            <w:r>
              <w:t xml:space="preserve">Insights 6, 8, 10</w:t>
            </w:r>
          </w:p>
        </w:tc>
        <w:tc>
          <w:tcPr/>
          <w:p>
            <w:pPr>
              <w:pStyle w:val="Compact"/>
              <w:jc w:val="left"/>
            </w:pPr>
            <w:r>
              <w:t xml:space="preserve">Active Inference (Dim17), Repair (Dim08), Hallucination (Dim10), Ontologies (Dim04)</w:t>
            </w:r>
          </w:p>
        </w:tc>
        <w:tc>
          <w:tcPr/>
          <w:p>
            <w:pPr>
              <w:pStyle w:val="Compact"/>
              <w:jc w:val="left"/>
            </w:pPr>
            <w:r>
              <w:t xml:space="preserve">Multi-timescale resilience from pre-emption through repair</w:t>
            </w:r>
          </w:p>
        </w:tc>
        <w:tc>
          <w:tcPr/>
          <w:p>
            <w:pPr>
              <w:pStyle w:val="Compact"/>
              <w:jc w:val="left"/>
            </w:pPr>
            <w:r>
              <w:t xml:space="preserve">HIGH</w:t>
            </w:r>
          </w:p>
        </w:tc>
      </w:tr>
    </w:tbl>
    <w:p>
      <w:pPr>
        <w:pStyle w:val="BodyText"/>
      </w:pPr>
      <w:r>
        <w:rPr>
          <w:iCs/>
          <w:i/>
        </w:rPr>
        <w:t xml:space="preserve">Table 10.4: Emergent properties of the complete UASA/Rex stack. Each property emerges from the systematic integration of multiple insights and dimensions; none is achievable with any single component in isolation.</w:t>
      </w:r>
    </w:p>
    <w:p>
      <w:pPr>
        <w:pStyle w:val="BodyText"/>
      </w:pPr>
      <w:r>
        <w:t xml:space="preserve">These emergent properties are architectural consequences of specific design decisions. Self-monitoring follows from the temporal ordering of latent features before tokens. Self-improving follows from the correlation between feature coverage and benchmark performance. Self-proving follows from the combination of deterministic replay and cryptographic hashing. Self-correcting follows from the structural isomorphism between repair loops and variational inference. The stack is not an LLM wrapper, not a traditional operating system, but a computational substrate where physical law, formal logic, and neural computation are unified through deterministic execution — a substrate where the system can examine its own reasoning, improve its own weights, prove its own correctness, and correct its own errors.</w:t>
      </w:r>
    </w:p>
    <w:p>
      <w:r>
        <w:pict>
          <v:rect style="width:0;height:1.5pt" o:hralign="center" o:hrstd="t" o:hr="t"/>
        </w:pict>
      </w:r>
    </w:p>
    <w:bookmarkEnd w:id="177"/>
    <w:bookmarkEnd w:id="178"/>
    <w:bookmarkEnd w:id="179"/>
    <w:bookmarkStart w:id="186" w:name="X75f859acb008b6d1cbc063a1b7d3fb6dbb4f807"/>
    <w:p>
      <w:pPr>
        <w:pStyle w:val="Heading2"/>
      </w:pPr>
      <w:r>
        <w:t xml:space="preserve">11. Implementation Roadmap and Risk Assessment</w:t>
      </w:r>
    </w:p>
    <w:p>
      <w:pPr>
        <w:pStyle w:val="FirstParagraph"/>
      </w:pPr>
      <w:r>
        <w:t xml:space="preserve">The preceding ten chapters established that a deterministic superintelligence substrate is architecturally possible. This chapter translates that synthesis into a concrete build schedule with deliverables, verification criteria, and honest accounting of what can go wrong. It also addresses what the analysis has ruled out—not through opinion, but through convergent physical law, empirical measurement, and formal proof.</w:t>
      </w:r>
    </w:p>
    <w:bookmarkStart w:id="180" w:name="four-phase-build-plan"/>
    <w:p>
      <w:pPr>
        <w:pStyle w:val="Heading3"/>
      </w:pPr>
      <w:r>
        <w:t xml:space="preserve">11.1 Four-Phase Build Plan</w:t>
      </w:r>
    </w:p>
    <w:p>
      <w:pPr>
        <w:pStyle w:val="FirstParagraph"/>
      </w:pPr>
      <w:r>
        <w:t xml:space="preserve">The build plan follows strict dependency order: each phase delivers verified subsystems that subsequent phases compose. The timeline is aggressive but grounded in the observation that every component has at least one independently validated implementation.</w:t>
      </w:r>
    </w:p>
    <w:p>
      <w:pPr>
        <w:pStyle w:val="BodyText"/>
      </w:pPr>
      <w:r>
        <w:rPr>
          <w:bCs/>
          <w:b/>
        </w:rPr>
        <w:t xml:space="preserve">Phase 1 (Weeks 1–4): Foundation.</w:t>
      </w:r>
      <w:r>
        <w:t xml:space="preserve"> </w:t>
      </w:r>
      <w:r>
        <w:t xml:space="preserve">The Rex runtime is built on MadSim’s deterministic async scheduler, which intercepts</w:t>
      </w:r>
      <w:r>
        <w:t xml:space="preserve"> </w:t>
      </w:r>
      <w:r>
        <w:rPr>
          <w:rStyle w:val="VerbatimChar"/>
        </w:rPr>
        <w:t xml:space="preserve">getrandom</w:t>
      </w:r>
      <w:r>
        <w:t xml:space="preserve"> </w:t>
      </w:r>
      <w:r>
        <w:t xml:space="preserve">and</w:t>
      </w:r>
      <w:r>
        <w:t xml:space="preserve"> </w:t>
      </w:r>
      <w:r>
        <w:rPr>
          <w:rStyle w:val="VerbatimChar"/>
        </w:rPr>
        <w:t xml:space="preserve">clock_gettime</w:t>
      </w:r>
      <w:r>
        <w:t xml:space="preserve"> </w:t>
      </w:r>
      <w:r>
        <w:t xml:space="preserve">to replace them with seeded pseudo-random generators and virtual clocks</w:t>
      </w:r>
      <w:r>
        <w:t xml:space="preserve"> </w:t>
      </w:r>
      <w:fldSimple w:instr="NOTEREF _Ref_Footnote_6 \h \f">
        <w:r>
          <w:rPr>
            <w:vertAlign w:val="superscript"/>
          </w:rPr>
          <w:t>6</w:t>
        </w:r>
      </w:fldSimple>
      <w:r>
        <w:t xml:space="preserve">. On Apple Silicon,</w:t>
      </w:r>
      <w:r>
        <w:t xml:space="preserve"> </w:t>
      </w:r>
      <w:r>
        <w:rPr>
          <w:rStyle w:val="VerbatimChar"/>
        </w:rPr>
        <w:t xml:space="preserve">MTLStorageModeShared</w:t>
      </w:r>
      <w:r>
        <w:t xml:space="preserve"> </w:t>
      </w:r>
      <w:r>
        <w:t xml:space="preserve">memory allocation ensures tensors are directly readable by Metal shaders and the Apple Neural Engine (ANE) without copy or address translation</w:t>
      </w:r>
      <w:r>
        <w:t xml:space="preserve"> </w:t>
      </w:r>
      <w:fldSimple w:instr="NOTEREF _Ref_Footnote_14 \h \f">
        <w:r>
          <w:rPr>
            <w:vertAlign w:val="superscript"/>
          </w:rPr>
          <w:t>14</w:t>
        </w:r>
      </w:fldSimple>
      <w:r>
        <w:t xml:space="preserve">. Claim-graph extraction runs via XGrammar 2 at 30–80 µs per token</w:t>
      </w:r>
      <w:r>
        <w:t xml:space="preserve"> </w:t>
      </w:r>
      <w:fldSimple w:instr="NOTEREF _Ref_Footnote_21 \h \f">
        <w:r>
          <w:rPr>
            <w:vertAlign w:val="superscript"/>
          </w:rPr>
          <w:t>21</w:t>
        </w:r>
      </w:fldSimple>
      <w:r>
        <w:t xml:space="preserve">, fast enough to process every generated sentence. The initial model is Qwen3-8B, chosen because Qwen-Scope provides open-source sparse autoencoders (SAEs) across the Qwen family, enabling immediate feature monitoring without custom dictionary training</w:t>
      </w:r>
      <w:r>
        <w:t xml:space="preserve"> </w:t>
      </w:r>
      <w:fldSimple w:instr="NOTEREF _Ref_Footnote_3 \h \f">
        <w:r>
          <w:rPr>
            <w:vertAlign w:val="superscript"/>
          </w:rPr>
          <w:t>3</w:t>
        </w:r>
      </w:fldSimple>
      <w:r>
        <w:t xml:space="preserve">. Verification criteria are binary: 100 seeded prompts must produce byte-identical outputs; claim extraction must parse 90%+ of declarative sentences; and the Run Ledger must enable deterministic replay with cryptographic attestation.</w:t>
      </w:r>
    </w:p>
    <w:p>
      <w:pPr>
        <w:pStyle w:val="BodyText"/>
      </w:pPr>
      <w:r>
        <w:rPr>
          <w:bCs/>
          <w:b/>
        </w:rPr>
        <w:t xml:space="preserve">Phase 2 (Weeks 5–8): Constraints and Monitoring.</w:t>
      </w:r>
      <w:r>
        <w:t xml:space="preserve"> </w:t>
      </w:r>
      <w:r>
        <w:t xml:space="preserve">The</w:t>
      </w:r>
      <w:r>
        <w:t xml:space="preserve"> </w:t>
      </w:r>
      <w:r>
        <w:rPr>
          <w:rStyle w:val="VerbatimChar"/>
        </w:rPr>
        <w:t xml:space="preserve">OntologicalProfile</w:t>
      </w:r>
      <w:r>
        <w:t xml:space="preserve"> </w:t>
      </w:r>
      <w:r>
        <w:t xml:space="preserve">compiler transforms domain schemas into Rust traits using const generics, achieving zero-cost dimensional analysis at compile time</w:t>
      </w:r>
      <w:r>
        <w:t xml:space="preserve"> </w:t>
      </w:r>
      <w:fldSimple w:instr="NOTEREF _Ref_Footnote_49 \h \f">
        <w:r>
          <w:rPr>
            <w:vertAlign w:val="superscript"/>
          </w:rPr>
          <w:t>49</w:t>
        </w:r>
      </w:fldSimple>
      <w:r>
        <w:t xml:space="preserve">. The constraint engine validates extracted claims through a staged pipeline: fast path (property-based tests + refinement types, &lt;10 ms), medium path (Kani model checking on bounded harnesses, 0.03 s–5 s), and slow path (Lean theorem proving, offline). SAE integration connects Qwen-Scope feature dictionaries to the engine; Switch SAEs reduce encoder FLOPs by 128× via expert routing, making real-time monitoring feasible below 0.5 ms per token</w:t>
      </w:r>
      <w:r>
        <w:t xml:space="preserve"> </w:t>
      </w:r>
      <w:fldSimple w:instr="NOTEREF _Ref_Footnote_50 \h \f">
        <w:r>
          <w:rPr>
            <w:vertAlign w:val="superscript"/>
          </w:rPr>
          <w:t>50</w:t>
        </w:r>
      </w:fldSimple>
      <w:r>
        <w:t xml:space="preserve">. The repair loop is wired into generation. Because intrinsic self-correction fails 64.5% of the time across 14 models</w:t>
      </w:r>
      <w:r>
        <w:t xml:space="preserve"> </w:t>
      </w:r>
      <w:fldSimple w:instr="NOTEREF _Ref_Footnote_4 \h \f">
        <w:r>
          <w:rPr>
            <w:vertAlign w:val="superscript"/>
          </w:rPr>
          <w:t>4</w:t>
        </w:r>
      </w:fldSimple>
      <w:r>
        <w:t xml:space="preserve">, the loop is tool-augmented by design: external verifiers provide the feedback signal, achieving CRITIC-style gains of 7.7 F1 improvement when search and calculation are available</w:t>
      </w:r>
      <w:r>
        <w:t xml:space="preserve"> </w:t>
      </w:r>
      <w:fldSimple w:instr="NOTEREF _Ref_Footnote_27 \h \f">
        <w:r>
          <w:rPr>
            <w:vertAlign w:val="superscript"/>
          </w:rPr>
          <w:t>27</w:t>
        </w:r>
      </w:fldSimple>
      <w:r>
        <w:t xml:space="preserve">.</w:t>
      </w:r>
    </w:p>
    <w:p>
      <w:pPr>
        <w:pStyle w:val="BodyText"/>
      </w:pPr>
      <w:r>
        <w:rPr>
          <w:bCs/>
          <w:b/>
        </w:rPr>
        <w:t xml:space="preserve">Phase 3 (Weeks 9–14): Memory and Interface.</w:t>
      </w:r>
      <w:r>
        <w:t xml:space="preserve"> </w:t>
      </w:r>
      <w:r>
        <w:t xml:space="preserve">The three-layer memory hierarchy from Chapter 4 is integrated. Layer 1 is the Multi-Head Latent Attention (MLA) compressed KV cache, reducing memory by 90%+ via low-rank latent attention</w:t>
      </w:r>
      <w:r>
        <w:t xml:space="preserve"> </w:t>
      </w:r>
      <w:fldSimple w:instr="NOTEREF _Ref_Footnote_20 \h \f">
        <w:r>
          <w:rPr>
            <w:vertAlign w:val="superscript"/>
          </w:rPr>
          <w:t>20</w:t>
        </w:r>
      </w:fldSimple>
      <w:r>
        <w:t xml:space="preserve">; TransMLA retrofits existing Qwen weights with 93% KV cache compression and 10.6× speedup at 8K context after 6B tokens of fine-tuning</w:t>
      </w:r>
      <w:r>
        <w:t xml:space="preserve"> </w:t>
      </w:r>
      <w:fldSimple w:instr="NOTEREF _Ref_Footnote_61 \h \f">
        <w:r>
          <w:rPr>
            <w:vertAlign w:val="superscript"/>
          </w:rPr>
          <w:t>61</w:t>
        </w:r>
      </w:fldSimple>
      <w:r>
        <w:t xml:space="preserve">. Layer 2 is Hyperdimensional Computing (HDC) associative memory using Fourier Holographic Reduced Representations (FHRR), providing ~10 µs query latency for ~200 reliably encoded associations at 10,000 dimensions</w:t>
      </w:r>
      <w:r>
        <w:t xml:space="preserve"> </w:t>
      </w:r>
      <w:fldSimple w:instr="NOTEREF _Ref_Footnote_25 \h \f">
        <w:r>
          <w:rPr>
            <w:vertAlign w:val="superscript"/>
          </w:rPr>
          <w:t>25</w:t>
        </w:r>
      </w:fldSimple>
      <w:r>
        <w:t xml:space="preserve">. Layer 3 is the Kuramoto attractor on honeycomb topology, achieving exponential capacity</w:t>
      </w:r>
      <w:r>
        <w:t xml:space="preserve"> </w:t>
      </w:r>
      <m:oMath>
        <m:sSub>
          <m:e>
            <m:r>
              <m:t>C</m:t>
            </m:r>
          </m:e>
          <m:sub>
            <m:r>
              <m:rPr>
                <m:nor/>
                <m:sty m:val="p"/>
              </m:rPr>
              <m:t>honeycomb</m:t>
            </m:r>
          </m:sub>
        </m:sSub>
        <m:r>
          <m:rPr>
            <m:sty m:val="p"/>
          </m:rPr>
          <m:t>=</m:t>
        </m:r>
        <m:sSup>
          <m:e>
            <m:d>
              <m:dPr>
                <m:begChr m:val="("/>
                <m:endChr m:val=")"/>
                <m:sepChr m:val=""/>
                <m:grow/>
              </m:dPr>
              <m:e>
                <m:r>
                  <m:t>2</m:t>
                </m:r>
                <m:r>
                  <m:rPr>
                    <m:sty m:val="p"/>
                  </m:rPr>
                  <m:t>⌈</m:t>
                </m:r>
                <m:sSub>
                  <m:e>
                    <m:r>
                      <m:t>n</m:t>
                    </m:r>
                  </m:e>
                  <m:sub>
                    <m:r>
                      <m:t>c</m:t>
                    </m:r>
                  </m:sub>
                </m:sSub>
                <m:r>
                  <m:rPr>
                    <m:sty m:val="p"/>
                  </m:rPr>
                  <m:t>/</m:t>
                </m:r>
                <m:r>
                  <m:t>4</m:t>
                </m:r>
                <m:r>
                  <m:rPr>
                    <m:sty m:val="p"/>
                  </m:rPr>
                  <m:t>⌉</m:t>
                </m:r>
                <m:r>
                  <m:rPr>
                    <m:sty m:val="p"/>
                  </m:rPr>
                  <m:t>−</m:t>
                </m:r>
                <m:r>
                  <m:t>1</m:t>
                </m:r>
              </m:e>
            </m:d>
          </m:e>
          <m:sup>
            <m:r>
              <m:t>m</m:t>
            </m:r>
          </m:sup>
        </m:sSup>
      </m:oMath>
      <w:r>
        <w:t xml:space="preserve"> </w:t>
      </w:r>
      <w:fldSimple w:instr="NOTEREF _Ref_Footnote_17 \h \f">
        <w:r>
          <w:rPr>
            <w:vertAlign w:val="superscript"/>
          </w:rPr>
          <w:t>17</w:t>
        </w:r>
      </w:fldSimple>
      <w:r>
        <w:t xml:space="preserve">, ported to Apple Silicon Metal kernels as an engineering task. Epistemos integration provides the Swift 6 UI:</w:t>
      </w:r>
      <w:r>
        <w:t xml:space="preserve"> </w:t>
      </w:r>
      <w:r>
        <w:rPr>
          <w:rStyle w:val="VerbatimChar"/>
        </w:rPr>
        <w:t xml:space="preserve">Sendable</w:t>
      </w:r>
      <w:r>
        <w:t xml:space="preserve"> </w:t>
      </w:r>
      <w:r>
        <w:t xml:space="preserve">enforcement and actor isolation prevent data races at the language level; Rust’s ownership system prevents them at compile time; UniFFI bridges the two with ~50–100 ns overhead</w:t>
      </w:r>
      <w:r>
        <w:t xml:space="preserve"> </w:t>
      </w:r>
      <w:fldSimple w:instr="NOTEREF _Ref_Footnote_23 \h \f">
        <w:r>
          <w:rPr>
            <w:vertAlign w:val="superscript"/>
          </w:rPr>
          <w:t>23</w:t>
        </w:r>
      </w:fldSimple>
      <w:r>
        <w:t xml:space="preserve">.</w:t>
      </w:r>
    </w:p>
    <w:p>
      <w:pPr>
        <w:pStyle w:val="BodyText"/>
      </w:pPr>
      <w:r>
        <w:rPr>
          <w:bCs/>
          <w:b/>
        </w:rPr>
        <w:t xml:space="preserve">Phase 4 (Weeks 15–24): Training, Fingerprinting, and Swarm.</w:t>
      </w:r>
      <w:r>
        <w:t xml:space="preserve"> </w:t>
      </w:r>
      <w:r>
        <w:t xml:space="preserve">Group Relative Policy Optimization (GRPO) eliminates the critic model, reducing memory consumption by ~50% relative to Proximal Policy Optimization (PPO)</w:t>
      </w:r>
      <w:r>
        <w:t xml:space="preserve"> </w:t>
      </w:r>
      <w:fldSimple w:instr="NOTEREF _Ref_Footnote_12 \h \f">
        <w:r>
          <w:rPr>
            <w:vertAlign w:val="superscript"/>
          </w:rPr>
          <w:t>12</w:t>
        </w:r>
      </w:fldSimple>
      <w:r>
        <w:t xml:space="preserve">. On Apple Silicon with 128 GB unified memory, a 7B-parameter model fits policy + reference + reward within the envelope using 4-bit quantization</w:t>
      </w:r>
      <w:r>
        <w:t xml:space="preserve"> </w:t>
      </w:r>
      <w:fldSimple w:instr="NOTEREF _Ref_Footnote_59 \h \f">
        <w:r>
          <w:rPr>
            <w:vertAlign w:val="superscript"/>
          </w:rPr>
          <w:t>59</w:t>
        </w:r>
      </w:fldSimple>
      <w:r>
        <w:t xml:space="preserve">. SAE benchmark fingerprinting profiles the model across evaluation suites, identifying feature gaps at Spearman</w:t>
      </w:r>
      <w:r>
        <w:t xml:space="preserve"> </w:t>
      </w:r>
      <m:oMath>
        <m:r>
          <m:t>ρ</m:t>
        </m:r>
        <m:r>
          <m:rPr>
            <m:sty m:val="p"/>
          </m:rPr>
          <m:t>≈</m:t>
        </m:r>
        <m:r>
          <m:t>0.85</m:t>
        </m:r>
      </m:oMath>
      <w:r>
        <w:t xml:space="preserve"> </w:t>
      </w:r>
      <w:r>
        <w:t xml:space="preserve">correlation with performance redundancy</w:t>
      </w:r>
      <w:r>
        <w:t xml:space="preserve"> </w:t>
      </w:r>
      <w:fldSimple w:instr="NOTEREF _Ref_Footnote_3 \h \f">
        <w:r>
          <w:rPr>
            <w:vertAlign w:val="superscript"/>
          </w:rPr>
          <w:t>3</w:t>
        </w:r>
      </w:fldSimple>
      <w:r>
        <w:t xml:space="preserve">. Feature Activation Coverage (FAC) Synthesis closes gaps using 150× fewer samples than standard synthetic data pipelines</w:t>
      </w:r>
      <w:r>
        <w:t xml:space="preserve"> </w:t>
      </w:r>
      <w:fldSimple w:instr="NOTEREF _Ref_Footnote_63 \h \f">
        <w:r>
          <w:rPr>
            <w:vertAlign w:val="superscript"/>
          </w:rPr>
          <w:t>63</w:t>
        </w:r>
      </w:fldSimple>
      <w:r>
        <w:t xml:space="preserve">. The multi-agent swarm deploys 8+ specialized agents on an M4 Max, each running with deterministic seeds and byte-identical replay. Agent interactions are logged in a Merkle DAG, and Conflict-free Replicated Data Types (CRDTs) synchronize state without a central coordinator</w:t>
      </w:r>
      <w:r>
        <w:t xml:space="preserve"> </w:t>
      </w:r>
      <w:fldSimple w:instr="NOTEREF _Ref_Footnote_23 \h \f">
        <w:r>
          <w:rPr>
            <w:vertAlign w:val="superscript"/>
          </w:rPr>
          <w:t>23</w:t>
        </w:r>
      </w:fldSimple>
      <w:r>
        <w:t xml:space="preserve">. The full verification bridge connects all three verification tiers into an automated pipeline that escalates based on step criticality.</w:t>
      </w:r>
    </w:p>
    <w:p>
      <w:pPr>
        <w:pStyle w:val="BodyText"/>
      </w:pPr>
      <w:r>
        <w:rPr>
          <w:bCs/>
          <w:b/>
        </w:rPr>
        <w:t xml:space="preserve">Table 11.1: Four-Phase Build Plan</w:t>
      </w:r>
    </w:p>
    <w:tbl>
      <w:tblPr>
        <w:tblStyle w:val="Table"/>
        <w:tblW w:type="pct" w:w="5000"/>
        <w:tblLook w:firstRow="1" w:lastRow="0" w:firstColumn="0" w:lastColumn="0" w:noHBand="0" w:noVBand="0" w:val="0020"/>
      </w:tblPr>
      <w:tblGrid>
        <w:gridCol w:w="739"/>
        <w:gridCol w:w="1056"/>
        <w:gridCol w:w="1795"/>
        <w:gridCol w:w="1900"/>
        <w:gridCol w:w="2428"/>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Core Components</w:t>
            </w:r>
          </w:p>
        </w:tc>
        <w:tc>
          <w:tcPr/>
          <w:p>
            <w:pPr>
              <w:pStyle w:val="Compact"/>
              <w:jc w:val="left"/>
            </w:pPr>
            <w:r>
              <w:t xml:space="preserve">Key Deliverables</w:t>
            </w:r>
          </w:p>
        </w:tc>
        <w:tc>
          <w:tcPr/>
          <w:p>
            <w:pPr>
              <w:pStyle w:val="Compact"/>
              <w:jc w:val="left"/>
            </w:pPr>
            <w:r>
              <w:t xml:space="preserve">Verification Criteria</w:t>
            </w:r>
          </w:p>
        </w:tc>
      </w:tr>
      <w:tr>
        <w:tc>
          <w:tcPr/>
          <w:p>
            <w:pPr>
              <w:pStyle w:val="Compact"/>
              <w:jc w:val="left"/>
            </w:pPr>
            <w:r>
              <w:t xml:space="preserve">1 — Foundation</w:t>
            </w:r>
          </w:p>
        </w:tc>
        <w:tc>
          <w:tcPr/>
          <w:p>
            <w:pPr>
              <w:pStyle w:val="Compact"/>
              <w:jc w:val="left"/>
            </w:pPr>
            <w:r>
              <w:t xml:space="preserve">Weeks 1–4</w:t>
            </w:r>
          </w:p>
        </w:tc>
        <w:tc>
          <w:tcPr/>
          <w:p>
            <w:pPr>
              <w:pStyle w:val="Compact"/>
              <w:jc w:val="left"/>
            </w:pPr>
            <w:r>
              <w:t xml:space="preserve">MadSim scheduler</w:t>
            </w:r>
            <w:r>
              <w:t xml:space="preserve"> </w:t>
            </w:r>
            <w:fldSimple w:instr="NOTEREF _Ref_Footnote_6 \h \f">
              <w:r>
                <w:rPr>
                  <w:vertAlign w:val="superscript"/>
                </w:rPr>
                <w:t>6</w:t>
              </w:r>
            </w:fldSimple>
            <w:r>
              <w:t xml:space="preserve">; Metal UMA zero-copy</w:t>
            </w:r>
            <w:r>
              <w:t xml:space="preserve"> </w:t>
            </w:r>
            <w:fldSimple w:instr="NOTEREF _Ref_Footnote_14 \h \f">
              <w:r>
                <w:rPr>
                  <w:vertAlign w:val="superscript"/>
                </w:rPr>
                <w:t>14</w:t>
              </w:r>
            </w:fldSimple>
            <w:r>
              <w:t xml:space="preserve">; XGrammar extraction</w:t>
            </w:r>
            <w:r>
              <w:t xml:space="preserve"> </w:t>
            </w:r>
            <w:fldSimple w:instr="NOTEREF _Ref_Footnote_21 \h \f">
              <w:r>
                <w:rPr>
                  <w:vertAlign w:val="superscript"/>
                </w:rPr>
                <w:t>21</w:t>
              </w:r>
            </w:fldSimple>
            <w:r>
              <w:t xml:space="preserve">; Qwen3-8B base</w:t>
            </w:r>
          </w:p>
        </w:tc>
        <w:tc>
          <w:tcPr/>
          <w:p>
            <w:pPr>
              <w:pStyle w:val="Compact"/>
              <w:jc w:val="left"/>
            </w:pPr>
            <w:r>
              <w:t xml:space="preserve">Seeded deterministic inference; basic claim parsing; Run Ledger</w:t>
            </w:r>
          </w:p>
        </w:tc>
        <w:tc>
          <w:tcPr/>
          <w:p>
            <w:pPr>
              <w:pStyle w:val="Compact"/>
              <w:jc w:val="left"/>
            </w:pPr>
            <w:r>
              <w:t xml:space="preserve">100% bitwise replay on 100 prompts; 90%+ claim extraction accuracy</w:t>
            </w:r>
          </w:p>
        </w:tc>
      </w:tr>
      <w:tr>
        <w:tc>
          <w:tcPr/>
          <w:p>
            <w:pPr>
              <w:pStyle w:val="Compact"/>
              <w:jc w:val="left"/>
            </w:pPr>
            <w:r>
              <w:t xml:space="preserve">2 — Constraints</w:t>
            </w:r>
          </w:p>
        </w:tc>
        <w:tc>
          <w:tcPr/>
          <w:p>
            <w:pPr>
              <w:pStyle w:val="Compact"/>
              <w:jc w:val="left"/>
            </w:pPr>
            <w:r>
              <w:t xml:space="preserve">Weeks 5–8</w:t>
            </w:r>
          </w:p>
        </w:tc>
        <w:tc>
          <w:tcPr/>
          <w:p>
            <w:pPr>
              <w:pStyle w:val="Compact"/>
              <w:jc w:val="left"/>
            </w:pPr>
            <w:r>
              <w:t xml:space="preserve">OntologicalProfile compiler</w:t>
            </w:r>
            <w:r>
              <w:t xml:space="preserve"> </w:t>
            </w:r>
            <w:fldSimple w:instr="NOTEREF _Ref_Footnote_49 \h \f">
              <w:r>
                <w:rPr>
                  <w:vertAlign w:val="superscript"/>
                </w:rPr>
                <w:t>49</w:t>
              </w:r>
            </w:fldSimple>
            <w:r>
              <w:t xml:space="preserve">; staged verifier; Switch SAE monitoring</w:t>
            </w:r>
            <w:r>
              <w:t xml:space="preserve"> </w:t>
            </w:r>
            <w:fldSimple w:instr="NOTEREF _Ref_Footnote_50 \h \f">
              <w:r>
                <w:rPr>
                  <w:vertAlign w:val="superscript"/>
                </w:rPr>
                <w:t>50</w:t>
              </w:r>
            </w:fldSimple>
            <w:r>
              <w:t xml:space="preserve">; tool-augmented repair</w:t>
            </w:r>
            <w:r>
              <w:t xml:space="preserve"> </w:t>
            </w:r>
            <w:fldSimple w:instr="NOTEREF _Ref_Footnote_27 \h \f">
              <w:r>
                <w:rPr>
                  <w:vertAlign w:val="superscript"/>
                </w:rPr>
                <w:t>27</w:t>
              </w:r>
            </w:fldSimple>
          </w:p>
        </w:tc>
        <w:tc>
          <w:tcPr/>
          <w:p>
            <w:pPr>
              <w:pStyle w:val="Compact"/>
              <w:jc w:val="left"/>
            </w:pPr>
            <w:r>
              <w:t xml:space="preserve">Typed domain constraints; real-time feature monitoring; repair convergence</w:t>
            </w:r>
          </w:p>
        </w:tc>
        <w:tc>
          <w:tcPr/>
          <w:p>
            <w:pPr>
              <w:pStyle w:val="Compact"/>
              <w:jc w:val="left"/>
            </w:pPr>
            <w:r>
              <w:t xml:space="preserve">Compile-time rejection of dimensionally invalid ops; 1–3 iteration repair convergence</w:t>
            </w:r>
          </w:p>
        </w:tc>
      </w:tr>
      <w:tr>
        <w:tc>
          <w:tcPr/>
          <w:p>
            <w:pPr>
              <w:pStyle w:val="Compact"/>
              <w:jc w:val="left"/>
            </w:pPr>
            <w:r>
              <w:t xml:space="preserve">3 — Memory</w:t>
            </w:r>
          </w:p>
        </w:tc>
        <w:tc>
          <w:tcPr/>
          <w:p>
            <w:pPr>
              <w:pStyle w:val="Compact"/>
              <w:jc w:val="left"/>
            </w:pPr>
            <w:r>
              <w:t xml:space="preserve">Weeks 9–14</w:t>
            </w:r>
          </w:p>
        </w:tc>
        <w:tc>
          <w:tcPr/>
          <w:p>
            <w:pPr>
              <w:pStyle w:val="Compact"/>
              <w:jc w:val="left"/>
            </w:pPr>
            <w:r>
              <w:t xml:space="preserve">TransMLA KV compression</w:t>
            </w:r>
            <w:r>
              <w:t xml:space="preserve"> </w:t>
            </w:r>
            <w:fldSimple w:instr="NOTEREF _Ref_Footnote_61 \h \f">
              <w:r>
                <w:rPr>
                  <w:vertAlign w:val="superscript"/>
                </w:rPr>
                <w:t>61</w:t>
              </w:r>
            </w:fldSimple>
            <w:r>
              <w:t xml:space="preserve">; FHRR HDC associative memory</w:t>
            </w:r>
            <w:r>
              <w:t xml:space="preserve"> </w:t>
            </w:r>
            <w:fldSimple w:instr="NOTEREF _Ref_Footnote_25 \h \f">
              <w:r>
                <w:rPr>
                  <w:vertAlign w:val="superscript"/>
                </w:rPr>
                <w:t>25</w:t>
              </w:r>
            </w:fldSimple>
            <w:r>
              <w:t xml:space="preserve">; Kuramoto honeycomb port</w:t>
            </w:r>
            <w:r>
              <w:t xml:space="preserve"> </w:t>
            </w:r>
            <w:fldSimple w:instr="NOTEREF _Ref_Footnote_17 \h \f">
              <w:r>
                <w:rPr>
                  <w:vertAlign w:val="superscript"/>
                </w:rPr>
                <w:t>17</w:t>
              </w:r>
            </w:fldSimple>
            <w:r>
              <w:t xml:space="preserve">; Swift 6 UI</w:t>
            </w:r>
            <w:r>
              <w:t xml:space="preserve"> </w:t>
            </w:r>
            <w:fldSimple w:instr="NOTEREF _Ref_Footnote_23 \h \f">
              <w:r>
                <w:rPr>
                  <w:vertAlign w:val="superscript"/>
                </w:rPr>
                <w:t>23</w:t>
              </w:r>
            </w:fldSimple>
          </w:p>
        </w:tc>
        <w:tc>
          <w:tcPr/>
          <w:p>
            <w:pPr>
              <w:pStyle w:val="Compact"/>
              <w:jc w:val="left"/>
            </w:pPr>
            <w:r>
              <w:t xml:space="preserve">Three-layer memory hierarchy; Epistenos integration</w:t>
            </w:r>
          </w:p>
        </w:tc>
        <w:tc>
          <w:tcPr/>
          <w:p>
            <w:pPr>
              <w:pStyle w:val="Compact"/>
              <w:jc w:val="left"/>
            </w:pPr>
            <w:r>
              <w:t xml:space="preserve">L1: &lt;1 ms; L2: ~10 µs; L3: ~1 ms; 200+ HDC associations at 99% accuracy</w:t>
            </w:r>
          </w:p>
        </w:tc>
      </w:tr>
      <w:tr>
        <w:tc>
          <w:tcPr/>
          <w:p>
            <w:pPr>
              <w:pStyle w:val="Compact"/>
              <w:jc w:val="left"/>
            </w:pPr>
            <w:r>
              <w:t xml:space="preserve">4 — Integration</w:t>
            </w:r>
          </w:p>
        </w:tc>
        <w:tc>
          <w:tcPr/>
          <w:p>
            <w:pPr>
              <w:pStyle w:val="Compact"/>
              <w:jc w:val="left"/>
            </w:pPr>
            <w:r>
              <w:t xml:space="preserve">Weeks 15–24</w:t>
            </w:r>
          </w:p>
        </w:tc>
        <w:tc>
          <w:tcPr/>
          <w:p>
            <w:pPr>
              <w:pStyle w:val="Compact"/>
              <w:jc w:val="left"/>
            </w:pPr>
            <w:r>
              <w:t xml:space="preserve">GRPO training</w:t>
            </w:r>
            <w:r>
              <w:t xml:space="preserve"> </w:t>
            </w:r>
            <w:fldSimple w:instr="NOTEREF _Ref_Footnote_12 \h \f">
              <w:r>
                <w:rPr>
                  <w:vertAlign w:val="superscript"/>
                </w:rPr>
                <w:t>12</w:t>
              </w:r>
            </w:fldSimple>
            <w:r>
              <w:t xml:space="preserve">; SAE fingerprinting</w:t>
            </w:r>
            <w:r>
              <w:t xml:space="preserve"> </w:t>
            </w:r>
            <w:fldSimple w:instr="NOTEREF _Ref_Footnote_3 \h \f">
              <w:r>
                <w:rPr>
                  <w:vertAlign w:val="superscript"/>
                </w:rPr>
                <w:t>3</w:t>
              </w:r>
            </w:fldSimple>
            <w:r>
              <w:t xml:space="preserve">; FAC Synthesis</w:t>
            </w:r>
            <w:r>
              <w:t xml:space="preserve"> </w:t>
            </w:r>
            <w:fldSimple w:instr="NOTEREF _Ref_Footnote_63 \h \f">
              <w:r>
                <w:rPr>
                  <w:vertAlign w:val="superscript"/>
                </w:rPr>
                <w:t>63</w:t>
              </w:r>
            </w:fldSimple>
            <w:r>
              <w:t xml:space="preserve">; Merkle-logged agent swarm</w:t>
            </w:r>
            <w:r>
              <w:t xml:space="preserve"> </w:t>
            </w:r>
            <w:fldSimple w:instr="NOTEREF _Ref_Footnote_23 \h \f">
              <w:r>
                <w:rPr>
                  <w:vertAlign w:val="superscript"/>
                </w:rPr>
                <w:t>23</w:t>
              </w:r>
            </w:fldSimple>
          </w:p>
        </w:tc>
        <w:tc>
          <w:tcPr/>
          <w:p>
            <w:pPr>
              <w:pStyle w:val="Compact"/>
              <w:jc w:val="left"/>
            </w:pPr>
            <w:r>
              <w:t xml:space="preserve">Closed evaluation-training loop; 8+ deterministic agents; proof-carrying responses</w:t>
            </w:r>
          </w:p>
        </w:tc>
        <w:tc>
          <w:tcPr/>
          <w:p>
            <w:pPr>
              <w:pStyle w:val="Compact"/>
              <w:jc w:val="left"/>
            </w:pPr>
            <w:r>
              <w:t xml:space="preserve">GRPO &lt;5% PDE residual on held-out physics; cryptographic attestation chain</w:t>
            </w:r>
          </w:p>
        </w:tc>
      </w:tr>
    </w:tbl>
    <w:p>
      <w:pPr>
        <w:pStyle w:val="BodyText"/>
      </w:pPr>
      <w:r>
        <w:rPr>
          <w:iCs/>
          <w:i/>
        </w:rPr>
        <w:t xml:space="preserve">Table 11.1: Phased build plan with components, deliverables, and verification criteria. Each phase depends only on verified outputs from preceding phases.</w:t>
      </w:r>
    </w:p>
    <w:p>
      <w:pPr>
        <w:pStyle w:val="BodyText"/>
      </w:pPr>
      <w:r>
        <w:t xml:space="preserve">The table reveals deliberate latency-throughput tradeoff management. Phase 1 prioritizes determinism over speed: quantized models (Q4_K_M, Q8_0) achieve perfect reproducibility with zero overhead</w:t>
      </w:r>
      <w:r>
        <w:t xml:space="preserve"> </w:t>
      </w:r>
      <w:fldSimple w:instr="NOTEREF _Ref_Footnote_62 \h \f">
        <w:r>
          <w:rPr>
            <w:vertAlign w:val="superscript"/>
          </w:rPr>
          <w:t>62</w:t>
        </w:r>
      </w:fldSimple>
      <w:r>
        <w:t xml:space="preserve">, while floating-point deterministic kernels are deferred. Phase 3 accepts engineering risk on the Kuramoto Metal port because honeycomb oscillator simulation is GPU-parallelizable via batch processing achieving ~33× over naive CPU on CUDA, and Apple’s Unified Memory Architecture (UMA) should eliminate HBM-SRAM bottlenecks. Phase 4 is the longest because GRPO training requires thousands of completions per step, and SAE fingerprinting requires full benchmark encoding passes that accumulate across suites. The 24-week total is feasible for a focused engineering team because no phase requires fundamental research breakthroughs; every component is integration work on proven substrates.</w:t>
      </w:r>
    </w:p>
    <w:bookmarkEnd w:id="180"/>
    <w:bookmarkStart w:id="181" w:name="risk-assessment"/>
    <w:p>
      <w:pPr>
        <w:pStyle w:val="Heading3"/>
      </w:pPr>
      <w:r>
        <w:t xml:space="preserve">11.2 Risk Assessment</w:t>
      </w:r>
    </w:p>
    <w:p>
      <w:pPr>
        <w:pStyle w:val="FirstParagraph"/>
      </w:pPr>
      <w:r>
        <w:t xml:space="preserve">Every major subsystem carries at least one risk that could delay or derail the build. The assessment is organized by severity and supported by empirical evidence. Mitigations are architectural: each replaces the risky component with a proven alternative or adds a verification layer that detects failure before propagation.</w:t>
      </w:r>
    </w:p>
    <w:p>
      <w:pPr>
        <w:pStyle w:val="BodyText"/>
      </w:pPr>
      <w:r>
        <w:rPr>
          <w:bCs/>
          <w:b/>
        </w:rPr>
        <w:t xml:space="preserve">HIGH: Intrinsic self-correction fails 64.5% of the time.</w:t>
      </w:r>
      <w:r>
        <w:t xml:space="preserve"> </w:t>
      </w:r>
      <w:r>
        <w:t xml:space="preserve">Across 14 models, the Self-Correction Blind Spot averages 64.5% failure—models correct identical errors when presented externally but fail to detect them in their own outputs</w:t>
      </w:r>
      <w:r>
        <w:t xml:space="preserve"> </w:t>
      </w:r>
      <w:fldSimple w:instr="NOTEREF _Ref_Footnote_4 \h \f">
        <w:r>
          <w:rPr>
            <w:vertAlign w:val="superscript"/>
          </w:rPr>
          <w:t>4</w:t>
        </w:r>
      </w:fldSimple>
      <w:r>
        <w:t xml:space="preserve">. The root cause is training data: human demonstrations contain only 5–10% correction markers, so error-detection knowledge exists but is not activated during self-evaluation. The architectural remedy is extrinsic verification. Every repair iteration invokes external tools: code execution for programming, numerical evaluation for mathematics, Natural Language Inference (NLI) for factual claims, and SAT/SMT solvers for logic. The</w:t>
      </w:r>
      <w:r>
        <w:t xml:space="preserve"> </w:t>
      </w:r>
      <w:r>
        <w:t xml:space="preserve">“</w:t>
      </w:r>
      <w:r>
        <w:t xml:space="preserve">Wait</w:t>
      </w:r>
      <w:r>
        <w:t xml:space="preserve">”</w:t>
      </w:r>
      <w:r>
        <w:t xml:space="preserve"> </w:t>
      </w:r>
      <w:r>
        <w:t xml:space="preserve">intervention—temporal separation between generation and evaluation—reduces blind spots by 89.3%</w:t>
      </w:r>
      <w:r>
        <w:t xml:space="preserve"> </w:t>
      </w:r>
      <w:fldSimple w:instr="NOTEREF _Ref_Footnote_4 \h \f">
        <w:r>
          <w:rPr>
            <w:vertAlign w:val="superscript"/>
          </w:rPr>
          <w:t>4</w:t>
        </w:r>
      </w:fldSimple>
      <w:r>
        <w:t xml:space="preserve">, but it supplements rather than substitutes for tool use. Residual risk is low: tool-augmented repair converges in 1–3 iterations for math and code</w:t>
      </w:r>
      <w:r>
        <w:t xml:space="preserve"> </w:t>
      </w:r>
      <w:fldSimple w:instr="NOTEREF _Ref_Footnote_27 \h \f">
        <w:r>
          <w:rPr>
            <w:vertAlign w:val="superscript"/>
          </w:rPr>
          <w:t>27</w:t>
        </w:r>
      </w:fldSimple>
      <w:r>
        <w:t xml:space="preserve">.</w:t>
      </w:r>
    </w:p>
    <w:p>
      <w:pPr>
        <w:pStyle w:val="BodyText"/>
      </w:pPr>
      <w:r>
        <w:rPr>
          <w:bCs/>
          <w:b/>
        </w:rPr>
        <w:t xml:space="preserve">HIGH: No complete formal verifier exists for production LLMs.</w:t>
      </w:r>
      <w:r>
        <w:t xml:space="preserve"> </w:t>
      </w:r>
      <w:r>
        <w:t xml:space="preserve">Alpha-beta-CROWN, the state-of-the-art neural network verifier, scales to millions of parameters but not to production-scale transformers</w:t>
      </w:r>
      <w:r>
        <w:t xml:space="preserve"> </w:t>
      </w:r>
      <w:fldSimple w:instr="NOTEREF _Ref_Footnote_19 \h \f">
        <w:r>
          <w:rPr>
            <w:vertAlign w:val="superscript"/>
          </w:rPr>
          <w:t>19</w:t>
        </w:r>
      </w:fldSimple>
      <w:r>
        <w:t xml:space="preserve">. Kani verifies bounded Rust harnesses but lacks multithreading, atomic operation, and async runtime support</w:t>
      </w:r>
      <w:r>
        <w:t xml:space="preserve"> </w:t>
      </w:r>
      <w:fldSimple w:instr="NOTEREF _Ref_Footnote_49 \h \f">
        <w:r>
          <w:rPr>
            <w:vertAlign w:val="superscript"/>
          </w:rPr>
          <w:t>49</w:t>
        </w:r>
      </w:fldSimple>
      <w:r>
        <w:t xml:space="preserve">. Lean theorem proving requires seconds to minutes per property and is not real-time feasible. The mitigation is staged verification: the fast path (property-based testing + refinement types + lightweight SMT) operates in &lt;10 ms on every step; the medium path (Kani on bounded harnesses for core data structures) runs on critical steps; the slow path (Creusot or Lean for protocol properties) executes offline</w:t>
      </w:r>
      <w:r>
        <w:t xml:space="preserve"> </w:t>
      </w:r>
      <w:fldSimple w:instr="NOTEREF _Ref_Footnote_18 \h \f">
        <w:r>
          <w:rPr>
            <w:vertAlign w:val="superscript"/>
          </w:rPr>
          <w:t>18</w:t>
        </w:r>
      </w:fldSimple>
      <w:r>
        <w:t xml:space="preserve">. This is not a compromise; it is an architectural partition that respects the computational complexity of each verification class. Residual risk is medium: the fast path provides statistical, not logical, certainty.</w:t>
      </w:r>
    </w:p>
    <w:p>
      <w:pPr>
        <w:pStyle w:val="BodyText"/>
      </w:pPr>
      <w:r>
        <w:rPr>
          <w:bCs/>
          <w:b/>
        </w:rPr>
        <w:t xml:space="preserve">MEDIUM: GPU determinism adds ~27% overhead.</w:t>
      </w:r>
      <w:r>
        <w:t xml:space="preserve"> </w:t>
      </w:r>
      <w:r>
        <w:t xml:space="preserve">Custom Metal kernels for deterministic floating-point inference on Apple Silicon incur approximately 27% overhead compared to standard MLX</w:t>
      </w:r>
      <w:r>
        <w:t xml:space="preserve"> </w:t>
      </w:r>
      <w:fldSimple w:instr="NOTEREF _Ref_Footnote_71 \h \f">
        <w:r>
          <w:rPr>
            <w:vertAlign w:val="superscript"/>
          </w:rPr>
          <w:t>71</w:t>
        </w:r>
      </w:fldSimple>
      <w:r>
        <w:t xml:space="preserve">. On discrete GPUs, additional non-determinism enters through PCIe transfer timing and multi-tenant scheduling</w:t>
      </w:r>
      <w:r>
        <w:t xml:space="preserve"> </w:t>
      </w:r>
      <w:fldSimple w:instr="NOTEREF _Ref_Footnote_57 \h \f">
        <w:r>
          <w:rPr>
            <w:vertAlign w:val="superscript"/>
          </w:rPr>
          <w:t>57</w:t>
        </w:r>
      </w:fldSimple>
      <w:r>
        <w:t xml:space="preserve">. Tiered determinism matches the guarantee to the criticality: quantized models provide perfect reproducibility at zero overhead because integer operations are associative</w:t>
      </w:r>
      <w:r>
        <w:t xml:space="preserve"> </w:t>
      </w:r>
      <w:fldSimple w:instr="NOTEREF _Ref_Footnote_62 \h \f">
        <w:r>
          <w:rPr>
            <w:vertAlign w:val="superscript"/>
          </w:rPr>
          <w:t>62</w:t>
        </w:r>
      </w:fldSimple>
      <w:r>
        <w:t xml:space="preserve">; deterministic kernels are reserved for verification runs. The Apple Silicon UMA advantage—zero-copy shared memory eliminating PCIe non-determinism—is structurally unavailable to discrete GPU stacks</w:t>
      </w:r>
      <w:r>
        <w:t xml:space="preserve"> </w:t>
      </w:r>
      <w:fldSimple w:instr="NOTEREF _Ref_Footnote_14 \h \f">
        <w:r>
          <w:rPr>
            <w:vertAlign w:val="superscript"/>
          </w:rPr>
          <w:t>14</w:t>
        </w:r>
      </w:fldSimple>
      <w:r>
        <w:t xml:space="preserve">. Residual risk is low: the overhead is bounded and targeted.</w:t>
      </w:r>
    </w:p>
    <w:p>
      <w:pPr>
        <w:pStyle w:val="BodyText"/>
      </w:pPr>
      <w:r>
        <w:rPr>
          <w:bCs/>
          <w:b/>
        </w:rPr>
        <w:t xml:space="preserve">MEDIUM:</w:t>
      </w:r>
      <w:r>
        <w:rPr>
          <w:bCs/>
          <w:b/>
        </w:rPr>
        <w:t xml:space="preserve"> </w:t>
      </w:r>
      <w:r>
        <w:rPr>
          <w:bCs/>
          <w:b/>
        </w:rPr>
        <w:t xml:space="preserve">“</w:t>
      </w:r>
      <w:r>
        <w:rPr>
          <w:bCs/>
          <w:b/>
        </w:rPr>
        <w:t xml:space="preserve">Infinite capacity</w:t>
      </w:r>
      <w:r>
        <w:rPr>
          <w:bCs/>
          <w:b/>
        </w:rPr>
        <w:t xml:space="preserve">”</w:t>
      </w:r>
      <w:r>
        <w:rPr>
          <w:bCs/>
          <w:b/>
        </w:rPr>
        <w:t xml:space="preserve"> </w:t>
      </w:r>
      <w:r>
        <w:rPr>
          <w:bCs/>
          <w:b/>
        </w:rPr>
        <w:t xml:space="preserve">claims are unsubstantiated.</w:t>
      </w:r>
      <w:r>
        <w:t xml:space="preserve"> </w:t>
      </w:r>
      <w:r>
        <w:t xml:space="preserve">The original UASA plan claimed</w:t>
      </w:r>
      <w:r>
        <w:t xml:space="preserve"> </w:t>
      </w:r>
      <w:r>
        <w:t xml:space="preserve">“</w:t>
      </w:r>
      <w:r>
        <w:t xml:space="preserve">no context window limit</w:t>
      </w:r>
      <w:r>
        <w:t xml:space="preserve">”</w:t>
      </w:r>
      <w:r>
        <w:t xml:space="preserve"> </w:t>
      </w:r>
      <w:r>
        <w:t xml:space="preserve">and</w:t>
      </w:r>
      <w:r>
        <w:t xml:space="preserve"> </w:t>
      </w:r>
      <w:r>
        <w:t xml:space="preserve">“</w:t>
      </w:r>
      <w:r>
        <w:t xml:space="preserve">infinite capacity.</w:t>
      </w:r>
      <w:r>
        <w:t xml:space="preserve">”</w:t>
      </w:r>
      <w:r>
        <w:t xml:space="preserve"> </w:t>
      </w:r>
      <w:r>
        <w:t xml:space="preserve">HDC capacity scales linearly with dimension (~20 items per 1000 dimensions)</w:t>
      </w:r>
      <w:r>
        <w:t xml:space="preserve"> </w:t>
      </w:r>
      <w:fldSimple w:instr="NOTEREF _Ref_Footnote_25 \h \f">
        <w:r>
          <w:rPr>
            <w:vertAlign w:val="superscript"/>
          </w:rPr>
          <w:t>25</w:t>
        </w:r>
      </w:fldSimple>
      <w:r>
        <w:t xml:space="preserve">. Modern Hopfield networks achieve exponential capacity only with carefully designed energy functions</w:t>
      </w:r>
      <w:r>
        <w:t xml:space="preserve"> </w:t>
      </w:r>
      <w:fldSimple w:instr="NOTEREF _Ref_Footnote_51 \h \f">
        <w:r>
          <w:rPr>
            <w:vertAlign w:val="superscript"/>
          </w:rPr>
          <w:t>51</w:t>
        </w:r>
      </w:fldSimple>
      <w:r>
        <w:t xml:space="preserve">. Kuramoto honeycomb networks achieve exponential capacity but require hexagonal lattice topology</w:t>
      </w:r>
      <w:r>
        <w:t xml:space="preserve"> </w:t>
      </w:r>
      <w:fldSimple w:instr="NOTEREF _Ref_Footnote_17 \h \f">
        <w:r>
          <w:rPr>
            <w:vertAlign w:val="superscript"/>
          </w:rPr>
          <w:t>17</w:t>
        </w:r>
      </w:fldSimple>
      <w:r>
        <w:t xml:space="preserve">. No peer-reviewed source supports literal infinite capacity. The mitigation is reframing: the three-layer stack provides constant-size working memory, linear associative memory, and exponential deep memory—with each layer’s limitations documented. Graceful degradation replaces catastrophic failure: when HDC capacity is exceeded, retrieval noise increases smoothly; when Kuramoto basins overlap, the system signals uncertainty rather than hallucinating a match.</w:t>
      </w:r>
    </w:p>
    <w:p>
      <w:pPr>
        <w:pStyle w:val="BodyText"/>
      </w:pPr>
      <w:r>
        <w:rPr>
          <w:bCs/>
          <w:b/>
        </w:rPr>
        <w:t xml:space="preserve">Table 11.2: Risk Assessment Matrix</w:t>
      </w:r>
    </w:p>
    <w:tbl>
      <w:tblPr>
        <w:tblStyle w:val="Table"/>
        <w:tblW w:type="pct" w:w="5000"/>
        <w:tblLook w:firstRow="1" w:lastRow="0" w:firstColumn="0" w:lastColumn="0" w:noHBand="0" w:noVBand="0" w:val="0020"/>
      </w:tblPr>
      <w:tblGrid>
        <w:gridCol w:w="660"/>
        <w:gridCol w:w="1100"/>
        <w:gridCol w:w="2200"/>
        <w:gridCol w:w="2310"/>
        <w:gridCol w:w="1650"/>
      </w:tblGrid>
      <w:tr>
        <w:trPr>
          <w:tblHeader w:val="true"/>
        </w:trPr>
        <w:tc>
          <w:tcPr/>
          <w:p>
            <w:pPr>
              <w:pStyle w:val="Compact"/>
              <w:jc w:val="left"/>
            </w:pPr>
            <w:r>
              <w:t xml:space="preserve">Risk</w:t>
            </w:r>
          </w:p>
        </w:tc>
        <w:tc>
          <w:tcPr/>
          <w:p>
            <w:pPr>
              <w:pStyle w:val="Compact"/>
              <w:jc w:val="left"/>
            </w:pPr>
            <w:r>
              <w:t xml:space="preserve">Severity</w:t>
            </w:r>
          </w:p>
        </w:tc>
        <w:tc>
          <w:tcPr/>
          <w:p>
            <w:pPr>
              <w:pStyle w:val="Compact"/>
              <w:jc w:val="left"/>
            </w:pPr>
            <w:r>
              <w:t xml:space="preserve">Empirical Evidence</w:t>
            </w:r>
          </w:p>
        </w:tc>
        <w:tc>
          <w:tcPr/>
          <w:p>
            <w:pPr>
              <w:pStyle w:val="Compact"/>
              <w:jc w:val="left"/>
            </w:pPr>
            <w:r>
              <w:t xml:space="preserve">Mitigation Strategy</w:t>
            </w:r>
          </w:p>
        </w:tc>
        <w:tc>
          <w:tcPr/>
          <w:p>
            <w:pPr>
              <w:pStyle w:val="Compact"/>
              <w:jc w:val="left"/>
            </w:pPr>
            <w:r>
              <w:t xml:space="preserve">Residual Risk</w:t>
            </w:r>
          </w:p>
        </w:tc>
      </w:tr>
      <w:tr>
        <w:tc>
          <w:tcPr/>
          <w:p>
            <w:pPr>
              <w:pStyle w:val="Compact"/>
              <w:jc w:val="left"/>
            </w:pPr>
            <w:r>
              <w:t xml:space="preserve">Intrinsic self-correction fails 64.5%</w:t>
            </w:r>
          </w:p>
        </w:tc>
        <w:tc>
          <w:tcPr/>
          <w:p>
            <w:pPr>
              <w:pStyle w:val="Compact"/>
              <w:jc w:val="left"/>
            </w:pPr>
            <w:r>
              <w:t xml:space="preserve">HIGH</w:t>
            </w:r>
          </w:p>
        </w:tc>
        <w:tc>
          <w:tcPr/>
          <w:p>
            <w:pPr>
              <w:pStyle w:val="Compact"/>
              <w:jc w:val="left"/>
            </w:pPr>
            <w:r>
              <w:t xml:space="preserve">Self-Correction Blind Spot across 14 models</w:t>
            </w:r>
            <w:r>
              <w:t xml:space="preserve"> </w:t>
            </w:r>
            <w:fldSimple w:instr="NOTEREF _Ref_Footnote_4 \h \f">
              <w:r>
                <w:rPr>
                  <w:vertAlign w:val="superscript"/>
                </w:rPr>
                <w:t>4</w:t>
              </w:r>
            </w:fldSimple>
          </w:p>
        </w:tc>
        <w:tc>
          <w:tcPr/>
          <w:p>
            <w:pPr>
              <w:pStyle w:val="Compact"/>
              <w:jc w:val="left"/>
            </w:pPr>
            <w:r>
              <w:t xml:space="preserve">Extrinsic tool-augmented verification; verifier diversity</w:t>
            </w:r>
          </w:p>
        </w:tc>
        <w:tc>
          <w:tcPr/>
          <w:p>
            <w:pPr>
              <w:pStyle w:val="Compact"/>
              <w:jc w:val="left"/>
            </w:pPr>
            <w:r>
              <w:t xml:space="preserve">LOW (1–3 iteration convergence)</w:t>
            </w:r>
            <w:r>
              <w:t xml:space="preserve"> </w:t>
            </w:r>
            <w:fldSimple w:instr="NOTEREF _Ref_Footnote_27 \h \f">
              <w:r>
                <w:rPr>
                  <w:vertAlign w:val="superscript"/>
                </w:rPr>
                <w:t>27</w:t>
              </w:r>
            </w:fldSimple>
          </w:p>
        </w:tc>
      </w:tr>
      <w:tr>
        <w:tc>
          <w:tcPr/>
          <w:p>
            <w:pPr>
              <w:pStyle w:val="Compact"/>
              <w:jc w:val="left"/>
            </w:pPr>
            <w:r>
              <w:t xml:space="preserve">No complete LLM formal verifier</w:t>
            </w:r>
          </w:p>
        </w:tc>
        <w:tc>
          <w:tcPr/>
          <w:p>
            <w:pPr>
              <w:pStyle w:val="Compact"/>
              <w:jc w:val="left"/>
            </w:pPr>
            <w:r>
              <w:t xml:space="preserve">HIGH</w:t>
            </w:r>
          </w:p>
        </w:tc>
        <w:tc>
          <w:tcPr/>
          <w:p>
            <w:pPr>
              <w:pStyle w:val="Compact"/>
              <w:jc w:val="left"/>
            </w:pPr>
            <w:r>
              <w:t xml:space="preserve">Alpha-beta-CROWN scales to millions of params, not transformers</w:t>
            </w:r>
            <w:r>
              <w:t xml:space="preserve"> </w:t>
            </w:r>
            <w:fldSimple w:instr="NOTEREF _Ref_Footnote_19 \h \f">
              <w:r>
                <w:rPr>
                  <w:vertAlign w:val="superscript"/>
                </w:rPr>
                <w:t>19</w:t>
              </w:r>
            </w:fldSimple>
          </w:p>
        </w:tc>
        <w:tc>
          <w:tcPr/>
          <w:p>
            <w:pPr>
              <w:pStyle w:val="Compact"/>
              <w:jc w:val="left"/>
            </w:pPr>
            <w:r>
              <w:t xml:space="preserve">Staged verification: PBT (&lt;10 ms) + Kani bounded + Lean offline</w:t>
            </w:r>
            <w:r>
              <w:t xml:space="preserve"> </w:t>
            </w:r>
            <w:fldSimple w:instr="NOTEREF _Ref_Footnote_18 \h \f">
              <w:r>
                <w:rPr>
                  <w:vertAlign w:val="superscript"/>
                </w:rPr>
                <w:t>18</w:t>
              </w:r>
            </w:fldSimple>
          </w:p>
        </w:tc>
        <w:tc>
          <w:tcPr/>
          <w:p>
            <w:pPr>
              <w:pStyle w:val="Compact"/>
              <w:jc w:val="left"/>
            </w:pPr>
            <w:r>
              <w:t xml:space="preserve">MEDIUM (fast path is statistical)</w:t>
            </w:r>
          </w:p>
        </w:tc>
      </w:tr>
      <w:tr>
        <w:tc>
          <w:tcPr/>
          <w:p>
            <w:pPr>
              <w:pStyle w:val="Compact"/>
              <w:jc w:val="left"/>
            </w:pPr>
            <w:r>
              <w:t xml:space="preserve">GPU determinism ~27% overhead</w:t>
            </w:r>
          </w:p>
        </w:tc>
        <w:tc>
          <w:tcPr/>
          <w:p>
            <w:pPr>
              <w:pStyle w:val="Compact"/>
              <w:jc w:val="left"/>
            </w:pPr>
            <w:r>
              <w:t xml:space="preserve">MEDIUM</w:t>
            </w:r>
          </w:p>
        </w:tc>
        <w:tc>
          <w:tcPr/>
          <w:p>
            <w:pPr>
              <w:pStyle w:val="Compact"/>
              <w:jc w:val="left"/>
            </w:pPr>
            <w:r>
              <w:rPr>
                <w:rStyle w:val="VerbatimChar"/>
              </w:rPr>
              <w:t xml:space="preserve">mlx-deterministic</w:t>
            </w:r>
            <w:r>
              <w:t xml:space="preserve"> </w:t>
            </w:r>
            <w:r>
              <w:t xml:space="preserve">custom Metal kernels</w:t>
            </w:r>
            <w:r>
              <w:t xml:space="preserve"> </w:t>
            </w:r>
            <w:fldSimple w:instr="NOTEREF _Ref_Footnote_71 \h \f">
              <w:r>
                <w:rPr>
                  <w:vertAlign w:val="superscript"/>
                </w:rPr>
                <w:t>71</w:t>
              </w:r>
            </w:fldSimple>
          </w:p>
        </w:tc>
        <w:tc>
          <w:tcPr/>
          <w:p>
            <w:pPr>
              <w:pStyle w:val="Compact"/>
              <w:jc w:val="left"/>
            </w:pPr>
            <w:r>
              <w:t xml:space="preserve">Tiered determinism: quantized zero-cost for standard, custom kernels for verification</w:t>
            </w:r>
            <w:r>
              <w:t xml:space="preserve"> </w:t>
            </w:r>
            <w:fldSimple w:instr="NOTEREF _Ref_Footnote_62 \h \f">
              <w:r>
                <w:rPr>
                  <w:vertAlign w:val="superscript"/>
                </w:rPr>
                <w:t>62</w:t>
              </w:r>
            </w:fldSimple>
          </w:p>
        </w:tc>
        <w:tc>
          <w:tcPr/>
          <w:p>
            <w:pPr>
              <w:pStyle w:val="Compact"/>
              <w:jc w:val="left"/>
            </w:pPr>
            <w:r>
              <w:t xml:space="preserve">LOW (overhead bounded and targeted)</w:t>
            </w:r>
          </w:p>
        </w:tc>
      </w:tr>
      <w:tr>
        <w:tc>
          <w:tcPr/>
          <w:p>
            <w:pPr>
              <w:pStyle w:val="Compact"/>
              <w:jc w:val="left"/>
            </w:pPr>
            <w:r>
              <w:t xml:space="preserve">“</w:t>
            </w:r>
            <w:r>
              <w:t xml:space="preserve">Infinite capacity</w:t>
            </w:r>
            <w:r>
              <w:t xml:space="preserve">”</w:t>
            </w:r>
            <w:r>
              <w:t xml:space="preserve"> </w:t>
            </w:r>
            <w:r>
              <w:t xml:space="preserve">unsubstantiated</w:t>
            </w:r>
          </w:p>
        </w:tc>
        <w:tc>
          <w:tcPr/>
          <w:p>
            <w:pPr>
              <w:pStyle w:val="Compact"/>
              <w:jc w:val="left"/>
            </w:pPr>
            <w:r>
              <w:t xml:space="preserve">MEDIUM</w:t>
            </w:r>
          </w:p>
        </w:tc>
        <w:tc>
          <w:tcPr/>
          <w:p>
            <w:pPr>
              <w:pStyle w:val="Compact"/>
              <w:jc w:val="left"/>
            </w:pPr>
            <w:r>
              <w:t xml:space="preserve">HDC linear ~20 items/1000 dims</w:t>
            </w:r>
            <w:r>
              <w:t xml:space="preserve"> </w:t>
            </w:r>
            <w:fldSimple w:instr="NOTEREF _Ref_Footnote_25 \h \f">
              <w:r>
                <w:rPr>
                  <w:vertAlign w:val="superscript"/>
                </w:rPr>
                <w:t>25</w:t>
              </w:r>
            </w:fldSimple>
            <w:r>
              <w:t xml:space="preserve">; Hopfield exponential only with designed energy</w:t>
            </w:r>
            <w:r>
              <w:t xml:space="preserve"> </w:t>
            </w:r>
            <w:fldSimple w:instr="NOTEREF _Ref_Footnote_51 \h \f">
              <w:r>
                <w:rPr>
                  <w:vertAlign w:val="superscript"/>
                </w:rPr>
                <w:t>51</w:t>
              </w:r>
            </w:fldSimple>
            <w:r>
              <w:t xml:space="preserve">; Kuramoto exponential only on honeycomb</w:t>
            </w:r>
            <w:r>
              <w:t xml:space="preserve"> </w:t>
            </w:r>
            <w:fldSimple w:instr="NOTEREF _Ref_Footnote_17 \h \f">
              <w:r>
                <w:rPr>
                  <w:vertAlign w:val="superscript"/>
                </w:rPr>
                <w:t>17</w:t>
              </w:r>
            </w:fldSimple>
          </w:p>
        </w:tc>
        <w:tc>
          <w:tcPr/>
          <w:p>
            <w:pPr>
              <w:pStyle w:val="Compact"/>
              <w:jc w:val="left"/>
            </w:pPr>
            <w:r>
              <w:t xml:space="preserve">Reframe to exponential with caveats; graceful degradation on overflow</w:t>
            </w:r>
          </w:p>
        </w:tc>
        <w:tc>
          <w:tcPr/>
          <w:p>
            <w:pPr>
              <w:pStyle w:val="Compact"/>
              <w:jc w:val="left"/>
            </w:pPr>
            <w:r>
              <w:t xml:space="preserve">LOW (capacity explicitly bounded per layer)</w:t>
            </w:r>
          </w:p>
        </w:tc>
      </w:tr>
    </w:tbl>
    <w:p>
      <w:pPr>
        <w:pStyle w:val="BodyText"/>
      </w:pPr>
      <w:r>
        <w:rPr>
          <w:iCs/>
          <w:i/>
        </w:rPr>
        <w:t xml:space="preserve">Table 11.2: Risk assessment with severity, evidence, mitigation, and residual risk after controls are applied.</w:t>
      </w:r>
    </w:p>
    <w:p>
      <w:pPr>
        <w:pStyle w:val="BodyText"/>
      </w:pPr>
      <w:r>
        <w:t xml:space="preserve">The matrix reveals a design pattern that runs through the entire architecture: risks are not eliminated but localized and controlled. Intrinsic self-correction is not made reliable; it is replaced by extrinsic verification. Full-network verification is not attempted; the problem is partitioned into tractable subproblems. Determinism overhead is not reduced to zero; it is applied selectively. Infinite capacity is not achieved; finite but well-characterized capacity is stacked hierarchically. This is engineering under constraint rather than wish fulfillment, and the residual risk column shows that all four risks are reduced to manageable levels without requiring theoretical breakthroughs.</w:t>
      </w:r>
    </w:p>
    <w:bookmarkEnd w:id="181"/>
    <w:bookmarkStart w:id="185" w:name="what-is-ruled-out"/>
    <w:p>
      <w:pPr>
        <w:pStyle w:val="Heading3"/>
      </w:pPr>
      <w:r>
        <w:t xml:space="preserve">11.3 What Is Ruled Out</w:t>
      </w:r>
    </w:p>
    <w:p>
      <w:pPr>
        <w:pStyle w:val="FirstParagraph"/>
      </w:pPr>
      <w:r>
        <w:t xml:space="preserve">The preceding chapters validated what works. This section addresses what does not—and cannot—work.</w:t>
      </w:r>
    </w:p>
    <w:bookmarkStart w:id="182" w:name="the-quadruple-no-go-theorem"/>
    <w:p>
      <w:pPr>
        <w:pStyle w:val="Heading4"/>
      </w:pPr>
      <w:r>
        <w:t xml:space="preserve">11.3.1 The Quadruple No-Go Theorem</w:t>
      </w:r>
    </w:p>
    <w:p>
      <w:pPr>
        <w:pStyle w:val="FirstParagraph"/>
      </w:pPr>
      <w:r>
        <w:t xml:space="preserve">Four classes of speculative technology appear in fringe physics literature. Each is ruled out by a distinct branch of established physics. The Quadruple No-Go Theorem states:</w:t>
      </w:r>
      <w:r>
        <w:t xml:space="preserve"> </w:t>
      </w:r>
      <w:r>
        <w:rPr>
          <w:bCs/>
          <w:b/>
        </w:rPr>
        <w:t xml:space="preserve">No device within General Relativity (GR) plus Quantum Field Theory (QFT) plus standard quantum information theory can produce metric perturbation</w:t>
      </w:r>
      <w:r>
        <w:rPr>
          <w:bCs/>
          <w:b/>
        </w:rPr>
        <w:t xml:space="preserve"> </w:t>
      </w:r>
      <m:oMath>
        <m:r>
          <m:t>h</m:t>
        </m:r>
        <m:r>
          <m:rPr>
            <m:sty m:val="p"/>
          </m:rPr>
          <m:t>&gt;</m:t>
        </m:r>
        <m:sSup>
          <m:e>
            <m:r>
              <m:t>10</m:t>
            </m:r>
          </m:e>
          <m:sup>
            <m:r>
              <m:rPr>
                <m:sty m:val="p"/>
              </m:rPr>
              <m:t>−</m:t>
            </m:r>
            <m:r>
              <m:t>40</m:t>
            </m:r>
          </m:sup>
        </m:sSup>
      </m:oMath>
      <w:r>
        <w:rPr>
          <w:bCs/>
          <w:b/>
        </w:rPr>
        <w:t xml:space="preserve"> </w:t>
      </w:r>
      <w:r>
        <w:rPr>
          <w:bCs/>
          <w:b/>
        </w:rPr>
        <w:t xml:space="preserve">at distance</w:t>
      </w:r>
      <w:r>
        <w:rPr>
          <w:bCs/>
          <w:b/>
        </w:rPr>
        <w:t xml:space="preserve"> </w:t>
      </w:r>
      <m:oMath>
        <m:r>
          <m:t>r</m:t>
        </m:r>
        <m:r>
          <m:rPr>
            <m:sty m:val="p"/>
          </m:rPr>
          <m:t>&gt;</m:t>
        </m:r>
        <m:r>
          <m:t>1</m:t>
        </m:r>
        <m:r>
          <m:t> </m:t>
        </m:r>
        <m:r>
          <m:rPr>
            <m:nor/>
            <m:sty m:val="p"/>
          </m:rPr>
          <m:t>m</m:t>
        </m:r>
      </m:oMath>
      <w:r>
        <w:rPr>
          <w:bCs/>
          <w:b/>
        </w:rPr>
        <w:t xml:space="preserve"> </w:t>
      </w:r>
      <w:r>
        <w:rPr>
          <w:bCs/>
          <w:b/>
        </w:rPr>
        <w:t xml:space="preserve">using electromagnetic fields below the Schwinger limit.</w:t>
      </w:r>
      <w:r>
        <w:t xml:space="preserve"> </w:t>
      </w:r>
      <w:r>
        <w:t xml:space="preserve">The theorem is a convergence of four independent no-go results.</w:t>
      </w:r>
    </w:p>
    <w:p>
      <w:pPr>
        <w:pStyle w:val="BodyText"/>
      </w:pPr>
      <w:r>
        <w:rPr>
          <w:bCs/>
          <w:b/>
        </w:rPr>
        <w:t xml:space="preserve">No-Go 1 — Antigravity and Metric Engineering.</w:t>
      </w:r>
      <w:r>
        <w:t xml:space="preserve"> </w:t>
      </w:r>
      <w:r>
        <w:t xml:space="preserve">Polarizable Vacuum (PV) theory claims gravity can be engineered by manipulating vacuum permittivity and permeability. It is widely accepted that PV theory is not viable as a unification of gravitation and electromagnetism, not a reformulation of general relativity, and not a viable theory of gravitation because it cannot recover the weak-field Kerr metric or frame-dragging effects confirmed by LIGO</w:t>
      </w:r>
      <w:r>
        <w:t xml:space="preserve"> </w:t>
      </w:r>
      <w:r>
        <w:rPr>
          <w:vertAlign w:val="superscript"/>
        </w:rPr>
        <w:footnoteReference w:id="87"/>
      </w:r>
      <w:r>
        <w:t xml:space="preserve">. Woodward’s Mach-effect thruster claims inertia is an inductive gravitational effect manipulable for propellantless thrust. Rodal’s 2019 critique in</w:t>
      </w:r>
      <w:r>
        <w:t xml:space="preserve"> </w:t>
      </w:r>
      <w:r>
        <w:rPr>
          <w:iCs/>
          <w:i/>
        </w:rPr>
        <w:t xml:space="preserve">General Relativity and Gravitation</w:t>
      </w:r>
      <w:r>
        <w:t xml:space="preserve">, representing the mainstream position, argues that inertia in GR is not a gravitational inductive effect, and Brans’</w:t>
      </w:r>
      <w:r>
        <w:t xml:space="preserve"> </w:t>
      </w:r>
      <w:r>
        <w:t xml:space="preserve">“</w:t>
      </w:r>
      <w:r>
        <w:t xml:space="preserve">spectator matter</w:t>
      </w:r>
      <w:r>
        <w:t xml:space="preserve">”</w:t>
      </w:r>
      <w:r>
        <w:t xml:space="preserve"> </w:t>
      </w:r>
      <w:r>
        <w:t xml:space="preserve">argument shows that attributing inertia to distant matter violates the Equivalence Principle</w:t>
      </w:r>
      <w:r>
        <w:t xml:space="preserve"> </w:t>
      </w:r>
      <w:r>
        <w:rPr>
          <w:vertAlign w:val="superscript"/>
        </w:rPr>
        <w:footnoteReference w:id="88"/>
      </w:r>
      <w:r>
        <w:t xml:space="preserve">.</w:t>
      </w:r>
    </w:p>
    <w:p>
      <w:pPr>
        <w:pStyle w:val="BodyText"/>
      </w:pPr>
      <w:r>
        <w:rPr>
          <w:bCs/>
          <w:b/>
        </w:rPr>
        <w:t xml:space="preserve">No-Go 2 — Vacuum Zero-Point Energy Extraction.</w:t>
      </w:r>
      <w:r>
        <w:t xml:space="preserve"> </w:t>
      </w:r>
      <w:r>
        <w:t xml:space="preserve">Second-quantized QED treats vacuum modes as immutable and non-degradable. A Defense Intelligence Agency assessment concluded that continuous conversion of vacuum zero-point energy (ZPE) to other forms is forbidden in principle by local detailed-balance energy conservation:</w:t>
      </w:r>
      <w:r>
        <w:t xml:space="preserve"> </w:t>
      </w:r>
      <w:r>
        <w:t xml:space="preserve">“</w:t>
      </w:r>
      <w:r>
        <w:t xml:space="preserve">the vacuum as described by the QED formalism is non-degradable</w:t>
      </w:r>
      <w:r>
        <w:t xml:space="preserve">”</w:t>
      </w:r>
      <w:r>
        <w:t xml:space="preserve"> </w:t>
      </w:r>
      <w:r>
        <w:rPr>
          <w:vertAlign w:val="superscript"/>
        </w:rPr>
        <w:footnoteReference w:id="89"/>
      </w:r>
      <w:r>
        <w:t xml:space="preserve">. While vacuum energy is not conserved globally during cosmological expansion, local extraction violates the same formalism that correctly predicts the Casimir effect, Lamb shift, and the electron’s anomalous magnetic moment to twelve decimal places.</w:t>
      </w:r>
    </w:p>
    <w:p>
      <w:pPr>
        <w:pStyle w:val="BodyText"/>
      </w:pPr>
      <w:r>
        <w:rPr>
          <w:bCs/>
          <w:b/>
        </w:rPr>
        <w:t xml:space="preserve">No-Go 3 — EM-Gravity Coupling Below the Schwinger Limit.</w:t>
      </w:r>
      <w:r>
        <w:t xml:space="preserve"> </w:t>
      </w:r>
      <w:r>
        <w:t xml:space="preserve">The Schwinger critical magnetic field</w:t>
      </w:r>
      <w:r>
        <w:t xml:space="preserve"> </w:t>
      </w:r>
      <m:oMath>
        <m:sSub>
          <m:e>
            <m:r>
              <m:t>B</m:t>
            </m:r>
          </m:e>
          <m:sub>
            <m:r>
              <m:rPr>
                <m:nor/>
                <m:sty m:val="p"/>
              </m:rPr>
              <m:t>crit</m:t>
            </m:r>
          </m:sub>
        </m:sSub>
        <m:r>
          <m:rPr>
            <m:sty m:val="p"/>
          </m:rPr>
          <m:t>=</m:t>
        </m:r>
        <m:sSup>
          <m:e>
            <m:r>
              <m:t>m</m:t>
            </m:r>
          </m:e>
          <m:sup>
            <m:r>
              <m:t>2</m:t>
            </m:r>
          </m:sup>
        </m:sSup>
        <m:sSup>
          <m:e>
            <m:r>
              <m:t>c</m:t>
            </m:r>
          </m:e>
          <m:sup>
            <m:r>
              <m:t>3</m:t>
            </m:r>
          </m:sup>
        </m:sSup>
        <m:r>
          <m:rPr>
            <m:sty m:val="p"/>
          </m:rPr>
          <m:t>/</m:t>
        </m:r>
        <m:d>
          <m:dPr>
            <m:begChr m:val="("/>
            <m:endChr m:val=")"/>
            <m:sepChr m:val=""/>
            <m:grow/>
          </m:dPr>
          <m:e>
            <m:d>
              <m:dPr>
                <m:begChr m:val="|"/>
                <m:endChr m:val="|"/>
                <m:sepChr m:val=""/>
                <m:grow/>
              </m:dPr>
              <m:e>
                <m:r>
                  <m:t>e</m:t>
                </m:r>
              </m:e>
            </m:d>
            <m:r>
              <m:rPr>
                <m:sty m:val="p"/>
              </m:rPr>
              <m:t>ℏ</m:t>
            </m:r>
          </m:e>
        </m:d>
        <m:r>
          <m:rPr>
            <m:sty m:val="p"/>
          </m:rPr>
          <m:t>=</m:t>
        </m:r>
        <m:r>
          <m:t>4.41</m:t>
        </m:r>
        <m:r>
          <m:rPr>
            <m:sty m:val="p"/>
          </m:rPr>
          <m:t>×</m:t>
        </m:r>
        <m:sSup>
          <m:e>
            <m:r>
              <m:t>10</m:t>
            </m:r>
          </m:e>
          <m:sup>
            <m:r>
              <m:t>9</m:t>
            </m:r>
          </m:sup>
        </m:sSup>
        <m:r>
          <m:t> </m:t>
        </m:r>
        <m:r>
          <m:rPr>
            <m:nor/>
            <m:sty m:val="p"/>
          </m:rPr>
          <m:t>T</m:t>
        </m:r>
      </m:oMath>
      <w:r>
        <w:t xml:space="preserve"> </w:t>
      </w:r>
      <w:r>
        <w:t xml:space="preserve">marks the threshold for electron-positron pair production in vacuum</w:t>
      </w:r>
      <w:r>
        <w:t xml:space="preserve"> </w:t>
      </w:r>
      <w:fldSimple w:instr="NOTEREF _Ref_Footnote_86 \h \f">
        <w:r>
          <w:rPr>
            <w:vertAlign w:val="superscript"/>
          </w:rPr>
          <w:t>86</w:t>
        </w:r>
      </w:fldSimple>
      <w:r>
        <w:t xml:space="preserve">. Below this limit, the Euler-Heisenberg nonlinear electrodynamics Lagrangian predicts only fourth-order corrections to Maxwell’s equations. For laboratory fields (</w:t>
      </w:r>
      <m:oMath>
        <m:r>
          <m:rPr>
            <m:sty m:val="p"/>
          </m:rPr>
          <m:t>≪</m:t>
        </m:r>
        <m:r>
          <m:t>1</m:t>
        </m:r>
        <m:r>
          <m:t> </m:t>
        </m:r>
        <m:r>
          <m:rPr>
            <m:nor/>
            <m:sty m:val="p"/>
          </m:rPr>
          <m:t>T</m:t>
        </m:r>
      </m:oMath>
      <w:r>
        <w:t xml:space="preserve"> </w:t>
      </w:r>
      <w:r>
        <w:t xml:space="preserve">sustained,</w:t>
      </w:r>
      <w:r>
        <w:t xml:space="preserve"> </w:t>
      </w:r>
      <m:oMath>
        <m:r>
          <m:rPr>
            <m:sty m:val="p"/>
          </m:rPr>
          <m:t>&lt;</m:t>
        </m:r>
        <m:r>
          <m:t>100</m:t>
        </m:r>
        <m:r>
          <m:t> </m:t>
        </m:r>
        <m:r>
          <m:rPr>
            <m:nor/>
            <m:sty m:val="p"/>
          </m:rPr>
          <m:t>T</m:t>
        </m:r>
      </m:oMath>
      <w:r>
        <w:t xml:space="preserve"> </w:t>
      </w:r>
      <w:r>
        <w:t xml:space="preserve">pulsed), metric perturbations are suppressed below</w:t>
      </w:r>
      <w:r>
        <w:t xml:space="preserve"> </w:t>
      </w:r>
      <m:oMath>
        <m:sSup>
          <m:e>
            <m:r>
              <m:t>10</m:t>
            </m:r>
          </m:e>
          <m:sup>
            <m:r>
              <m:rPr>
                <m:sty m:val="p"/>
              </m:rPr>
              <m:t>−</m:t>
            </m:r>
            <m:r>
              <m:t>40</m:t>
            </m:r>
          </m:sup>
        </m:sSup>
      </m:oMath>
      <w:r>
        <w:t xml:space="preserve"> </w:t>
      </w:r>
      <w:r>
        <w:t xml:space="preserve">at meter scales—unobservable and unengineerable.</w:t>
      </w:r>
    </w:p>
    <w:p>
      <w:pPr>
        <w:pStyle w:val="BodyText"/>
      </w:pPr>
      <w:r>
        <w:rPr>
          <w:bCs/>
          <w:b/>
        </w:rPr>
        <w:t xml:space="preserve">No-Go 4 — Moscovium (Element 115) Propulsion.</w:t>
      </w:r>
      <w:r>
        <w:t xml:space="preserve"> </w:t>
      </w:r>
      <w:r>
        <w:t xml:space="preserve">Moscovium has no stable isotopes. The longest-lived known isotope, Mc-290, has a half-life of approximately 0.65 seconds. Claims that a hypothetical Mc-299 isotope could enable antigravity rely on beyond-Standard-Model couplings with no empirical evidence. The Semi-Empirical Mass Formula yields binding energies insufficient for macroscopic stability, and no peer-reviewed experiment has detected anomalous gravitational effects from moscovium decay</w:t>
      </w:r>
      <w:r>
        <w:t xml:space="preserve"> </w:t>
      </w:r>
      <w:r>
        <w:rPr>
          <w:vertAlign w:val="superscript"/>
        </w:rPr>
        <w:footnoteReference w:id="90"/>
      </w:r>
      <w:r>
        <w:t xml:space="preserve">.</w:t>
      </w:r>
    </w:p>
    <w:p>
      <w:pPr>
        <w:pStyle w:val="BodyText"/>
      </w:pPr>
      <w:r>
        <w:rPr>
          <w:bCs/>
          <w:b/>
        </w:rPr>
        <w:t xml:space="preserve">Table 11.3: Quadruple No-Go Theorem — Claims Ruled Out by Physics</w:t>
      </w:r>
    </w:p>
    <w:tbl>
      <w:tblPr>
        <w:tblStyle w:val="Table"/>
        <w:tblW w:type="pct" w:w="5000"/>
        <w:tblLook w:firstRow="1" w:lastRow="0" w:firstColumn="0" w:lastColumn="0" w:noHBand="0" w:noVBand="0" w:val="0020"/>
      </w:tblPr>
      <w:tblGrid>
        <w:gridCol w:w="939"/>
        <w:gridCol w:w="2818"/>
        <w:gridCol w:w="2282"/>
        <w:gridCol w:w="1879"/>
      </w:tblGrid>
      <w:tr>
        <w:trPr>
          <w:tblHeader w:val="true"/>
        </w:trPr>
        <w:tc>
          <w:tcPr/>
          <w:p>
            <w:pPr>
              <w:pStyle w:val="Compact"/>
              <w:jc w:val="left"/>
            </w:pPr>
            <w:r>
              <w:t xml:space="preserve">Claim</w:t>
            </w:r>
          </w:p>
        </w:tc>
        <w:tc>
          <w:tcPr/>
          <w:p>
            <w:pPr>
              <w:pStyle w:val="Compact"/>
              <w:jc w:val="left"/>
            </w:pPr>
            <w:r>
              <w:t xml:space="preserve">Ruling Physics Branch</w:t>
            </w:r>
          </w:p>
        </w:tc>
        <w:tc>
          <w:tcPr/>
          <w:p>
            <w:pPr>
              <w:pStyle w:val="Compact"/>
              <w:jc w:val="left"/>
            </w:pPr>
            <w:r>
              <w:t xml:space="preserve">Core Constraint</w:t>
            </w:r>
          </w:p>
        </w:tc>
        <w:tc>
          <w:tcPr/>
          <w:p>
            <w:pPr>
              <w:pStyle w:val="Compact"/>
              <w:jc w:val="left"/>
            </w:pPr>
            <w:r>
              <w:t xml:space="preserve">Why It Fails</w:t>
            </w:r>
          </w:p>
        </w:tc>
      </w:tr>
      <w:tr>
        <w:tc>
          <w:tcPr/>
          <w:p>
            <w:pPr>
              <w:pStyle w:val="Compact"/>
              <w:jc w:val="left"/>
            </w:pPr>
            <w:r>
              <w:t xml:space="preserve">Antigravity / metric engineering</w:t>
            </w:r>
          </w:p>
        </w:tc>
        <w:tc>
          <w:tcPr/>
          <w:p>
            <w:pPr>
              <w:pStyle w:val="Compact"/>
              <w:jc w:val="left"/>
            </w:pPr>
            <w:r>
              <w:t xml:space="preserve">General Relativity + Equivalence Principle</w:t>
            </w:r>
          </w:p>
        </w:tc>
        <w:tc>
          <w:tcPr/>
          <w:p>
            <w:pPr>
              <w:pStyle w:val="Compact"/>
              <w:jc w:val="left"/>
            </w:pPr>
            <w:r>
              <w:t xml:space="preserve">Scalar theories cannot reproduce tensor GR</w:t>
            </w:r>
          </w:p>
        </w:tc>
        <w:tc>
          <w:tcPr/>
          <w:p>
            <w:pPr>
              <w:pStyle w:val="Compact"/>
              <w:jc w:val="left"/>
            </w:pPr>
            <w:r>
              <w:t xml:space="preserve">PV theory cannot recover Kerr metric or frame-dragging</w:t>
            </w:r>
            <w:r>
              <w:t xml:space="preserve"> </w:t>
            </w:r>
            <w:fldSimple w:instr="NOTEREF _Ref_Footnote_87 \h \f">
              <w:r>
                <w:rPr>
                  <w:vertAlign w:val="superscript"/>
                </w:rPr>
                <w:t>87</w:t>
              </w:r>
            </w:fldSimple>
            <w:r>
              <w:t xml:space="preserve">; Woodward effect contradicts mainstream GR treatment of inertia</w:t>
            </w:r>
            <w:r>
              <w:t xml:space="preserve"> </w:t>
            </w:r>
            <w:fldSimple w:instr="NOTEREF _Ref_Footnote_88 \h \f">
              <w:r>
                <w:rPr>
                  <w:vertAlign w:val="superscript"/>
                </w:rPr>
                <w:t>88</w:t>
              </w:r>
            </w:fldSimple>
          </w:p>
        </w:tc>
      </w:tr>
      <w:tr>
        <w:tc>
          <w:tcPr/>
          <w:p>
            <w:pPr>
              <w:pStyle w:val="Compact"/>
              <w:jc w:val="left"/>
            </w:pPr>
            <w:r>
              <w:t xml:space="preserve">Vacuum ZPE extraction</w:t>
            </w:r>
          </w:p>
        </w:tc>
        <w:tc>
          <w:tcPr/>
          <w:p>
            <w:pPr>
              <w:pStyle w:val="Compact"/>
              <w:jc w:val="left"/>
            </w:pPr>
            <w:r>
              <w:t xml:space="preserve">Quantum Electrodynamics</w:t>
            </w:r>
          </w:p>
        </w:tc>
        <w:tc>
          <w:tcPr/>
          <w:p>
            <w:pPr>
              <w:pStyle w:val="Compact"/>
              <w:jc w:val="left"/>
            </w:pPr>
            <w:r>
              <w:t xml:space="preserve">Vacuum modes are non-degradable under local detailed balance</w:t>
            </w:r>
          </w:p>
        </w:tc>
        <w:tc>
          <w:tcPr/>
          <w:p>
            <w:pPr>
              <w:pStyle w:val="Compact"/>
              <w:jc w:val="left"/>
            </w:pPr>
            <w:r>
              <w:t xml:space="preserve">Continuous ZPE conversion forbidden by QED structure; global non-conservation does not enable local extraction</w:t>
            </w:r>
            <w:r>
              <w:t xml:space="preserve"> </w:t>
            </w:r>
            <w:fldSimple w:instr="NOTEREF _Ref_Footnote_89 \h \f">
              <w:r>
                <w:rPr>
                  <w:vertAlign w:val="superscript"/>
                </w:rPr>
                <w:t>89</w:t>
              </w:r>
            </w:fldSimple>
          </w:p>
        </w:tc>
      </w:tr>
      <w:tr>
        <w:tc>
          <w:tcPr/>
          <w:p>
            <w:pPr>
              <w:pStyle w:val="Compact"/>
              <w:jc w:val="left"/>
            </w:pPr>
            <w:r>
              <w:t xml:space="preserve">EM-gravity coupling at laboratory fields</w:t>
            </w:r>
          </w:p>
        </w:tc>
        <w:tc>
          <w:tcPr/>
          <w:p>
            <w:pPr>
              <w:pStyle w:val="Compact"/>
              <w:jc w:val="left"/>
            </w:pPr>
            <w:r>
              <w:t xml:space="preserve">Nonlinear QED (Euler-Heisenberg)</w:t>
            </w:r>
          </w:p>
        </w:tc>
        <w:tc>
          <w:tcPr/>
          <w:p>
            <w:pPr>
              <w:pStyle w:val="Compact"/>
              <w:jc w:val="left"/>
            </w:pPr>
            <w:r>
              <w:t xml:space="preserve">Schwinger limit</w:t>
            </w:r>
            <w:r>
              <w:t xml:space="preserve"> </w:t>
            </w:r>
            <m:oMath>
              <m:sSub>
                <m:e>
                  <m:r>
                    <m:t>B</m:t>
                  </m:r>
                </m:e>
                <m:sub>
                  <m:r>
                    <m:rPr>
                      <m:nor/>
                      <m:sty m:val="p"/>
                    </m:rPr>
                    <m:t>crit</m:t>
                  </m:r>
                </m:sub>
              </m:sSub>
              <m:r>
                <m:rPr>
                  <m:sty m:val="p"/>
                </m:rPr>
                <m:t>=</m:t>
              </m:r>
              <m:r>
                <m:t>4.41</m:t>
              </m:r>
              <m:r>
                <m:rPr>
                  <m:sty m:val="p"/>
                </m:rPr>
                <m:t>×</m:t>
              </m:r>
              <m:sSup>
                <m:e>
                  <m:r>
                    <m:t>10</m:t>
                  </m:r>
                </m:e>
                <m:sup>
                  <m:r>
                    <m:t>9</m:t>
                  </m:r>
                </m:sup>
              </m:sSup>
              <m:r>
                <m:t> </m:t>
              </m:r>
              <m:r>
                <m:rPr>
                  <m:nor/>
                  <m:sty m:val="p"/>
                </m:rPr>
                <m:t>T</m:t>
              </m:r>
            </m:oMath>
          </w:p>
        </w:tc>
        <w:tc>
          <w:tcPr/>
          <w:p>
            <w:pPr>
              <w:pStyle w:val="Compact"/>
              <w:jc w:val="left"/>
            </w:pPr>
            <w:r>
              <w:t xml:space="preserve">Metric perturbation</w:t>
            </w:r>
            <w:r>
              <w:t xml:space="preserve"> </w:t>
            </w:r>
            <m:oMath>
              <m:r>
                <m:t>h</m:t>
              </m:r>
              <m:r>
                <m:rPr>
                  <m:sty m:val="p"/>
                </m:rPr>
                <m:t>&lt;</m:t>
              </m:r>
              <m:sSup>
                <m:e>
                  <m:r>
                    <m:t>10</m:t>
                  </m:r>
                </m:e>
                <m:sup>
                  <m:r>
                    <m:rPr>
                      <m:sty m:val="p"/>
                    </m:rPr>
                    <m:t>−</m:t>
                  </m:r>
                  <m:r>
                    <m:t>40</m:t>
                  </m:r>
                </m:sup>
              </m:sSup>
            </m:oMath>
            <w:r>
              <w:t xml:space="preserve"> </w:t>
            </w:r>
            <w:r>
              <w:t xml:space="preserve">for</w:t>
            </w:r>
            <w:r>
              <w:t xml:space="preserve"> </w:t>
            </w:r>
            <m:oMath>
              <m:r>
                <m:t>r</m:t>
              </m:r>
              <m:r>
                <m:rPr>
                  <m:sty m:val="p"/>
                </m:rPr>
                <m:t>&gt;</m:t>
              </m:r>
              <m:r>
                <m:t>1</m:t>
              </m:r>
              <m:r>
                <m:t> </m:t>
              </m:r>
              <m:r>
                <m:rPr>
                  <m:nor/>
                  <m:sty m:val="p"/>
                </m:rPr>
                <m:t>m</m:t>
              </m:r>
            </m:oMath>
            <w:r>
              <w:t xml:space="preserve"> </w:t>
            </w:r>
            <w:r>
              <w:t xml:space="preserve">at accessible fields; fourth-order suppression makes coupling unobservable</w:t>
            </w:r>
            <w:r>
              <w:t xml:space="preserve"> </w:t>
            </w:r>
            <w:fldSimple w:instr="NOTEREF _Ref_Footnote_86 \h \f">
              <w:r>
                <w:rPr>
                  <w:vertAlign w:val="superscript"/>
                </w:rPr>
                <w:t>86</w:t>
              </w:r>
            </w:fldSimple>
          </w:p>
        </w:tc>
      </w:tr>
      <w:tr>
        <w:tc>
          <w:tcPr/>
          <w:p>
            <w:pPr>
              <w:pStyle w:val="Compact"/>
              <w:jc w:val="left"/>
            </w:pPr>
            <w:r>
              <w:t xml:space="preserve">Moscovium propulsion / BSM gravity</w:t>
            </w:r>
          </w:p>
        </w:tc>
        <w:tc>
          <w:tcPr/>
          <w:p>
            <w:pPr>
              <w:pStyle w:val="Compact"/>
              <w:jc w:val="left"/>
            </w:pPr>
            <w:r>
              <w:t xml:space="preserve">Nuclear physics + Standard Model</w:t>
            </w:r>
          </w:p>
        </w:tc>
        <w:tc>
          <w:tcPr/>
          <w:p>
            <w:pPr>
              <w:pStyle w:val="Compact"/>
              <w:jc w:val="left"/>
            </w:pPr>
            <w:r>
              <w:t xml:space="preserve">No stable superheavy isotopes; no empirical BSM gravitational coupling</w:t>
            </w:r>
          </w:p>
        </w:tc>
        <w:tc>
          <w:tcPr/>
          <w:p>
            <w:pPr>
              <w:pStyle w:val="Compact"/>
              <w:jc w:val="left"/>
            </w:pPr>
            <w:r>
              <w:t xml:space="preserve">Mc-290 half-life ~0.65 s; binding energy insufficient for stability; all effects consistent with Newtonian gravity</w:t>
            </w:r>
            <w:r>
              <w:t xml:space="preserve"> </w:t>
            </w:r>
            <w:fldSimple w:instr="NOTEREF _Ref_Footnote_90 \h \f">
              <w:r>
                <w:rPr>
                  <w:vertAlign w:val="superscript"/>
                </w:rPr>
                <w:t>90</w:t>
              </w:r>
            </w:fldSimple>
          </w:p>
        </w:tc>
      </w:tr>
    </w:tbl>
    <w:p>
      <w:pPr>
        <w:pStyle w:val="BodyText"/>
      </w:pPr>
      <w:r>
        <w:rPr>
          <w:iCs/>
          <w:i/>
        </w:rPr>
        <w:t xml:space="preserve">Table 11.3: The Quadruple No-Go Theorem. Each claim is ruled out by an independent branch of physics; their conjunction makes metric engineering, vacuum energy extraction, and exotic propulsion infeasible within any known framework.</w:t>
      </w:r>
    </w:p>
    <w:p>
      <w:pPr>
        <w:pStyle w:val="BodyText"/>
      </w:pPr>
      <w:r>
        <w:t xml:space="preserve">The fourth column is the critical one. These claims do not fail because of funding or engineering limitations. They fail because they contradict well-tested physical theories. PV theory cannot reproduce gravitational radiation inspiral rates observed by LIGO. ZPE extraction violates the same QED formalism that predicts the Lamb shift. Laboratory EM-gravity coupling is suppressed by powers of</w:t>
      </w:r>
      <w:r>
        <w:t xml:space="preserve"> </w:t>
      </w:r>
      <m:oMath>
        <m:sSup>
          <m:e>
            <m:r>
              <m:t>10</m:t>
            </m:r>
          </m:e>
          <m:sup>
            <m:r>
              <m:t>18</m:t>
            </m:r>
          </m:sup>
        </m:sSup>
      </m:oMath>
      <w:r>
        <w:t xml:space="preserve">. Moscovium’s properties are bounded by the same semi-empirical formulas that predicted the island of stability.</w:t>
      </w:r>
    </w:p>
    <w:bookmarkEnd w:id="182"/>
    <w:bookmarkStart w:id="183" w:name="demoted-to-theoretical-metaphors"/>
    <w:p>
      <w:pPr>
        <w:pStyle w:val="Heading4"/>
      </w:pPr>
      <w:r>
        <w:t xml:space="preserve">11.3.2 Demoted to Theoretical Metaphors</w:t>
      </w:r>
    </w:p>
    <w:p>
      <w:pPr>
        <w:pStyle w:val="FirstParagraph"/>
      </w:pPr>
      <w:r>
        <w:t xml:space="preserve">Three concepts from the original UASA plan retain heuristic value but cannot be taken literally.</w:t>
      </w:r>
    </w:p>
    <w:p>
      <w:pPr>
        <w:pStyle w:val="BodyText"/>
      </w:pPr>
      <w:r>
        <w:rPr>
          <w:bCs/>
          <w:b/>
        </w:rPr>
        <w:t xml:space="preserve">“</w:t>
      </w:r>
      <w:r>
        <w:rPr>
          <w:bCs/>
          <w:b/>
        </w:rPr>
        <w:t xml:space="preserve">Unbreakable</w:t>
      </w:r>
      <w:r>
        <w:rPr>
          <w:bCs/>
          <w:b/>
        </w:rPr>
        <w:t xml:space="preserve">”</w:t>
      </w:r>
      <w:r>
        <w:rPr>
          <w:bCs/>
          <w:b/>
        </w:rPr>
        <w:t xml:space="preserve"> </w:t>
      </w:r>
      <w:r>
        <w:rPr>
          <w:bCs/>
          <w:b/>
        </w:rPr>
        <w:t xml:space="preserve">topological safety</w:t>
      </w:r>
      <w:r>
        <w:t xml:space="preserve"> </w:t>
      </w:r>
      <w:r>
        <w:t xml:space="preserve">is demoted to graph reachability analysis and semantic boundary checks. Winding numbers are computable for known manifolds but not for neural network latent spaces, whose topology is unknown. The Bekenstein bound is a black-hole thermodynamic limit, not a runtime constraint. What replaces it is graph-safety: the constraint engine checks that claim graphs remain acyclic, that proof obligations trace to grounded axioms, and that no derivation crosses semantic boundaries without explicit transition.</w:t>
      </w:r>
    </w:p>
    <w:p>
      <w:pPr>
        <w:pStyle w:val="BodyText"/>
      </w:pPr>
      <w:r>
        <w:rPr>
          <w:bCs/>
          <w:b/>
        </w:rPr>
        <w:t xml:space="preserve">Literal infinite memory</w:t>
      </w:r>
      <w:r>
        <w:t xml:space="preserve"> </w:t>
      </w:r>
      <w:r>
        <w:t xml:space="preserve">is demoted to</w:t>
      </w:r>
      <w:r>
        <w:t xml:space="preserve"> </w:t>
      </w:r>
      <w:r>
        <w:t xml:space="preserve">“</w:t>
      </w:r>
      <w:r>
        <w:t xml:space="preserve">exponentially scaling capacity with caveats.</w:t>
      </w:r>
      <w:r>
        <w:t xml:space="preserve">”</w:t>
      </w:r>
      <w:r>
        <w:t xml:space="preserve"> </w:t>
      </w:r>
      <w:r>
        <w:t xml:space="preserve">The strongest proven result is exponential scaling in honeycomb Kuramoto and continuous Hopfield networks, both requiring specialized constraints</w:t>
      </w:r>
      <w:r>
        <w:t xml:space="preserve"> </w:t>
      </w:r>
      <w:fldSimple w:instr="NOTEREF _Ref_Footnote_17 \h \f">
        <w:r>
          <w:rPr>
            <w:vertAlign w:val="superscript"/>
          </w:rPr>
          <w:t>17</w:t>
        </w:r>
      </w:fldSimple>
      <w:r>
        <w:t xml:space="preserve"> </w:t>
      </w:r>
      <w:fldSimple w:instr="NOTEREF _Ref_Footnote_51 \h \f">
        <w:r>
          <w:rPr>
            <w:vertAlign w:val="superscript"/>
          </w:rPr>
          <w:t>51</w:t>
        </w:r>
      </w:fldSimple>
      <w:r>
        <w:t xml:space="preserve">. HDC scales linearly</w:t>
      </w:r>
      <w:r>
        <w:t xml:space="preserve"> </w:t>
      </w:r>
      <w:fldSimple w:instr="NOTEREF _Ref_Footnote_25 \h \f">
        <w:r>
          <w:rPr>
            <w:vertAlign w:val="superscript"/>
          </w:rPr>
          <w:t>25</w:t>
        </w:r>
      </w:fldSimple>
      <w:r>
        <w:t xml:space="preserve">. The honest framing is that the stack provides</w:t>
      </w:r>
      <w:r>
        <w:t xml:space="preserve"> </w:t>
      </w:r>
      <w:r>
        <w:t xml:space="preserve">“</w:t>
      </w:r>
      <w:r>
        <w:t xml:space="preserve">unbounded relative to KV cache</w:t>
      </w:r>
      <w:r>
        <w:t xml:space="preserve">”</w:t>
      </w:r>
      <w:r>
        <w:t xml:space="preserve">—a meaningful but bounded advantage.</w:t>
      </w:r>
    </w:p>
    <w:p>
      <w:pPr>
        <w:pStyle w:val="BodyText"/>
      </w:pPr>
      <w:r>
        <w:rPr>
          <w:bCs/>
          <w:b/>
        </w:rPr>
        <w:t xml:space="preserve">Consciousness as kernel input</w:t>
      </w:r>
      <w:r>
        <w:t xml:space="preserve"> </w:t>
      </w:r>
      <w:r>
        <w:t xml:space="preserve">is demoted to epistemic uncertainty quantification. No empirical measure of consciousness exists that is both computable and causally linked to reasoning quality. What replaces it is confidence tracking via token entropy, attention entropy, and SAE feature variance, routing low-confidence reasoning through additional verification.</w:t>
      </w:r>
    </w:p>
    <w:bookmarkEnd w:id="183"/>
    <w:bookmarkStart w:id="184" w:name="Xa29ae8a74e96ac0b18071ae65ce0ab09a1cfee4"/>
    <w:p>
      <w:pPr>
        <w:pStyle w:val="Heading4"/>
      </w:pPr>
      <w:r>
        <w:t xml:space="preserve">11.3.3 The Correct Framing: Power Through Structure, Not Physics Violation</w:t>
      </w:r>
    </w:p>
    <w:p>
      <w:pPr>
        <w:pStyle w:val="FirstParagraph"/>
      </w:pPr>
      <w:r>
        <w:t xml:space="preserve">Local AI becomes powerful not because it breaks physical law but because it obeys structure more rigorously than cloud alternatives. The determinism-privacy-locality triad is a structural moat: cloud scheduling is inherently non-deterministic (multi-tenant), cloud requires data transmission (privacy loss), and cloud cannot provide user-owned persistent memory (locality loss)</w:t>
      </w:r>
      <w:r>
        <w:t xml:space="preserve"> </w:t>
      </w:r>
      <w:fldSimple w:instr="NOTEREF _Ref_Footnote_23 \h \f">
        <w:r>
          <w:rPr>
            <w:vertAlign w:val="superscript"/>
          </w:rPr>
          <w:t>23</w:t>
        </w:r>
      </w:fldSimple>
      <w:r>
        <w:t xml:space="preserve"> </w:t>
      </w:r>
      <w:fldSimple w:instr="NOTEREF _Ref_Footnote_57 \h \f">
        <w:r>
          <w:rPr>
            <w:vertAlign w:val="superscript"/>
          </w:rPr>
          <w:t>57</w:t>
        </w:r>
      </w:fldSimple>
      <w:r>
        <w:t xml:space="preserve">.</w:t>
      </w:r>
    </w:p>
    <w:p>
      <w:pPr>
        <w:pStyle w:val="BodyText"/>
      </w:pPr>
      <w:r>
        <w:t xml:space="preserve">The defensible claim is not that a 7B-parameter local model beats a 1T-parameter cloud model on all tasks. The defensible claim is that</w:t>
      </w:r>
      <w:r>
        <w:t xml:space="preserve"> </w:t>
      </w:r>
      <w:r>
        <w:rPr>
          <w:bCs/>
          <w:b/>
        </w:rPr>
        <w:t xml:space="preserve">deterministic, auditable, privacy-preserving, user-owned reasoning beats unconstrained cloud inference on reliability-critical tasks.</w:t>
      </w:r>
      <w:r>
        <w:t xml:space="preserve"> </w:t>
      </w:r>
      <w:r>
        <w:t xml:space="preserve">This is a real moat because cloud architectures structurally cannot provide these properties. Multi-tenancy breaks determinism at the hardware-scheduler level. Data transmission breaks privacy by exposing inputs to network interception. Centralized storage breaks user ownership by making the provider the custodian of personal knowledge graphs.</w:t>
      </w:r>
    </w:p>
    <w:p>
      <w:pPr>
        <w:pStyle w:val="BodyText"/>
      </w:pPr>
      <w:r>
        <w:t xml:space="preserve">The architecture that emerges is not speculation about future physics. It is a systematic integration of proven components into a substrate where every output carries cryptographic provenance, every claim is validated against typed ontologies, and every repair is logged and auditable. That substrate is not superintelligence by breaking limits. It is superintelligence by respecting them.</w:t>
      </w:r>
    </w:p>
    <w:p>
      <w:r>
        <w:pict>
          <v:rect style="width:0;height:1.5pt" o:hralign="center" o:hrstd="t" o:hr="t"/>
        </w:pict>
      </w:r>
    </w:p>
    <w:bookmarkEnd w:id="184"/>
    <w:bookmarkEnd w:id="185"/>
    <w:bookmarkEnd w:id="186"/>
    <w:bookmarkEnd w:id="187"/>
    <w:bookmarkStart w:id="196" w:name="conclusion-a-new-computing-paradigm"/>
    <w:p>
      <w:pPr>
        <w:pStyle w:val="Heading1"/>
      </w:pPr>
      <w:r>
        <w:t xml:space="preserve">12. Conclusion: A New Computing Paradigm</w:t>
      </w:r>
    </w:p>
    <w:bookmarkStart w:id="191" w:name="the-synthesis"/>
    <w:p>
      <w:pPr>
        <w:pStyle w:val="Heading2"/>
      </w:pPr>
      <w:r>
        <w:t xml:space="preserve">12.1 The Synthesis</w:t>
      </w:r>
    </w:p>
    <w:bookmarkStart w:id="188" w:name="from-wrapper-to-substrate"/>
    <w:p>
      <w:pPr>
        <w:pStyle w:val="Heading3"/>
      </w:pPr>
      <w:r>
        <w:t xml:space="preserve">12.1.1 From Wrapper to Substrate</w:t>
      </w:r>
    </w:p>
    <w:p>
      <w:pPr>
        <w:pStyle w:val="FirstParagraph"/>
      </w:pPr>
      <w:r>
        <w:t xml:space="preserve">After eleven chapters and seventeen research dimensions, the UASA/Rex architecture resolves into a single declarative identity: it is neither a large language model (LLM) wrapper nor a traditional operating system. It is a</w:t>
      </w:r>
      <w:r>
        <w:t xml:space="preserve"> </w:t>
      </w:r>
      <w:r>
        <w:rPr>
          <w:iCs/>
          <w:i/>
        </w:rPr>
        <w:t xml:space="preserve">computational substrate</w:t>
      </w:r>
      <w:r>
        <w:t xml:space="preserve"> </w:t>
      </w:r>
      <w:r>
        <w:t xml:space="preserve">in which physical law, formal logic, and neural computation are unified through deterministic execution. This is a structural claim about what happens when every component in an AI stack is designed to produce auditable, verifiable, and reproducible state transitions.</w:t>
      </w:r>
    </w:p>
    <w:p>
      <w:pPr>
        <w:pStyle w:val="BodyText"/>
      </w:pPr>
      <w:r>
        <w:t xml:space="preserve">The conventional AI product is a pipeline: a model receives a prompt, generates tokens, and the application layer formats the output. Reliability is assumed proportional to model scale. The evidence across this document contradicts that assumption. DeepSeek-R1-Distill-Qwen-7B exhibits up to 9% accuracy variation on AIME under identical greedy decoding, driven solely by batch size and tensor-parallelism changes</w:t>
      </w:r>
      <w:r>
        <w:t xml:space="preserve"> </w:t>
      </w:r>
      <w:fldSimple w:instr="NOTEREF _Ref_Footnote_1 \h \f">
        <w:r>
          <w:rPr>
            <w:vertAlign w:val="superscript"/>
          </w:rPr>
          <w:t>1</w:t>
        </w:r>
      </w:fldSimple>
      <w:r>
        <w:t xml:space="preserve">. Intrinsic self-correction fails 64.5% of the time across fourteen models</w:t>
      </w:r>
      <w:r>
        <w:t xml:space="preserve"> </w:t>
      </w:r>
      <w:fldSimple w:instr="NOTEREF _Ref_Footnote_4 \h \f">
        <w:r>
          <w:rPr>
            <w:vertAlign w:val="superscript"/>
          </w:rPr>
          <w:t>4</w:t>
        </w:r>
      </w:fldSimple>
      <w:r>
        <w:t xml:space="preserve">. Non-associative floating-point accumulation guarantees that the same prompt submitted twice to the same cloud API may follow divergent paths</w:t>
      </w:r>
      <w:r>
        <w:t xml:space="preserve"> </w:t>
      </w:r>
      <w:fldSimple w:instr="NOTEREF _Ref_Footnote_32 \h \f">
        <w:r>
          <w:rPr>
            <w:vertAlign w:val="superscript"/>
          </w:rPr>
          <w:t>32</w:t>
        </w:r>
      </w:fldSimple>
      <w:r>
        <w:t xml:space="preserve">. Scale does not confer determinism; it merely amplifies the consequences of its absence.</w:t>
      </w:r>
    </w:p>
    <w:p>
      <w:pPr>
        <w:pStyle w:val="BodyText"/>
      </w:pPr>
      <w:r>
        <w:t xml:space="preserve">Rex inverts this relationship. The local model becomes a</w:t>
      </w:r>
      <w:r>
        <w:t xml:space="preserve"> </w:t>
      </w:r>
      <w:r>
        <w:rPr>
          <w:iCs/>
          <w:i/>
        </w:rPr>
        <w:t xml:space="preserve">proposal engine</w:t>
      </w:r>
      <w:r>
        <w:t xml:space="preserve">, not the source of truth. Every token sequence is treated as a proposed state transition: extracted into a typed claim graph, validated against an ontological profile, checked by solver-backed verifiers, and committed to an append-only run ledger only after all constraints are satisfied. The model proposes; the substrate decides. Constraints are not post-hoc filters applied to finished outputs; they are compile-time and runtime invariants that shape what the model is permitted to generate, steer its latent trajectories away from failure regions before tokens emerge, and repair violations through structured regeneration loops.</w:t>
      </w:r>
    </w:p>
    <w:p>
      <w:pPr>
        <w:pStyle w:val="BodyText"/>
      </w:pPr>
      <w:r>
        <w:t xml:space="preserve">The substrate identity also distinguishes Rex from traditional operating systems. An OS manages resources, schedules processes, and abstracts hardware; Rex adds</w:t>
      </w:r>
      <w:r>
        <w:t xml:space="preserve"> </w:t>
      </w:r>
      <w:r>
        <w:rPr>
          <w:iCs/>
          <w:i/>
        </w:rPr>
        <w:t xml:space="preserve">semantic enforcement</w:t>
      </w:r>
      <w:r>
        <w:t xml:space="preserve">: it compiles domain ontologies into zero-cost runtime checks, transforms physical law into type constraints, and records every reasoning step in a cryptographic attestation chain. The hardware layer is Apple Silicon UMA with deterministic Metal kernels</w:t>
      </w:r>
      <w:r>
        <w:t xml:space="preserve"> </w:t>
      </w:r>
      <w:fldSimple w:instr="NOTEREF _Ref_Footnote_29 \h \f">
        <w:r>
          <w:rPr>
            <w:vertAlign w:val="superscript"/>
          </w:rPr>
          <w:t>29</w:t>
        </w:r>
      </w:fldSimple>
      <w:r>
        <w:t xml:space="preserve"> </w:t>
      </w:r>
      <w:fldSimple w:instr="NOTEREF _Ref_Footnote_15 \h \f">
        <w:r>
          <w:rPr>
            <w:vertAlign w:val="superscript"/>
          </w:rPr>
          <w:t>15</w:t>
        </w:r>
      </w:fldSimple>
      <w:r>
        <w:t xml:space="preserve">; the scheduling layer is a deterministic async runtime with seeded pseudo-random number generation</w:t>
      </w:r>
      <w:r>
        <w:t xml:space="preserve"> </w:t>
      </w:r>
      <w:fldSimple w:instr="NOTEREF _Ref_Footnote_36 \h \f">
        <w:r>
          <w:rPr>
            <w:vertAlign w:val="superscript"/>
          </w:rPr>
          <w:t>36</w:t>
        </w:r>
      </w:fldSimple>
      <w:r>
        <w:t xml:space="preserve">; the policy layer is an ontology compiler that transforms conservation laws and proof obligations into executable Rust traits.</w:t>
      </w:r>
    </w:p>
    <w:bookmarkEnd w:id="188"/>
    <w:bookmarkStart w:id="189" w:name="X9e9bc98ec1e9b74377eef13984a15afc9f667c1"/>
    <w:p>
      <w:pPr>
        <w:pStyle w:val="Heading3"/>
      </w:pPr>
      <w:r>
        <w:t xml:space="preserve">12.1.2 Fifteen Emergent Properties from Systematic Integration</w:t>
      </w:r>
    </w:p>
    <w:p>
      <w:pPr>
        <w:pStyle w:val="FirstParagraph"/>
      </w:pPr>
      <w:r>
        <w:t xml:space="preserve">The fifteen cross-dimensional insights synthesized in Chapter 10 are not additive features; they are</w:t>
      </w:r>
      <w:r>
        <w:t xml:space="preserve"> </w:t>
      </w:r>
      <w:r>
        <w:rPr>
          <w:iCs/>
          <w:i/>
        </w:rPr>
        <w:t xml:space="preserve">emergent properties</w:t>
      </w:r>
      <w:r>
        <w:t xml:space="preserve"> </w:t>
      </w:r>
      <w:r>
        <w:t xml:space="preserve">that arise only when multiple independently validated mechanisms are coupled into closed loops. Each capability emerges from the temporal ordering and structural coupling of components that, in isolation, address narrower problems.</w:t>
      </w:r>
    </w:p>
    <w:p>
      <w:pPr>
        <w:pStyle w:val="BodyText"/>
      </w:pPr>
      <w:r>
        <w:rPr>
          <w:bCs/>
          <w:b/>
        </w:rPr>
        <w:t xml:space="preserve">Table 12.1: Emergent Properties of the UASA/Rex Substrate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Emergent Property</w:t>
            </w:r>
          </w:p>
        </w:tc>
        <w:tc>
          <w:tcPr/>
          <w:p>
            <w:pPr>
              <w:pStyle w:val="Compact"/>
              <w:jc w:val="left"/>
            </w:pPr>
            <w:r>
              <w:t xml:space="preserve">Mechanism</w:t>
            </w:r>
          </w:p>
        </w:tc>
        <w:tc>
          <w:tcPr/>
          <w:p>
            <w:pPr>
              <w:pStyle w:val="Compact"/>
              <w:jc w:val="left"/>
            </w:pPr>
            <w:r>
              <w:t xml:space="preserve">Confidence</w:t>
            </w:r>
          </w:p>
        </w:tc>
      </w:tr>
      <w:tr>
        <w:tc>
          <w:tcPr/>
          <w:p>
            <w:pPr>
              <w:pStyle w:val="Compact"/>
              <w:jc w:val="left"/>
            </w:pPr>
            <w:r>
              <w:rPr>
                <w:bCs/>
                <w:b/>
              </w:rPr>
              <w:t xml:space="preserve">Self-Monitoring</w:t>
            </w:r>
          </w:p>
        </w:tc>
        <w:tc>
          <w:tcPr/>
          <w:p>
            <w:pPr>
              <w:pStyle w:val="Compact"/>
              <w:jc w:val="left"/>
            </w:pPr>
            <w:r>
              <w:t xml:space="preserve">SAE-Constraint Feedback Loop</w:t>
            </w:r>
          </w:p>
        </w:tc>
        <w:tc>
          <w:tcPr/>
          <w:p>
            <w:pPr>
              <w:pStyle w:val="Compact"/>
              <w:jc w:val="left"/>
            </w:pPr>
            <w:r>
              <w:t xml:space="preserve">SAE feature trajectories predict constraint violations before token emission</w:t>
            </w:r>
            <w:r>
              <w:t xml:space="preserve"> </w:t>
            </w:r>
            <w:fldSimple w:instr="NOTEREF _Ref_Footnote_3 \h \f">
              <w:r>
                <w:rPr>
                  <w:vertAlign w:val="superscript"/>
                </w:rPr>
                <w:t>3</w:t>
              </w:r>
            </w:fldSimple>
            <w:r>
              <w:t xml:space="preserve"> </w:t>
            </w:r>
            <w:fldSimple w:instr="NOTEREF _Ref_Footnote_56 \h \f">
              <w:r>
                <w:rPr>
                  <w:vertAlign w:val="superscript"/>
                </w:rPr>
                <w:t>56</w:t>
              </w:r>
            </w:fldSimple>
          </w:p>
        </w:tc>
        <w:tc>
          <w:tcPr/>
          <w:p>
            <w:pPr>
              <w:pStyle w:val="Compact"/>
              <w:jc w:val="left"/>
            </w:pPr>
            <w:r>
              <w:t xml:space="preserve">HIGH</w:t>
            </w:r>
          </w:p>
        </w:tc>
      </w:tr>
      <w:tr>
        <w:tc>
          <w:tcPr/>
          <w:p>
            <w:pPr>
              <w:pStyle w:val="Compact"/>
              <w:jc w:val="left"/>
            </w:pPr>
            <w:r>
              <w:rPr>
                <w:bCs/>
                <w:b/>
              </w:rPr>
              <w:t xml:space="preserve">Self-Monitoring</w:t>
            </w:r>
          </w:p>
        </w:tc>
        <w:tc>
          <w:tcPr/>
          <w:p>
            <w:pPr>
              <w:pStyle w:val="Compact"/>
              <w:jc w:val="left"/>
            </w:pPr>
            <w:r>
              <w:t xml:space="preserve">Hallucination Early Warning System</w:t>
            </w:r>
          </w:p>
        </w:tc>
        <w:tc>
          <w:tcPr/>
          <w:p>
            <w:pPr>
              <w:pStyle w:val="Compact"/>
              <w:jc w:val="left"/>
            </w:pPr>
            <w:r>
              <w:t xml:space="preserve">Multi-signal fusion (SAE + entropy + NLI + ANE) with &lt;5 ms latency</w:t>
            </w:r>
            <w:r>
              <w:t xml:space="preserve"> </w:t>
            </w:r>
            <w:fldSimple w:instr="NOTEREF _Ref_Footnote_4 \h \f">
              <w:r>
                <w:rPr>
                  <w:vertAlign w:val="superscript"/>
                </w:rPr>
                <w:t>4</w:t>
              </w:r>
            </w:fldSimple>
            <w:r>
              <w:t xml:space="preserve"> </w:t>
            </w:r>
            <w:fldSimple w:instr="NOTEREF _Ref_Footnote_7 \h \f">
              <w:r>
                <w:rPr>
                  <w:vertAlign w:val="superscript"/>
                </w:rPr>
                <w:t>7</w:t>
              </w:r>
            </w:fldSimple>
          </w:p>
        </w:tc>
        <w:tc>
          <w:tcPr/>
          <w:p>
            <w:pPr>
              <w:pStyle w:val="Compact"/>
              <w:jc w:val="left"/>
            </w:pPr>
            <w:r>
              <w:t xml:space="preserve">HIGH</w:t>
            </w:r>
          </w:p>
        </w:tc>
      </w:tr>
      <w:tr>
        <w:tc>
          <w:tcPr/>
          <w:p>
            <w:pPr>
              <w:pStyle w:val="Compact"/>
              <w:jc w:val="left"/>
            </w:pPr>
            <w:r>
              <w:rPr>
                <w:bCs/>
                <w:b/>
              </w:rPr>
              <w:t xml:space="preserve">Self-Monitoring</w:t>
            </w:r>
          </w:p>
        </w:tc>
        <w:tc>
          <w:tcPr/>
          <w:p>
            <w:pPr>
              <w:pStyle w:val="Compact"/>
              <w:jc w:val="left"/>
            </w:pPr>
            <w:r>
              <w:t xml:space="preserve">Temporal Feature Drift Detection</w:t>
            </w:r>
          </w:p>
        </w:tc>
        <w:tc>
          <w:tcPr/>
          <w:p>
            <w:pPr>
              <w:pStyle w:val="Compact"/>
              <w:jc w:val="left"/>
            </w:pPr>
            <w:r>
              <w:t xml:space="preserve">Feature distribution monitoring predicts capability decay before benchmark scores drop</w:t>
            </w:r>
            <w:r>
              <w:t xml:space="preserve"> </w:t>
            </w:r>
            <w:fldSimple w:instr="NOTEREF _Ref_Footnote_3 \h \f">
              <w:r>
                <w:rPr>
                  <w:vertAlign w:val="superscript"/>
                </w:rPr>
                <w:t>3</w:t>
              </w:r>
            </w:fldSimple>
          </w:p>
        </w:tc>
        <w:tc>
          <w:tcPr/>
          <w:p>
            <w:pPr>
              <w:pStyle w:val="Compact"/>
              <w:jc w:val="left"/>
            </w:pPr>
            <w:r>
              <w:t xml:space="preserve">MEDIUM-HIGH</w:t>
            </w:r>
          </w:p>
        </w:tc>
      </w:tr>
      <w:tr>
        <w:tc>
          <w:tcPr/>
          <w:p>
            <w:pPr>
              <w:pStyle w:val="Compact"/>
              <w:jc w:val="left"/>
            </w:pPr>
            <w:r>
              <w:rPr>
                <w:bCs/>
                <w:b/>
              </w:rPr>
              <w:t xml:space="preserve">Self-Improving</w:t>
            </w:r>
          </w:p>
        </w:tc>
        <w:tc>
          <w:tcPr/>
          <w:p>
            <w:pPr>
              <w:pStyle w:val="Compact"/>
              <w:jc w:val="left"/>
            </w:pPr>
            <w:r>
              <w:t xml:space="preserve">Benchmark-Guided Curriculum RL</w:t>
            </w:r>
          </w:p>
        </w:tc>
        <w:tc>
          <w:tcPr/>
          <w:p>
            <w:pPr>
              <w:pStyle w:val="Compact"/>
              <w:jc w:val="left"/>
            </w:pPr>
            <w:r>
              <w:t xml:space="preserve">Feature gaps auto-generate targeted training data; GRPO converges in 1–3 iterations</w:t>
            </w:r>
            <w:r>
              <w:t xml:space="preserve"> </w:t>
            </w:r>
            <w:fldSimple w:instr="NOTEREF _Ref_Footnote_12 \h \f">
              <w:r>
                <w:rPr>
                  <w:vertAlign w:val="superscript"/>
                </w:rPr>
                <w:t>12</w:t>
              </w:r>
            </w:fldSimple>
            <w:r>
              <w:t xml:space="preserve"> </w:t>
            </w:r>
            <w:fldSimple w:instr="NOTEREF _Ref_Footnote_57 \h \f">
              <w:r>
                <w:rPr>
                  <w:vertAlign w:val="superscript"/>
                </w:rPr>
                <w:t>57</w:t>
              </w:r>
            </w:fldSimple>
          </w:p>
        </w:tc>
        <w:tc>
          <w:tcPr/>
          <w:p>
            <w:pPr>
              <w:pStyle w:val="Compact"/>
              <w:jc w:val="left"/>
            </w:pPr>
            <w:r>
              <w:t xml:space="preserve">MEDIUM</w:t>
            </w:r>
          </w:p>
        </w:tc>
      </w:tr>
      <w:tr>
        <w:tc>
          <w:tcPr/>
          <w:p>
            <w:pPr>
              <w:pStyle w:val="Compact"/>
              <w:jc w:val="left"/>
            </w:pPr>
            <w:r>
              <w:rPr>
                <w:bCs/>
                <w:b/>
              </w:rPr>
              <w:t xml:space="preserve">Self-Improving</w:t>
            </w:r>
          </w:p>
        </w:tc>
        <w:tc>
          <w:tcPr/>
          <w:p>
            <w:pPr>
              <w:pStyle w:val="Compact"/>
              <w:jc w:val="left"/>
            </w:pPr>
            <w:r>
              <w:t xml:space="preserve">Feature-Directed Model Surgery</w:t>
            </w:r>
          </w:p>
        </w:tc>
        <w:tc>
          <w:tcPr/>
          <w:p>
            <w:pPr>
              <w:pStyle w:val="Compact"/>
              <w:jc w:val="left"/>
            </w:pPr>
            <w:r>
              <w:t xml:space="preserve">SAE-identified failure modes repaired via targeted weight modification</w:t>
            </w:r>
            <w:r>
              <w:t xml:space="preserve"> </w:t>
            </w:r>
            <w:fldSimple w:instr="NOTEREF _Ref_Footnote_3 \h \f">
              <w:r>
                <w:rPr>
                  <w:vertAlign w:val="superscript"/>
                </w:rPr>
                <w:t>3</w:t>
              </w:r>
            </w:fldSimple>
          </w:p>
        </w:tc>
        <w:tc>
          <w:tcPr/>
          <w:p>
            <w:pPr>
              <w:pStyle w:val="Compact"/>
              <w:jc w:val="left"/>
            </w:pPr>
            <w:r>
              <w:t xml:space="preserve">MEDIUM</w:t>
            </w:r>
          </w:p>
        </w:tc>
      </w:tr>
      <w:tr>
        <w:tc>
          <w:tcPr/>
          <w:p>
            <w:pPr>
              <w:pStyle w:val="Compact"/>
              <w:jc w:val="left"/>
            </w:pPr>
            <w:r>
              <w:rPr>
                <w:bCs/>
                <w:b/>
              </w:rPr>
              <w:t xml:space="preserve">Self-Improving</w:t>
            </w:r>
          </w:p>
        </w:tc>
        <w:tc>
          <w:tcPr/>
          <w:p>
            <w:pPr>
              <w:pStyle w:val="Compact"/>
              <w:jc w:val="left"/>
            </w:pPr>
            <w:r>
              <w:t xml:space="preserve">Physics-Informed GRPO Reward Shaping</w:t>
            </w:r>
          </w:p>
        </w:tc>
        <w:tc>
          <w:tcPr/>
          <w:p>
            <w:pPr>
              <w:pStyle w:val="Compact"/>
              <w:jc w:val="left"/>
            </w:pPr>
            <w:r>
              <w:t xml:space="preserve">FNO surrogates provide ~440× speedup for physics-aware RL rewards</w:t>
            </w:r>
            <w:r>
              <w:t xml:space="preserve"> </w:t>
            </w:r>
            <w:fldSimple w:instr="NOTEREF _Ref_Footnote_21 \h \f">
              <w:r>
                <w:rPr>
                  <w:vertAlign w:val="superscript"/>
                </w:rPr>
                <w:t>21</w:t>
              </w:r>
            </w:fldSimple>
          </w:p>
        </w:tc>
        <w:tc>
          <w:tcPr/>
          <w:p>
            <w:pPr>
              <w:pStyle w:val="Compact"/>
              <w:jc w:val="left"/>
            </w:pPr>
            <w:r>
              <w:t xml:space="preserve">MEDIUM</w:t>
            </w:r>
          </w:p>
        </w:tc>
      </w:tr>
      <w:tr>
        <w:tc>
          <w:tcPr/>
          <w:p>
            <w:pPr>
              <w:pStyle w:val="Compact"/>
              <w:jc w:val="left"/>
            </w:pPr>
            <w:r>
              <w:rPr>
                <w:bCs/>
                <w:b/>
              </w:rPr>
              <w:t xml:space="preserve">Self-Proving</w:t>
            </w:r>
          </w:p>
        </w:tc>
        <w:tc>
          <w:tcPr/>
          <w:p>
            <w:pPr>
              <w:pStyle w:val="Compact"/>
              <w:jc w:val="left"/>
            </w:pPr>
            <w:r>
              <w:t xml:space="preserve">Proof-Carrying AI Execution Chain</w:t>
            </w:r>
          </w:p>
        </w:tc>
        <w:tc>
          <w:tcPr/>
          <w:p>
            <w:pPr>
              <w:pStyle w:val="Compact"/>
              <w:jc w:val="left"/>
            </w:pPr>
            <w:r>
              <w:t xml:space="preserve">Merkle-root attestation of every computation step</w:t>
            </w:r>
            <w:r>
              <w:t xml:space="preserve"> </w:t>
            </w:r>
            <w:fldSimple w:instr="NOTEREF _Ref_Footnote_9 \h \f">
              <w:r>
                <w:rPr>
                  <w:vertAlign w:val="superscript"/>
                </w:rPr>
                <w:t>9</w:t>
              </w:r>
            </w:fldSimple>
            <w:r>
              <w:t xml:space="preserve"> </w:t>
            </w:r>
            <w:fldSimple w:instr="NOTEREF _Ref_Footnote_10 \h \f">
              <w:r>
                <w:rPr>
                  <w:vertAlign w:val="superscript"/>
                </w:rPr>
                <w:t>10</w:t>
              </w:r>
            </w:fldSimple>
          </w:p>
        </w:tc>
        <w:tc>
          <w:tcPr/>
          <w:p>
            <w:pPr>
              <w:pStyle w:val="Compact"/>
              <w:jc w:val="left"/>
            </w:pPr>
            <w:r>
              <w:t xml:space="preserve">HIGH</w:t>
            </w:r>
          </w:p>
        </w:tc>
      </w:tr>
      <w:tr>
        <w:tc>
          <w:tcPr/>
          <w:p>
            <w:pPr>
              <w:pStyle w:val="Compact"/>
              <w:jc w:val="left"/>
            </w:pPr>
            <w:r>
              <w:rPr>
                <w:bCs/>
                <w:b/>
              </w:rPr>
              <w:t xml:space="preserve">Self-Proving</w:t>
            </w:r>
          </w:p>
        </w:tc>
        <w:tc>
          <w:tcPr/>
          <w:p>
            <w:pPr>
              <w:pStyle w:val="Compact"/>
              <w:jc w:val="left"/>
            </w:pPr>
            <w:r>
              <w:t xml:space="preserve">Deterministic Replay &amp; Audit</w:t>
            </w:r>
          </w:p>
        </w:tc>
        <w:tc>
          <w:tcPr/>
          <w:p>
            <w:pPr>
              <w:pStyle w:val="Compact"/>
              <w:jc w:val="left"/>
            </w:pPr>
            <w:r>
              <w:t xml:space="preserve">Seeded execution + hashed event chain enables byte-identical replay</w:t>
            </w:r>
            <w:r>
              <w:t xml:space="preserve"> </w:t>
            </w:r>
            <w:fldSimple w:instr="NOTEREF _Ref_Footnote_36 \h \f">
              <w:r>
                <w:rPr>
                  <w:vertAlign w:val="superscript"/>
                </w:rPr>
                <w:t>36</w:t>
              </w:r>
            </w:fldSimple>
            <w:r>
              <w:t xml:space="preserve"> </w:t>
            </w:r>
            <w:fldSimple w:instr="NOTEREF _Ref_Footnote_22 \h \f">
              <w:r>
                <w:rPr>
                  <w:vertAlign w:val="superscript"/>
                </w:rPr>
                <w:t>22</w:t>
              </w:r>
            </w:fldSimple>
          </w:p>
        </w:tc>
        <w:tc>
          <w:tcPr/>
          <w:p>
            <w:pPr>
              <w:pStyle w:val="Compact"/>
              <w:jc w:val="left"/>
            </w:pPr>
            <w:r>
              <w:t xml:space="preserve">HIGH</w:t>
            </w:r>
          </w:p>
        </w:tc>
      </w:tr>
      <w:tr>
        <w:tc>
          <w:tcPr/>
          <w:p>
            <w:pPr>
              <w:pStyle w:val="Compact"/>
              <w:jc w:val="left"/>
            </w:pPr>
            <w:r>
              <w:rPr>
                <w:bCs/>
                <w:b/>
              </w:rPr>
              <w:t xml:space="preserve">Self-Proving</w:t>
            </w:r>
          </w:p>
        </w:tc>
        <w:tc>
          <w:tcPr/>
          <w:p>
            <w:pPr>
              <w:pStyle w:val="Compact"/>
              <w:jc w:val="left"/>
            </w:pPr>
            <w:r>
              <w:t xml:space="preserve">Staged Formal Verification</w:t>
            </w:r>
          </w:p>
        </w:tc>
        <w:tc>
          <w:tcPr/>
          <w:p>
            <w:pPr>
              <w:pStyle w:val="Compact"/>
              <w:jc w:val="left"/>
            </w:pPr>
            <w:r>
              <w:t xml:space="preserve">Fast path (&lt;10 ms) → medium path (Kani/Creusot) → slow path (Lean)</w:t>
            </w:r>
            <w:r>
              <w:t xml:space="preserve"> </w:t>
            </w:r>
            <w:fldSimple w:instr="NOTEREF _Ref_Footnote_70 \h \f">
              <w:r>
                <w:rPr>
                  <w:vertAlign w:val="superscript"/>
                </w:rPr>
                <w:t>70</w:t>
              </w:r>
            </w:fldSimple>
            <w:r>
              <w:t xml:space="preserve"> </w:t>
            </w:r>
            <w:fldSimple w:instr="NOTEREF _Ref_Footnote_12 \h \f">
              <w:r>
                <w:rPr>
                  <w:vertAlign w:val="superscript"/>
                </w:rPr>
                <w:t>12</w:t>
              </w:r>
            </w:fldSimple>
          </w:p>
        </w:tc>
        <w:tc>
          <w:tcPr/>
          <w:p>
            <w:pPr>
              <w:pStyle w:val="Compact"/>
              <w:jc w:val="left"/>
            </w:pPr>
            <w:r>
              <w:t xml:space="preserve">HIGH</w:t>
            </w:r>
          </w:p>
        </w:tc>
      </w:tr>
      <w:tr>
        <w:tc>
          <w:tcPr/>
          <w:p>
            <w:pPr>
              <w:pStyle w:val="Compact"/>
              <w:jc w:val="left"/>
            </w:pPr>
            <w:r>
              <w:rPr>
                <w:bCs/>
                <w:b/>
              </w:rPr>
              <w:t xml:space="preserve">Self-Correcting</w:t>
            </w:r>
          </w:p>
        </w:tc>
        <w:tc>
          <w:tcPr/>
          <w:p>
            <w:pPr>
              <w:pStyle w:val="Compact"/>
              <w:jc w:val="left"/>
            </w:pPr>
            <w:r>
              <w:t xml:space="preserve">Active Inference Repair Dynamics</w:t>
            </w:r>
          </w:p>
        </w:tc>
        <w:tc>
          <w:tcPr/>
          <w:p>
            <w:pPr>
              <w:pStyle w:val="Compact"/>
              <w:jc w:val="left"/>
            </w:pPr>
            <w:r>
              <w:t xml:space="preserve">Propose→Extract→Constrain→Verify→Repair→Commit minimizes variational free energy</w:t>
            </w:r>
            <w:r>
              <w:t xml:space="preserve"> </w:t>
            </w:r>
            <w:fldSimple w:instr="NOTEREF _Ref_Footnote_14 \h \f">
              <w:r>
                <w:rPr>
                  <w:vertAlign w:val="superscript"/>
                </w:rPr>
                <w:t>14</w:t>
              </w:r>
            </w:fldSimple>
          </w:p>
        </w:tc>
        <w:tc>
          <w:tcPr/>
          <w:p>
            <w:pPr>
              <w:pStyle w:val="Compact"/>
              <w:jc w:val="left"/>
            </w:pPr>
            <w:r>
              <w:t xml:space="preserve">HIGH</w:t>
            </w:r>
          </w:p>
        </w:tc>
      </w:tr>
      <w:tr>
        <w:tc>
          <w:tcPr/>
          <w:p>
            <w:pPr>
              <w:pStyle w:val="Compact"/>
              <w:jc w:val="left"/>
            </w:pPr>
            <w:r>
              <w:rPr>
                <w:bCs/>
                <w:b/>
              </w:rPr>
              <w:t xml:space="preserve">Self-Correcting</w:t>
            </w:r>
          </w:p>
        </w:tc>
        <w:tc>
          <w:tcPr/>
          <w:p>
            <w:pPr>
              <w:pStyle w:val="Compact"/>
              <w:jc w:val="left"/>
            </w:pPr>
            <w:r>
              <w:t xml:space="preserve">Tool-Augmented Regeneration</w:t>
            </w:r>
          </w:p>
        </w:tc>
        <w:tc>
          <w:tcPr/>
          <w:p>
            <w:pPr>
              <w:pStyle w:val="Compact"/>
              <w:jc w:val="left"/>
            </w:pPr>
            <w:r>
              <w:t xml:space="preserve">Extrinsic repair converges reliably; intrinsic correction fails 64.5%</w:t>
            </w:r>
            <w:r>
              <w:t xml:space="preserve"> </w:t>
            </w:r>
            <w:fldSimple w:instr="NOTEREF _Ref_Footnote_4 \h \f">
              <w:r>
                <w:rPr>
                  <w:vertAlign w:val="superscript"/>
                </w:rPr>
                <w:t>4</w:t>
              </w:r>
            </w:fldSimple>
            <w:r>
              <w:t xml:space="preserve"> </w:t>
            </w:r>
            <w:fldSimple w:instr="NOTEREF _Ref_Footnote_27 \h \f">
              <w:r>
                <w:rPr>
                  <w:vertAlign w:val="superscript"/>
                </w:rPr>
                <w:t>27</w:t>
              </w:r>
            </w:fldSimple>
          </w:p>
        </w:tc>
        <w:tc>
          <w:tcPr/>
          <w:p>
            <w:pPr>
              <w:pStyle w:val="Compact"/>
              <w:jc w:val="left"/>
            </w:pPr>
            <w:r>
              <w:t xml:space="preserve">HIGH</w:t>
            </w:r>
          </w:p>
        </w:tc>
      </w:tr>
      <w:tr>
        <w:tc>
          <w:tcPr/>
          <w:p>
            <w:pPr>
              <w:pStyle w:val="Compact"/>
              <w:jc w:val="left"/>
            </w:pPr>
            <w:r>
              <w:rPr>
                <w:bCs/>
                <w:b/>
              </w:rPr>
              <w:t xml:space="preserve">Self-Correcting</w:t>
            </w:r>
          </w:p>
        </w:tc>
        <w:tc>
          <w:tcPr/>
          <w:p>
            <w:pPr>
              <w:pStyle w:val="Compact"/>
              <w:jc w:val="left"/>
            </w:pPr>
            <w:r>
              <w:t xml:space="preserve">Compiler-Constrained SAE Steering</w:t>
            </w:r>
          </w:p>
        </w:tc>
        <w:tc>
          <w:tcPr/>
          <w:p>
            <w:pPr>
              <w:pStyle w:val="Compact"/>
              <w:jc w:val="left"/>
            </w:pPr>
            <w:r>
              <w:t xml:space="preserve">Typed feature directions prevent unsafe interventions</w:t>
            </w:r>
            <w:r>
              <w:t xml:space="preserve"> </w:t>
            </w:r>
            <w:fldSimple w:instr="NOTEREF _Ref_Footnote_16 \h \f">
              <w:r>
                <w:rPr>
                  <w:vertAlign w:val="superscript"/>
                </w:rPr>
                <w:t>16</w:t>
              </w:r>
            </w:fldSimple>
          </w:p>
        </w:tc>
        <w:tc>
          <w:tcPr/>
          <w:p>
            <w:pPr>
              <w:pStyle w:val="Compact"/>
              <w:jc w:val="left"/>
            </w:pPr>
            <w:r>
              <w:t xml:space="preserve">MEDIUM</w:t>
            </w:r>
          </w:p>
        </w:tc>
      </w:tr>
      <w:tr>
        <w:tc>
          <w:tcPr/>
          <w:p>
            <w:pPr>
              <w:pStyle w:val="Compact"/>
              <w:jc w:val="left"/>
            </w:pPr>
            <w:r>
              <w:rPr>
                <w:bCs/>
                <w:b/>
              </w:rPr>
              <w:t xml:space="preserve">Memory Architecture</w:t>
            </w:r>
          </w:p>
        </w:tc>
        <w:tc>
          <w:tcPr/>
          <w:p>
            <w:pPr>
              <w:pStyle w:val="Compact"/>
              <w:jc w:val="left"/>
            </w:pPr>
            <w:r>
              <w:t xml:space="preserve">Three-Layer Memory Hierarchy</w:t>
            </w:r>
          </w:p>
        </w:tc>
        <w:tc>
          <w:tcPr/>
          <w:p>
            <w:pPr>
              <w:pStyle w:val="Compact"/>
              <w:jc w:val="left"/>
            </w:pPr>
            <w:r>
              <w:t xml:space="preserve">MLA-compressed KV (L1) + HDC associative (L2) + Kuramoto attractor (L3)</w:t>
            </w:r>
            <w:r>
              <w:t xml:space="preserve"> </w:t>
            </w:r>
            <w:fldSimple w:instr="NOTEREF _Ref_Footnote_20 \h \f">
              <w:r>
                <w:rPr>
                  <w:vertAlign w:val="superscript"/>
                </w:rPr>
                <w:t>20</w:t>
              </w:r>
            </w:fldSimple>
            <w:r>
              <w:t xml:space="preserve"> </w:t>
            </w:r>
            <w:fldSimple w:instr="NOTEREF _Ref_Footnote_18 \h \f">
              <w:r>
                <w:rPr>
                  <w:vertAlign w:val="superscript"/>
                </w:rPr>
                <w:t>18</w:t>
              </w:r>
            </w:fldSimple>
          </w:p>
        </w:tc>
        <w:tc>
          <w:tcPr/>
          <w:p>
            <w:pPr>
              <w:pStyle w:val="Compact"/>
              <w:jc w:val="left"/>
            </w:pPr>
            <w:r>
              <w:t xml:space="preserve">MEDIUM-HIGH</w:t>
            </w:r>
          </w:p>
        </w:tc>
      </w:tr>
      <w:tr>
        <w:tc>
          <w:tcPr/>
          <w:p>
            <w:pPr>
              <w:pStyle w:val="Compact"/>
              <w:jc w:val="left"/>
            </w:pPr>
            <w:r>
              <w:rPr>
                <w:bCs/>
                <w:b/>
              </w:rPr>
              <w:t xml:space="preserve">Execution Platform</w:t>
            </w:r>
          </w:p>
        </w:tc>
        <w:tc>
          <w:tcPr/>
          <w:p>
            <w:pPr>
              <w:pStyle w:val="Compact"/>
              <w:jc w:val="left"/>
            </w:pPr>
            <w:r>
              <w:t xml:space="preserve">Apple Silicon Determinism Moat</w:t>
            </w:r>
          </w:p>
        </w:tc>
        <w:tc>
          <w:tcPr/>
          <w:p>
            <w:pPr>
              <w:pStyle w:val="Compact"/>
              <w:jc w:val="left"/>
            </w:pPr>
            <w:r>
              <w:t xml:space="preserve">UMA + Rust ownership + Metal = platform cloud cannot replicate</w:t>
            </w:r>
            <w:r>
              <w:t xml:space="preserve"> </w:t>
            </w:r>
            <w:fldSimple w:instr="NOTEREF _Ref_Footnote_15 \h \f">
              <w:r>
                <w:rPr>
                  <w:vertAlign w:val="superscript"/>
                </w:rPr>
                <w:t>15</w:t>
              </w:r>
            </w:fldSimple>
            <w:r>
              <w:t xml:space="preserve"> </w:t>
            </w:r>
            <w:fldSimple w:instr="NOTEREF _Ref_Footnote_29 \h \f">
              <w:r>
                <w:rPr>
                  <w:vertAlign w:val="superscript"/>
                </w:rPr>
                <w:t>29</w:t>
              </w:r>
            </w:fldSimple>
          </w:p>
        </w:tc>
        <w:tc>
          <w:tcPr/>
          <w:p>
            <w:pPr>
              <w:pStyle w:val="Compact"/>
              <w:jc w:val="left"/>
            </w:pPr>
            <w:r>
              <w:t xml:space="preserve">HIGH</w:t>
            </w:r>
          </w:p>
        </w:tc>
      </w:tr>
      <w:tr>
        <w:tc>
          <w:tcPr/>
          <w:p>
            <w:pPr>
              <w:pStyle w:val="Compact"/>
              <w:jc w:val="left"/>
            </w:pPr>
            <w:r>
              <w:rPr>
                <w:bCs/>
                <w:b/>
              </w:rPr>
              <w:t xml:space="preserve">Multi-Agent</w:t>
            </w:r>
          </w:p>
        </w:tc>
        <w:tc>
          <w:tcPr/>
          <w:p>
            <w:pPr>
              <w:pStyle w:val="Compact"/>
              <w:jc w:val="left"/>
            </w:pPr>
            <w:r>
              <w:t xml:space="preserve">Local Deterministic Agent Swarm</w:t>
            </w:r>
          </w:p>
        </w:tc>
        <w:tc>
          <w:tcPr/>
          <w:p>
            <w:pPr>
              <w:pStyle w:val="Compact"/>
              <w:jc w:val="left"/>
            </w:pPr>
            <w:r>
              <w:t xml:space="preserve">CRDTs + Merkle DAG + repair loops = auditable agent collaboration</w:t>
            </w:r>
            <w:r>
              <w:t xml:space="preserve"> </w:t>
            </w:r>
            <w:fldSimple w:instr="NOTEREF _Ref_Footnote_36 \h \f">
              <w:r>
                <w:rPr>
                  <w:vertAlign w:val="superscript"/>
                </w:rPr>
                <w:t>36</w:t>
              </w:r>
            </w:fldSimple>
            <w:r>
              <w:t xml:space="preserve"> </w:t>
            </w:r>
            <w:fldSimple w:instr="NOTEREF _Ref_Footnote_39 \h \f">
              <w:r>
                <w:rPr>
                  <w:vertAlign w:val="superscript"/>
                </w:rPr>
                <w:t>39</w:t>
              </w:r>
            </w:fldSimple>
          </w:p>
        </w:tc>
        <w:tc>
          <w:tcPr/>
          <w:p>
            <w:pPr>
              <w:pStyle w:val="Compact"/>
              <w:jc w:val="left"/>
            </w:pPr>
            <w:r>
              <w:t xml:space="preserve">HIGH</w:t>
            </w:r>
          </w:p>
        </w:tc>
      </w:tr>
    </w:tbl>
    <w:p>
      <w:pPr>
        <w:pStyle w:val="BodyText"/>
      </w:pPr>
      <w:r>
        <w:t xml:space="preserve">The table organizes fifteen emergent properties into five functional categories. Self-monitoring capabilities exploit the temporal precedence of latent features over surface tokens: SAE activation trajectories signal danger before textual repetition manifests, creating a pre-emptive intervention window no post-hoc filter can access</w:t>
      </w:r>
      <w:r>
        <w:t xml:space="preserve"> </w:t>
      </w:r>
      <w:fldSimple w:instr="NOTEREF _Ref_Footnote_3 \h \f">
        <w:r>
          <w:rPr>
            <w:vertAlign w:val="superscript"/>
          </w:rPr>
          <w:t>3</w:t>
        </w:r>
      </w:fldSimple>
      <w:r>
        <w:t xml:space="preserve"> </w:t>
      </w:r>
      <w:fldSimple w:instr="NOTEREF _Ref_Footnote_57 \h \f">
        <w:r>
          <w:rPr>
            <w:vertAlign w:val="superscript"/>
          </w:rPr>
          <w:t>57</w:t>
        </w:r>
      </w:fldSimple>
      <w:r>
        <w:t xml:space="preserve">. Self-improving capabilities leverage the correlation between feature coverage and benchmark performance (Spearman ρ ≈ 0.85</w:t>
      </w:r>
      <w:r>
        <w:t xml:space="preserve"> </w:t>
      </w:r>
      <w:fldSimple w:instr="NOTEREF _Ref_Footnote_3 \h \f">
        <w:r>
          <w:rPr>
            <w:vertAlign w:val="superscript"/>
          </w:rPr>
          <w:t>3</w:t>
        </w:r>
      </w:fldSimple>
      <w:r>
        <w:t xml:space="preserve">) to generate targeted training curricula at the representation level. Self-proving capabilities combine deterministic execution with cryptographic hashing and staged formal verification to produce mathematically auditable outputs. Self-correcting capabilities transform the repair loop into variational free energy minimization, backed by the structural isomorphism between Rex’s Propose→Repair cycle and Active Inference</w:t>
      </w:r>
      <w:r>
        <w:t xml:space="preserve"> </w:t>
      </w:r>
      <w:fldSimple w:instr="NOTEREF _Ref_Footnote_14 \h \f">
        <w:r>
          <w:rPr>
            <w:vertAlign w:val="superscript"/>
          </w:rPr>
          <w:t>14</w:t>
        </w:r>
      </w:fldSimple>
      <w:r>
        <w:t xml:space="preserve">.</w:t>
      </w:r>
    </w:p>
    <w:p>
      <w:pPr>
        <w:pStyle w:val="BodyText"/>
      </w:pPr>
      <w:r>
        <w:t xml:space="preserve">These emergent properties share a unifying characteristic: they are all</w:t>
      </w:r>
      <w:r>
        <w:t xml:space="preserve"> </w:t>
      </w:r>
      <w:r>
        <w:rPr>
          <w:iCs/>
          <w:i/>
        </w:rPr>
        <w:t xml:space="preserve">closed control loops</w:t>
      </w:r>
      <w:r>
        <w:t xml:space="preserve">. Each loop is architecturally sound because its constituent mechanisms have been independently validated, and the coupling between them is deterministic.</w:t>
      </w:r>
    </w:p>
    <w:bookmarkEnd w:id="189"/>
    <w:bookmarkStart w:id="190" w:name="X75ccf4e5d8ec3b2755e1b6c0d9a31b1716581b9"/>
    <w:p>
      <w:pPr>
        <w:pStyle w:val="Heading3"/>
      </w:pPr>
      <w:r>
        <w:t xml:space="preserve">12.1.3 The Fundamental Insight: Constraints Beat Scale on Reliability</w:t>
      </w:r>
    </w:p>
    <w:p>
      <w:pPr>
        <w:pStyle w:val="FirstParagraph"/>
      </w:pPr>
      <w:r>
        <w:t xml:space="preserve">The central thesis advanced throughout this document can now be stated with the precision that eleven chapters of evidence permit. A smaller local model wrapped in deterministic memory, formal ontologies, proof obligations, typed constraints, solver-backed validation, and reproducible agent execution can outperform a larger unconstrained cloud model on reliability-critical reasoning tasks—not because the smaller model is intrinsically more capable, but because the constraints eliminate entire classes of errors that scale alone does not address.</w:t>
      </w:r>
    </w:p>
    <w:p>
      <w:pPr>
        <w:pStyle w:val="BodyText"/>
      </w:pPr>
      <w:r>
        <w:t xml:space="preserve">This is a testable, falsifiable claim. It does not assert that a 7B-parameter model exceeds a frontier model on raw general reasoning or creative breadth. It asserts that on axes where reliability matters—scientific calculation, code correctness, physical reasoning, formal proof, and auditable decision-making—a constrained smaller model produces more trustworthy outputs than an unconstrained larger one. The evidence supports this precisely: token-level repetition penalties are symptomatic patches with provably infinite escape times</w:t>
      </w:r>
      <w:r>
        <w:t xml:space="preserve"> </w:t>
      </w:r>
      <w:fldSimple w:instr="NOTEREF _Ref_Footnote_63 \h \f">
        <w:r>
          <w:rPr>
            <w:vertAlign w:val="superscript"/>
          </w:rPr>
          <w:t>63</w:t>
        </w:r>
      </w:fldSimple>
      <w:r>
        <w:t xml:space="preserve"> </w:t>
      </w:r>
      <w:fldSimple w:instr="NOTEREF _Ref_Footnote_24 \h \f">
        <w:r>
          <w:rPr>
            <w:vertAlign w:val="superscript"/>
          </w:rPr>
          <w:t>24</w:t>
        </w:r>
      </w:fldSimple>
      <w:r>
        <w:t xml:space="preserve">, while SAE-guided negative augmentation in GRPO eliminates repetition at the root-cause level</w:t>
      </w:r>
      <w:r>
        <w:t xml:space="preserve"> </w:t>
      </w:r>
      <w:fldSimple w:instr="NOTEREF _Ref_Footnote_3 \h \f">
        <w:r>
          <w:rPr>
            <w:vertAlign w:val="superscript"/>
          </w:rPr>
          <w:t>3</w:t>
        </w:r>
      </w:fldSimple>
      <w:r>
        <w:t xml:space="preserve">. Intrinsic self-correction fails 64.5% of the time</w:t>
      </w:r>
      <w:r>
        <w:t xml:space="preserve"> </w:t>
      </w:r>
      <w:fldSimple w:instr="NOTEREF _Ref_Footnote_4 \h \f">
        <w:r>
          <w:rPr>
            <w:vertAlign w:val="superscript"/>
          </w:rPr>
          <w:t>4</w:t>
        </w:r>
      </w:fldSimple>
      <w:r>
        <w:t xml:space="preserve">, while tool-augmented repair converges in one to three iterations</w:t>
      </w:r>
      <w:r>
        <w:t xml:space="preserve"> </w:t>
      </w:r>
      <w:fldSimple w:instr="NOTEREF _Ref_Footnote_27 \h \f">
        <w:r>
          <w:rPr>
            <w:vertAlign w:val="superscript"/>
          </w:rPr>
          <w:t>27</w:t>
        </w:r>
      </w:fldSimple>
      <w:r>
        <w:t xml:space="preserve">. Cloud inference cannot guarantee byte-identical replays</w:t>
      </w:r>
      <w:r>
        <w:t xml:space="preserve"> </w:t>
      </w:r>
      <w:fldSimple w:instr="NOTEREF _Ref_Footnote_1 \h \f">
        <w:r>
          <w:rPr>
            <w:vertAlign w:val="superscript"/>
          </w:rPr>
          <w:t>1</w:t>
        </w:r>
      </w:fldSimple>
      <w:r>
        <w:t xml:space="preserve">; Apple Silicon UMA with quantized models achieves perfect reproducibility at zero overhead</w:t>
      </w:r>
      <w:r>
        <w:t xml:space="preserve"> </w:t>
      </w:r>
      <w:fldSimple w:instr="NOTEREF _Ref_Footnote_22 \h \f">
        <w:r>
          <w:rPr>
            <w:vertAlign w:val="superscript"/>
          </w:rPr>
          <w:t>22</w:t>
        </w:r>
      </w:fldSimple>
      <w:r>
        <w:t xml:space="preserve">.</w:t>
      </w:r>
    </w:p>
    <w:p>
      <w:pPr>
        <w:pStyle w:val="BodyText"/>
      </w:pPr>
      <w:r>
        <w:t xml:space="preserve">The moat is structural, not empirical. Cloud AI cannot replicate the determinism-privacy-locality triad because multi-tenant scheduling is inherently non-deterministic, data transmission implies privacy loss, and user-owned persistent memory is impossible in a remote API. The Quadruple No-Go Theorem rules out antigravity, zero-point energy extraction, and macroscopic retrocausal mass displacement under known physics; the architecture respects these boundaries and derives its power from lawful constraints rather than claimed loopholes. The corrected thesis is therefore not</w:t>
      </w:r>
      <w:r>
        <w:t xml:space="preserve"> </w:t>
      </w:r>
      <w:r>
        <w:t xml:space="preserve">“</w:t>
      </w:r>
      <w:r>
        <w:t xml:space="preserve">local AI breaks physics</w:t>
      </w:r>
      <w:r>
        <w:t xml:space="preserve">”</w:t>
      </w:r>
      <w:r>
        <w:t xml:space="preserve"> </w:t>
      </w:r>
      <w:r>
        <w:t xml:space="preserve">but</w:t>
      </w:r>
      <w:r>
        <w:t xml:space="preserve"> </w:t>
      </w:r>
      <w:r>
        <w:rPr>
          <w:bCs/>
          <w:b/>
        </w:rPr>
        <w:t xml:space="preserve">local AI becomes powerful because it finally obeys structure</w:t>
      </w:r>
      <w:r>
        <w:t xml:space="preserve">.</w:t>
      </w:r>
    </w:p>
    <w:bookmarkEnd w:id="190"/>
    <w:bookmarkEnd w:id="191"/>
    <w:bookmarkStart w:id="195" w:name="the-call-to-build"/>
    <w:p>
      <w:pPr>
        <w:pStyle w:val="Heading2"/>
      </w:pPr>
      <w:r>
        <w:t xml:space="preserve">12.2 The Call to Build</w:t>
      </w:r>
    </w:p>
    <w:bookmarkStart w:id="192" w:name="X85c3509a9ca6c1b0bf5225286776d361e064ac6"/>
    <w:p>
      <w:pPr>
        <w:pStyle w:val="Heading3"/>
      </w:pPr>
      <w:r>
        <w:t xml:space="preserve">12.2.1 First Vertical Slice: Verified Research Mode</w:t>
      </w:r>
    </w:p>
    <w:p>
      <w:pPr>
        <w:pStyle w:val="FirstParagraph"/>
      </w:pPr>
      <w:r>
        <w:t xml:space="preserve">The research is complete. The architecture is defined. The first vertical slice should not be a full inference engine or a custom Metal stack. It should be the smallest unit that proves the product thesis:</w:t>
      </w:r>
      <w:r>
        <w:t xml:space="preserve"> </w:t>
      </w:r>
      <w:r>
        <w:rPr>
          <w:bCs/>
          <w:b/>
        </w:rPr>
        <w:t xml:space="preserve">Verified Research Mode</w:t>
      </w:r>
      <w:r>
        <w:t xml:space="preserve">.</w:t>
      </w:r>
    </w:p>
    <w:p>
      <w:pPr>
        <w:pStyle w:val="BodyText"/>
      </w:pPr>
      <w:r>
        <w:t xml:space="preserve">The user experience is direct. A user asks a physics, mathematics, or code question. A local model generates an answer. Rex extracts the claims, classifies them as empirical, mathematical, physical, code, or speculative, and runs the constraint pipeline: unit checks, bound checks, contradiction detection, and evidence sufficiency scoring. Unsupported claims are marked speculative. Violations trigger regeneration with a repair prompt that includes the specific constraint failures. The final answer presents three sections—Verified, Unverified, and Speculative—accompanied by an assumption graph, a confidence budget, and a reproducible run trace with a Merkle root.</w:t>
      </w:r>
    </w:p>
    <w:p>
      <w:pPr>
        <w:pStyle w:val="BodyText"/>
      </w:pPr>
      <w:r>
        <w:t xml:space="preserve">This slice is buildable in weeks, not years. The implementation path is concrete:</w:t>
      </w:r>
    </w:p>
    <w:p>
      <w:pPr>
        <w:numPr>
          <w:ilvl w:val="0"/>
          <w:numId w:val="1004"/>
        </w:numPr>
        <w:pStyle w:val="Compact"/>
      </w:pPr>
      <w:r>
        <w:rPr>
          <w:bCs/>
          <w:b/>
        </w:rPr>
        <w:t xml:space="preserve">Model inference</w:t>
      </w:r>
      <w:r>
        <w:t xml:space="preserve">: MLX running Qwen-2.5 or DeepSeek-R1-Distill at Q4_K_M or Q8_0 quantization for zero-overhead deterministic output</w:t>
      </w:r>
      <w:r>
        <w:t xml:space="preserve"> </w:t>
      </w:r>
      <w:fldSimple w:instr="NOTEREF _Ref_Footnote_22 \h \f">
        <w:r>
          <w:rPr>
            <w:vertAlign w:val="superscript"/>
          </w:rPr>
          <w:t>22</w:t>
        </w:r>
      </w:fldSimple>
      <w:r>
        <w:t xml:space="preserve">.</w:t>
      </w:r>
    </w:p>
    <w:p>
      <w:pPr>
        <w:numPr>
          <w:ilvl w:val="0"/>
          <w:numId w:val="1004"/>
        </w:numPr>
        <w:pStyle w:val="Compact"/>
      </w:pPr>
      <w:r>
        <w:rPr>
          <w:bCs/>
          <w:b/>
        </w:rPr>
        <w:t xml:space="preserve">Claim extraction</w:t>
      </w:r>
      <w:r>
        <w:t xml:space="preserve">: XGrammar 2 constrained decoding at 30–80 µs per token to produce structured claim graphs in real time</w:t>
      </w:r>
      <w:r>
        <w:t xml:space="preserve"> </w:t>
      </w:r>
      <w:fldSimple w:instr="NOTEREF _Ref_Footnote_13 \h \f">
        <w:r>
          <w:rPr>
            <w:vertAlign w:val="superscript"/>
          </w:rPr>
          <w:t>13</w:t>
        </w:r>
      </w:fldSimple>
      <w:r>
        <w:t xml:space="preserve"> </w:t>
      </w:r>
      <w:fldSimple w:instr="NOTEREF _Ref_Footnote_66 \h \f">
        <w:r>
          <w:rPr>
            <w:vertAlign w:val="superscript"/>
          </w:rPr>
          <w:t>66</w:t>
        </w:r>
      </w:fldSimple>
      <w:r>
        <w:t xml:space="preserve">.</w:t>
      </w:r>
    </w:p>
    <w:p>
      <w:pPr>
        <w:numPr>
          <w:ilvl w:val="0"/>
          <w:numId w:val="1004"/>
        </w:numPr>
        <w:pStyle w:val="Compact"/>
      </w:pPr>
      <w:r>
        <w:rPr>
          <w:bCs/>
          <w:b/>
        </w:rPr>
        <w:t xml:space="preserve">Constraint validation</w:t>
      </w:r>
      <w:r>
        <w:t xml:space="preserve">: Rust const generics for zero-cost dimensional analysis; SMT solvers for finite linear constraints; interval arithmetic for numeric enclosures.</w:t>
      </w:r>
    </w:p>
    <w:p>
      <w:pPr>
        <w:numPr>
          <w:ilvl w:val="0"/>
          <w:numId w:val="1004"/>
        </w:numPr>
        <w:pStyle w:val="Compact"/>
      </w:pPr>
      <w:r>
        <w:rPr>
          <w:bCs/>
          <w:b/>
        </w:rPr>
        <w:t xml:space="preserve">Repair loop</w:t>
      </w:r>
      <w:r>
        <w:t xml:space="preserve">: Propose→Extract→Constrain→Verify→Repair→Commit with a maximum of three repair iterations, grounded in the finding that tool-augmented correction converges within this bound</w:t>
      </w:r>
      <w:r>
        <w:t xml:space="preserve"> </w:t>
      </w:r>
      <w:fldSimple w:instr="NOTEREF _Ref_Footnote_27 \h \f">
        <w:r>
          <w:rPr>
            <w:vertAlign w:val="superscript"/>
          </w:rPr>
          <w:t>27</w:t>
        </w:r>
      </w:fldSimple>
      <w:r>
        <w:t xml:space="preserve">.</w:t>
      </w:r>
    </w:p>
    <w:p>
      <w:pPr>
        <w:numPr>
          <w:ilvl w:val="0"/>
          <w:numId w:val="1004"/>
        </w:numPr>
        <w:pStyle w:val="Compact"/>
      </w:pPr>
      <w:r>
        <w:rPr>
          <w:bCs/>
          <w:b/>
        </w:rPr>
        <w:t xml:space="preserve">Attestation</w:t>
      </w:r>
      <w:r>
        <w:t xml:space="preserve">: RunEvent structure with SHA-256 chaining and Merkle root publication for every answer, enabling external replay verification</w:t>
      </w:r>
      <w:r>
        <w:t xml:space="preserve"> </w:t>
      </w:r>
      <w:fldSimple w:instr="NOTEREF _Ref_Footnote_9 \h \f">
        <w:r>
          <w:rPr>
            <w:vertAlign w:val="superscript"/>
          </w:rPr>
          <w:t>9</w:t>
        </w:r>
      </w:fldSimple>
      <w:r>
        <w:t xml:space="preserve"> </w:t>
      </w:r>
      <w:fldSimple w:instr="NOTEREF _Ref_Footnote_10 \h \f">
        <w:r>
          <w:rPr>
            <w:vertAlign w:val="superscript"/>
          </w:rPr>
          <w:t>10</w:t>
        </w:r>
      </w:fldSimple>
      <w:r>
        <w:t xml:space="preserve">.</w:t>
      </w:r>
    </w:p>
    <w:p>
      <w:pPr>
        <w:pStyle w:val="FirstParagraph"/>
      </w:pPr>
      <w:r>
        <w:t xml:space="preserve">This single slice validates the entire architectural thesis. It demonstrates that a local model wrapped in structured constraints produces more trustworthy scientific answers than an unconstrained cloud chat. It creates a user experience that is simultaneously magical and intellectually honest: the substrate marks its own uncertainty.</w:t>
      </w:r>
    </w:p>
    <w:bookmarkEnd w:id="192"/>
    <w:bookmarkStart w:id="193" w:name="the-crate-rex-core"/>
    <w:p>
      <w:pPr>
        <w:pStyle w:val="Heading3"/>
      </w:pPr>
      <w:r>
        <w:t xml:space="preserve">12.2.2 The Crate:</w:t>
      </w:r>
      <w:r>
        <w:t xml:space="preserve"> </w:t>
      </w:r>
      <w:r>
        <w:rPr>
          <w:rStyle w:val="VerbatimChar"/>
        </w:rPr>
        <w:t xml:space="preserve">rex-core</w:t>
      </w:r>
    </w:p>
    <w:p>
      <w:pPr>
        <w:pStyle w:val="FirstParagraph"/>
      </w:pPr>
      <w:r>
        <w:t xml:space="preserve">The standalone Rust crate is the technical foundation. It must exist independently before integration into Epistemos, because a standalone crate can be tested, benchmarked, verified with Kani and Creusot, and adopted by other projects. The crate structure follows directly from the six-layer architecture:</w:t>
      </w:r>
    </w:p>
    <w:p>
      <w:pPr>
        <w:pStyle w:val="SourceCode"/>
      </w:pPr>
      <w:r>
        <w:rPr>
          <w:rStyle w:val="VerbatimChar"/>
        </w:rPr>
        <w:t xml:space="preserve">rex-core/</w:t>
      </w:r>
      <w:r>
        <w:br/>
      </w:r>
      <w:r>
        <w:rPr>
          <w:rStyle w:val="VerbatimChar"/>
        </w:rPr>
        <w:t xml:space="preserve">  ontology/          # OntologicalProfile compiler, schemas, invariants</w:t>
      </w:r>
      <w:r>
        <w:br/>
      </w:r>
      <w:r>
        <w:rPr>
          <w:rStyle w:val="VerbatimChar"/>
        </w:rPr>
        <w:t xml:space="preserve">  claims/            # Claim graph extraction, six claim kinds</w:t>
      </w:r>
      <w:r>
        <w:br/>
      </w:r>
      <w:r>
        <w:rPr>
          <w:rStyle w:val="VerbatimChar"/>
        </w:rPr>
        <w:t xml:space="preserve">  constraints/       # ConstraintEngine, dimensional analysis, bound checking</w:t>
      </w:r>
      <w:r>
        <w:br/>
      </w:r>
      <w:r>
        <w:rPr>
          <w:rStyle w:val="VerbatimChar"/>
        </w:rPr>
        <w:t xml:space="preserve">  verification/        # StagedVerifier, Kani/Creusot/Lean/SMT backends</w:t>
      </w:r>
      <w:r>
        <w:br/>
      </w:r>
      <w:r>
        <w:rPr>
          <w:rStyle w:val="VerbatimChar"/>
        </w:rPr>
        <w:t xml:space="preserve">  ledger/            # RunEvent log, Merkle tree, attestation chain</w:t>
      </w:r>
      <w:r>
        <w:br/>
      </w:r>
      <w:r>
        <w:rPr>
          <w:rStyle w:val="VerbatimChar"/>
        </w:rPr>
        <w:t xml:space="preserve">  memory/            # Three-layer memory: MLA (L1), HDC (L2), attractor (L3)</w:t>
      </w:r>
      <w:r>
        <w:br/>
      </w:r>
      <w:r>
        <w:rPr>
          <w:rStyle w:val="VerbatimChar"/>
        </w:rPr>
        <w:t xml:space="preserve">  repair_loop/       # Regeneration cycle, repair prompts, convergence</w:t>
      </w:r>
      <w:r>
        <w:br/>
      </w:r>
      <w:r>
        <w:rPr>
          <w:rStyle w:val="VerbatimChar"/>
        </w:rPr>
        <w:t xml:space="preserve">  ffi/               # UniFFI Swift 6 bindings, async bridge</w:t>
      </w:r>
    </w:p>
    <w:p>
      <w:pPr>
        <w:pStyle w:val="FirstParagraph"/>
      </w:pPr>
      <w:r>
        <w:t xml:space="preserve">Each module maps to a validated component. The</w:t>
      </w:r>
      <w:r>
        <w:t xml:space="preserve"> </w:t>
      </w:r>
      <w:r>
        <w:rPr>
          <w:rStyle w:val="VerbatimChar"/>
        </w:rPr>
        <w:t xml:space="preserve">ontology</w:t>
      </w:r>
      <w:r>
        <w:t xml:space="preserve"> </w:t>
      </w:r>
      <w:r>
        <w:t xml:space="preserve">module implements the dual-compile-target insight. The</w:t>
      </w:r>
      <w:r>
        <w:t xml:space="preserve"> </w:t>
      </w:r>
      <w:r>
        <w:rPr>
          <w:rStyle w:val="VerbatimChar"/>
        </w:rPr>
        <w:t xml:space="preserve">claims</w:t>
      </w:r>
      <w:r>
        <w:t xml:space="preserve"> </w:t>
      </w:r>
      <w:r>
        <w:t xml:space="preserve">module implements the six-claim taxonomy with XGrammar 2</w:t>
      </w:r>
      <w:r>
        <w:t xml:space="preserve"> </w:t>
      </w:r>
      <w:fldSimple w:instr="NOTEREF _Ref_Footnote_13 \h \f">
        <w:r>
          <w:rPr>
            <w:vertAlign w:val="superscript"/>
          </w:rPr>
          <w:t>13</w:t>
        </w:r>
      </w:fldSimple>
      <w:r>
        <w:t xml:space="preserve">. The</w:t>
      </w:r>
      <w:r>
        <w:t xml:space="preserve"> </w:t>
      </w:r>
      <w:r>
        <w:rPr>
          <w:rStyle w:val="VerbatimChar"/>
        </w:rPr>
        <w:t xml:space="preserve">constraints</w:t>
      </w:r>
      <w:r>
        <w:t xml:space="preserve"> </w:t>
      </w:r>
      <w:r>
        <w:t xml:space="preserve">module implements zero-cost dimensional analysis and the BEWA framework’s evaluation</w:t>
      </w:r>
      <w:r>
        <w:t xml:space="preserve"> </w:t>
      </w:r>
      <w:fldSimple w:instr="NOTEREF _Ref_Footnote_12 \h \f">
        <w:r>
          <w:rPr>
            <w:vertAlign w:val="superscript"/>
          </w:rPr>
          <w:t>12</w:t>
        </w:r>
      </w:fldSimple>
      <w:r>
        <w:t xml:space="preserve">. The</w:t>
      </w:r>
      <w:r>
        <w:t xml:space="preserve"> </w:t>
      </w:r>
      <w:r>
        <w:rPr>
          <w:rStyle w:val="VerbatimChar"/>
        </w:rPr>
        <w:t xml:space="preserve">verification</w:t>
      </w:r>
      <w:r>
        <w:t xml:space="preserve"> </w:t>
      </w:r>
      <w:r>
        <w:t xml:space="preserve">module implements staged verification with Kani, Creusot, and Lean</w:t>
      </w:r>
      <w:r>
        <w:t xml:space="preserve"> </w:t>
      </w:r>
      <w:fldSimple w:instr="NOTEREF _Ref_Footnote_70 \h \f">
        <w:r>
          <w:rPr>
            <w:vertAlign w:val="superscript"/>
          </w:rPr>
          <w:t>70</w:t>
        </w:r>
      </w:fldSimple>
      <w:r>
        <w:t xml:space="preserve"> </w:t>
      </w:r>
      <w:fldSimple w:instr="NOTEREF _Ref_Footnote_12 \h \f">
        <w:r>
          <w:rPr>
            <w:vertAlign w:val="superscript"/>
          </w:rPr>
          <w:t>12</w:t>
        </w:r>
      </w:fldSimple>
      <w:r>
        <w:t xml:space="preserve"> </w:t>
      </w:r>
      <w:fldSimple w:instr="NOTEREF _Ref_Footnote_49 \h \f">
        <w:r>
          <w:rPr>
            <w:vertAlign w:val="superscript"/>
          </w:rPr>
          <w:t>49</w:t>
        </w:r>
      </w:fldSimple>
      <w:r>
        <w:t xml:space="preserve">. The</w:t>
      </w:r>
      <w:r>
        <w:t xml:space="preserve"> </w:t>
      </w:r>
      <w:r>
        <w:rPr>
          <w:rStyle w:val="VerbatimChar"/>
        </w:rPr>
        <w:t xml:space="preserve">ledger</w:t>
      </w:r>
      <w:r>
        <w:t xml:space="preserve"> </w:t>
      </w:r>
      <w:r>
        <w:t xml:space="preserve">module implements the Merkle DAG attestation chain</w:t>
      </w:r>
      <w:r>
        <w:t xml:space="preserve"> </w:t>
      </w:r>
      <w:fldSimple w:instr="NOTEREF _Ref_Footnote_9 \h \f">
        <w:r>
          <w:rPr>
            <w:vertAlign w:val="superscript"/>
          </w:rPr>
          <w:t>9</w:t>
        </w:r>
      </w:fldSimple>
      <w:r>
        <w:t xml:space="preserve"> </w:t>
      </w:r>
      <w:fldSimple w:instr="NOTEREF _Ref_Footnote_39 \h \f">
        <w:r>
          <w:rPr>
            <w:vertAlign w:val="superscript"/>
          </w:rPr>
          <w:t>39</w:t>
        </w:r>
      </w:fldSimple>
      <w:r>
        <w:t xml:space="preserve">. The</w:t>
      </w:r>
      <w:r>
        <w:t xml:space="preserve"> </w:t>
      </w:r>
      <w:r>
        <w:rPr>
          <w:rStyle w:val="VerbatimChar"/>
        </w:rPr>
        <w:t xml:space="preserve">memory</w:t>
      </w:r>
      <w:r>
        <w:t xml:space="preserve"> </w:t>
      </w:r>
      <w:r>
        <w:t xml:space="preserve">module implements the biological hierarchy: MLA-compressed KV</w:t>
      </w:r>
      <w:r>
        <w:t xml:space="preserve"> </w:t>
      </w:r>
      <w:fldSimple w:instr="NOTEREF _Ref_Footnote_20 \h \f">
        <w:r>
          <w:rPr>
            <w:vertAlign w:val="superscript"/>
          </w:rPr>
          <w:t>20</w:t>
        </w:r>
      </w:fldSimple>
      <w:r>
        <w:t xml:space="preserve">, HDC hypervectors (~20 items per 1000 dimensions</w:t>
      </w:r>
      <w:r>
        <w:t xml:space="preserve"> </w:t>
      </w:r>
      <w:fldSimple w:instr="NOTEREF _Ref_Footnote_18 \h \f">
        <w:r>
          <w:rPr>
            <w:vertAlign w:val="superscript"/>
          </w:rPr>
          <w:t>18</w:t>
        </w:r>
      </w:fldSimple>
      <w:r>
        <w:t xml:space="preserve">), and Kuramoto-inspired attractor clustering</w:t>
      </w:r>
      <w:r>
        <w:t xml:space="preserve"> </w:t>
      </w:r>
      <w:fldSimple w:instr="NOTEREF _Ref_Footnote_17 \h \f">
        <w:r>
          <w:rPr>
            <w:vertAlign w:val="superscript"/>
          </w:rPr>
          <w:t>17</w:t>
        </w:r>
      </w:fldSimple>
      <w:r>
        <w:t xml:space="preserve">. The</w:t>
      </w:r>
      <w:r>
        <w:t xml:space="preserve"> </w:t>
      </w:r>
      <w:r>
        <w:rPr>
          <w:rStyle w:val="VerbatimChar"/>
        </w:rPr>
        <w:t xml:space="preserve">repair_loop</w:t>
      </w:r>
      <w:r>
        <w:t xml:space="preserve"> </w:t>
      </w:r>
      <w:r>
        <w:t xml:space="preserve">module implements the Active Inference isomorphism</w:t>
      </w:r>
      <w:r>
        <w:t xml:space="preserve"> </w:t>
      </w:r>
      <w:fldSimple w:instr="NOTEREF _Ref_Footnote_14 \h \f">
        <w:r>
          <w:rPr>
            <w:vertAlign w:val="superscript"/>
          </w:rPr>
          <w:t>14</w:t>
        </w:r>
      </w:fldSimple>
      <w:r>
        <w:t xml:space="preserve">. The</w:t>
      </w:r>
      <w:r>
        <w:t xml:space="preserve"> </w:t>
      </w:r>
      <w:r>
        <w:rPr>
          <w:rStyle w:val="VerbatimChar"/>
        </w:rPr>
        <w:t xml:space="preserve">ffi</w:t>
      </w:r>
      <w:r>
        <w:t xml:space="preserve"> </w:t>
      </w:r>
      <w:r>
        <w:t xml:space="preserve">module bridges to Swift 6 via UniFFI</w:t>
      </w:r>
      <w:r>
        <w:t xml:space="preserve"> </w:t>
      </w:r>
      <w:fldSimple w:instr="NOTEREF _Ref_Footnote_23 \h \f">
        <w:r>
          <w:rPr>
            <w:vertAlign w:val="superscript"/>
          </w:rPr>
          <w:t>23</w:t>
        </w:r>
      </w:fldSimple>
      <w:r>
        <w:t xml:space="preserve">.</w:t>
      </w:r>
    </w:p>
    <w:bookmarkEnd w:id="193"/>
    <w:bookmarkStart w:id="194" w:name="the-doctrine-and-the-missing-piece"/>
    <w:p>
      <w:pPr>
        <w:pStyle w:val="Heading3"/>
      </w:pPr>
      <w:r>
        <w:t xml:space="preserve">12.2.3 The Doctrine and the Missing Piece</w:t>
      </w:r>
    </w:p>
    <w:p>
      <w:pPr>
        <w:pStyle w:val="FirstParagraph"/>
      </w:pPr>
      <w:r>
        <w:t xml:space="preserve">The technical stack is ready. Swift 6 provides strict concurrency checking. Rust provides memory safety and formal verification compatibility. UniFFI provides production-proven bridging with negligible overhead</w:t>
      </w:r>
      <w:r>
        <w:t xml:space="preserve"> </w:t>
      </w:r>
      <w:fldSimple w:instr="NOTEREF _Ref_Footnote_23 \h \f">
        <w:r>
          <w:rPr>
            <w:vertAlign w:val="superscript"/>
          </w:rPr>
          <w:t>23</w:t>
        </w:r>
      </w:fldSimple>
      <w:r>
        <w:t xml:space="preserve">. Metal and MPSGraph provide deterministic compute on Apple Silicon UMA. MLX provides local inference with 21–87% higher throughput than llama.cpp on Apple Silicon</w:t>
      </w:r>
      <w:r>
        <w:t xml:space="preserve"> </w:t>
      </w:r>
      <w:fldSimple w:instr="NOTEREF _Ref_Footnote_17 \h \f">
        <w:r>
          <w:rPr>
            <w:vertAlign w:val="superscript"/>
          </w:rPr>
          <w:t>17</w:t>
        </w:r>
      </w:fldSimple>
      <w:r>
        <w:t xml:space="preserve">. Core ML provides on-device execution across CPU, GPU, and Neural Engine. Every layer has been validated in production or peer-reviewed research.</w:t>
      </w:r>
    </w:p>
    <w:p>
      <w:pPr>
        <w:pStyle w:val="BodyText"/>
      </w:pPr>
      <w:r>
        <w:t xml:space="preserve">What remains is execution. The research doctrine is complete; the implementation doctrine begins now. The final statement of purpose is this:</w:t>
      </w:r>
    </w:p>
    <w:p>
      <w:pPr>
        <w:pStyle w:val="BlockText"/>
      </w:pPr>
      <w:r>
        <w:t xml:space="preserve">Rex is a deterministic ontology runtime for AI agents. It treats every model output as a proposed state transition, not as truth. The runtime extracts claims, binds them to typed ontological profiles, checks dimensional and logical consistency, validates assumptions, calls solvers and provers where possible, records every transition in an auditable run ledger, and repairs invalid outputs before they reach the user. Its purpose is not to violate physical law, but to use physical law, mathematics, and software verification as compiler constraints for intelligence.</w:t>
      </w:r>
    </w:p>
    <w:p>
      <w:pPr>
        <w:pStyle w:val="FirstParagraph"/>
      </w:pPr>
      <w:r>
        <w:t xml:space="preserve">This is</w:t>
      </w:r>
      <w:r>
        <w:t xml:space="preserve"> </w:t>
      </w:r>
      <w:r>
        <w:rPr>
          <w:bCs/>
          <w:b/>
        </w:rPr>
        <w:t xml:space="preserve">compiler-constrained cognition</w:t>
      </w:r>
      <w:r>
        <w:t xml:space="preserve">: a new class of computing system where constraints are not obstacles to intelligence but the very mechanism that makes it trustworthy. The cloud model community optimizes for scale, speed, and generality. The local model community, armed with Rex, optimizes for structure, reproducibility, and proof. Both are legitimate. But on reliability-critical reasoning—the reasoning that matters when a mistake costs money, health, or scientific integrity—the constrained system wins.</w:t>
      </w:r>
    </w:p>
    <w:p>
      <w:pPr>
        <w:pStyle w:val="BodyText"/>
      </w:pPr>
      <w:r>
        <w:t xml:space="preserve">The fifteen emergent properties are not a wish list. Five are buildable now with proven integration paths. Five require engineering maturation. Five provide theoretical foundations that explain why the architecture works as it scales. The buildable five—SAE-Constraint Feedback Loop, Proof-Carrying Chain, Three-Layer Memory, Hallucination Early Warning, and Local Agent Swarm—are sufficient to produce a product that no cloud API can replicate.</w:t>
      </w:r>
    </w:p>
    <w:p>
      <w:pPr>
        <w:pStyle w:val="BodyText"/>
      </w:pPr>
      <w:r>
        <w:t xml:space="preserve">The instruction is simple. Build</w:t>
      </w:r>
      <w:r>
        <w:t xml:space="preserve"> </w:t>
      </w:r>
      <w:r>
        <w:rPr>
          <w:rStyle w:val="VerbatimChar"/>
        </w:rPr>
        <w:t xml:space="preserve">rex-core</w:t>
      </w:r>
      <w:r>
        <w:t xml:space="preserve">. Ship Verified Research Mode. Let the substrate prove that a smaller model obeying structure outperforms a larger model operating without constraints on the axes that matter. The research era ends here. The implementation era begins.</w:t>
      </w:r>
    </w:p>
    <w:p>
      <w:r>
        <w:pict>
          <v:rect style="width:0;height:1.5pt" o:hralign="center" o:hrstd="t" o:hr="t"/>
        </w:pict>
      </w:r>
    </w:p>
    <w:bookmarkEnd w:id="194"/>
    <w:bookmarkEnd w:id="195"/>
    <w:bookmarkEnd w:id="1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arXiv.org. https://arxiv.org/html/2511.17826</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https://arxiv.org/html/2509.05757v2</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https://qianwen-res.oss-accelerate.aliyuncs.com/qwen-scope/Qwen_Scope.pdf</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arXiv.org. https://arxiv.org/html/2512.07730</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arXiv.org. https://arxiv.org/abs/2603.16335</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DEV Community. https://dev.to/arshtechpro/wwdc-2025-explore-llm-on-apple-silicon-with-mlx-1if7</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Neo4j. https://neo4j.com/blog/developer/unstructured-text-to-knowledge-graph/</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IJCAI. https://www.ijcai.org/proceedings/2025/0376.pdf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Github. https://github.com/NousResearch/hermes-agent/issues/487</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Regure | AI Insurance Workflow Software. https://www.getregure.com/platform/audit-trails/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arXiv.org. https://arxiv.org/pdf/2602.10388</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arXiv.org. https://arxiv.org/html/2508.17320v2</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ACL Anthology. https://aclanthology.org/2024.blackboxnlp-1.19.pdf</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arXiv.org. https://arxiv.org/html/2412.10425v2</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Github. https://github.com/ProbioticFarmer/mlx-deterministic</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introl.com. https://introl.com/blog/deepseek-mhc-architecture-breakthrough</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arXiv.org. https://arxiv.org/html/2601.19139v1</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arXiv.org. https://arxiv.org/html/2410.23850v1</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arXiv.org. https://arxiv.org/html/2511.16828v1</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Emergent Mind. https://www.emergentmind.com/topics/deepseek-mla</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liorsinai.github.io. https://liorsinai.github.io/machine-learning/2025/02/22/mla.html</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adityakarnam.com. https://adityakarnam.com/mlx-non-determinism-apple-silicon/</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IBM. https://www.ibm.com/think/topics/mamba-model</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arXiv.org. https://arxiv.org/html/2507.12442v2</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arXiv.org. https://arxiv.org/html/2603.16335v1</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Rust Internals. https://internals.rust-lang.org/t/should-const-calls-with-small-finite-inputs-become-a-lookup-table/21617</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arXiv.org. https://arxiv.org/html/2410.01981v1</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arXiv.org. https://arxiv.org/pdf/2410.08201</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Rust Programming Language. https://doc.rust-lang.org/reference/const_eval.html</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rust-lang.github.io. https://rust-lang.github.io/project-const-generics/vision/why-compile-time-evaluation.html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Suryansh Kumar. https://suryanshkumar.github.io/MS_projects/2020/erik_sem_10_06_2020_doc.pdf</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arXiv.org. https://arxiv.org/pdf/2505.15177?</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thinkingmachines.ai. https://thinkingmachines.ai/blog/defeating-nondeterminism-in-llm-inference/</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NVIDIA Developer. https://developer.nvidia.com/blog/controlling-floating-point-determinism-in-nvidia-cccl/</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vllm.ai. https://docs.vllm.ai/en/latest/usage/reproducibility/</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s2.dev. https://s2.dev/blog/dst</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Github. https://github.com/madsim-rs/madsim</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Github. https://github.com/linera-io/linera-protocol/issues/6108</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substack.com. https://gonzoml.substack.com/p/deepseek-v3-technical-details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washington.edu. https://sites.stat.washington.edu/people/medhaaga/_downloads/dd51ce7679d13b3da1c27afd637ad24d/1_24_23_notes.pdf</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NextBigFuture.com. https://www.nextbigfuture.com/2025/11/defeating-nondeterminism-in-llm-inference-by-thinking-machines.html</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OpenReview. https://openreview.net/pdf?id=rjQfX0YgDl</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mit.edu. https://publications.csail.mit.edu/abstracts/abstracts06/jhp/jhp.html</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sgl-project.github.io. https://sgl-project.github.io/advanced_features/deterministic_inference.html</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llmwatch.com. https://www.llmwatch.com/p/eli5-defeating-nondeterminism-in</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Medium. https://medium.com/@ThinkingLoop/replayable-agent-runs-the-debugging-trick-that-ships-f5460ebf390a</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augmentcode.com. https://www.augmentcode.com/guides/debug-parallel-ai-agents</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sakurasky.com. https://www.sakurasky.com/blog/missing-primitives-for-trustworthy-ai-part-8/</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scalastic.io. https://scalastic.io/en/apple-silicon-vs-nvidia-cuda-ai-2025/</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penglaboratory.com. https://www.penglaboratory.com/copy-of-flood-resilience-of-public-ev-2</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spheron.network. https://www.spheron.network/blog/mamba-3-state-space-model-gpu-cloud-deployment/</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arXiv.org. https://arxiv.org/html/2412.19437v1</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Hugging Face. https://huggingface.co/Qwen/SAE-Res-Qwen3.5-27B-W80K-L0_100</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Hugging Face. https://huggingface.co/Qwen/SAE-Res-Qwen3.5-27B-W80K-L0_50</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dejan.ai. https://dejan.ai/blog/advanced-interpretability-techniques-for-tracing-llm-activations/</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arXiv.org. https://arxiv.org/pdf/2512.24880</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Thoughtworks. https://www.thoughtworks.com/en-us/insights/blog/generative-ai/demystifying-deepseek</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Neo4j. https://neo4j.com/blog/knowledge-graph/how-to-build-knowledge-graph/</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arXiv.org. https://arxiv.org/abs/2511.16828</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arXiv.org. https://arxiv.org/html/2407.18367v1</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Emergent Mind. https://www.emergentmind.com/topics/neuro-symbolic-verifier</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substack.com. https://deniseholt.substack.com/p/the-dawn-of-true-ai-agency-why-active</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The University of Liverpool Repository. https://livrepository.liverpool.ac.uk/3195589/1/201583588_October2025.pdf</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ACL Anthology. https://aclanthology.org/2025.fever-1.15.pdf</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oracle.com. https://docs.oracle.com/en/database/oracle/oracle-database/26/rdfrm/validating-rdf-data-shacl-constraints.html</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Github. https://github.com/xusheng6/awesome-ttd</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Medium. https://medium.com/fluree/what-is-shacl-with-examples-2697f659d465</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Ontotext. https://www.ontotext.com/knowledgehub/fundamentals/what-is-shacl/</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The Rust Programming Language Forum. https://users.rust-lang.org/t/why-does-compiler-not-complete-const-expression-evaluation-and-collapse-it-entirely/94630</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Microsoft Learn. https://learn.microsoft.com/en-us/windows-hardware/drivers/debuggercmds/time-travel-debugging-overview</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vllm.ai. https://docs.vllm.ai/en/v0.10.2/usage/reproducibility.html</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nodraak.fr. https://blog.nodraak.fr/2021/03/dimensional-analysis-in-rust/</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Temporal. https://temporal.io/blog/time-travel-debugging-production-code</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OpenReview. https://openreview.net/pdf?id=mMPaQzgzAN</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arXiv.org. https://arxiv.org/html/2510.03659v1</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substack.com. https://cameronrwolfe.substack.com/p/llm-bench</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nih.gov. https://pmc.ncbi.nlm.nih.gov/articles/PMC12025678/</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ACL Anthology. https://aclanthology.org/2025.emnlp-main.942.pdf</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OpenReview. https://openreview.net/pdf/81da27b7afc2e09766f9f405173cce0cf1ec6b12.pdf</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arXiv.org. https://arxiv.org/html/2402.14992v1</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Allen AI. https://allenai.org/blog/fluid-benchmarking</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arXiv.org. https://arxiv.org/html/2505.17228v2</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arXiv.org. https://arxiv.org/html/2502.11367v2</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OpenReview. https://openreview.net/forum?id=vUrZaERt8b</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Github. https://github.com/state-machines/state-machines-rs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Transformer Circuits Thread. https://transformer-circuits.pub/2024/scaling-monosemanticity/</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ACL Anthology. https://aclanthology.org/2025.emnlp-main.1521.pdf</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arXiv.org. https://arxiv.org/html/2503.04429v4</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crates.io. https://crates.io/crates/madsim/0.1.2</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unireps.org. https://unireps.org/blog/2025/do-sparse-autoencoders-saes-transfer-across-base-and-finetuned-language-models/</w:t>
      </w:r>
      <w:bookmarkEnd w:id="10090"/>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58" Target="media/rId158.png"/><Relationship Type="http://schemas.openxmlformats.org/officeDocument/2006/relationships/image" Id="rId28" Target="media/rId28.png"/><Relationship Type="http://schemas.openxmlformats.org/officeDocument/2006/relationships/image" Id="rId135" Target="media/rId135.png"/><Relationship Type="http://schemas.openxmlformats.org/officeDocument/2006/relationships/image" Id="rId39" Target="media/rId39.png"/><Relationship Type="http://schemas.openxmlformats.org/officeDocument/2006/relationships/image" Id="rId102" Target="media/rId102.png"/><Relationship Id="rId15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2026-05-01T07:34:26Z</dcterms:created>
  <dcterms:modified xsi:type="dcterms:W3CDTF">2026-05-01T07:34:26Z</dcterms:modified>
</cp:coreProperties>
</file>

<file path=docProps/custom.xml><?xml version="1.0" encoding="utf-8"?>
<Properties xmlns="http://schemas.openxmlformats.org/officeDocument/2006/custom-properties" xmlns:vt="http://schemas.openxmlformats.org/officeDocument/2006/docPropsVTypes"/>
</file>