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A4" w:rsidRDefault="00683BBD">
      <w:r>
        <w:t>Murillo Arthur</w:t>
      </w:r>
    </w:p>
    <w:p w:rsidR="00683BBD" w:rsidRDefault="00683BBD">
      <w:r>
        <w:t>TD2 | TP4</w:t>
      </w:r>
    </w:p>
    <w:p w:rsidR="00683BBD" w:rsidRDefault="00683BBD"/>
    <w:p w:rsidR="00683BBD" w:rsidRDefault="00683BBD" w:rsidP="00683BBD">
      <w:pPr>
        <w:jc w:val="center"/>
        <w:rPr>
          <w:b/>
          <w:i/>
          <w:sz w:val="28"/>
          <w:szCs w:val="28"/>
          <w:u w:val="single"/>
        </w:rPr>
      </w:pPr>
      <w:r w:rsidRPr="00683BBD">
        <w:rPr>
          <w:b/>
          <w:i/>
          <w:sz w:val="28"/>
          <w:szCs w:val="28"/>
          <w:u w:val="single"/>
        </w:rPr>
        <w:t>Droit – TP1</w:t>
      </w:r>
    </w:p>
    <w:p w:rsidR="00683BBD" w:rsidRPr="003E595F" w:rsidRDefault="003E595F" w:rsidP="00683BBD">
      <w:pPr>
        <w:rPr>
          <w:b/>
          <w:color w:val="FF0000"/>
        </w:rPr>
      </w:pPr>
      <w:r w:rsidRPr="003E595F">
        <w:rPr>
          <w:b/>
          <w:color w:val="FF0000"/>
        </w:rPr>
        <w:t>MISE EN SITUATION 1</w:t>
      </w:r>
    </w:p>
    <w:p w:rsidR="00683BBD" w:rsidRPr="008F6D96" w:rsidRDefault="00683BBD" w:rsidP="002348FB">
      <w:pPr>
        <w:pStyle w:val="Paragraphedeliste"/>
        <w:numPr>
          <w:ilvl w:val="0"/>
          <w:numId w:val="2"/>
        </w:numPr>
        <w:jc w:val="both"/>
        <w:rPr>
          <w:b/>
        </w:rPr>
      </w:pPr>
      <w:r w:rsidRPr="008F6D96">
        <w:rPr>
          <w:b/>
        </w:rPr>
        <w:t>Comportements répréhensibles</w:t>
      </w:r>
    </w:p>
    <w:p w:rsidR="00683BBD" w:rsidRDefault="00683BBD" w:rsidP="002348FB">
      <w:pPr>
        <w:pStyle w:val="Paragraphedeliste"/>
        <w:numPr>
          <w:ilvl w:val="1"/>
          <w:numId w:val="2"/>
        </w:numPr>
        <w:jc w:val="both"/>
      </w:pPr>
      <w:r>
        <w:t>Dans l’entreprise de Sylvie :</w:t>
      </w:r>
    </w:p>
    <w:p w:rsidR="00683BBD" w:rsidRDefault="00683BBD" w:rsidP="002348FB">
      <w:pPr>
        <w:pStyle w:val="Paragraphedeliste"/>
        <w:numPr>
          <w:ilvl w:val="2"/>
          <w:numId w:val="2"/>
        </w:numPr>
        <w:jc w:val="both"/>
      </w:pPr>
      <w:r>
        <w:t xml:space="preserve">L’augmentation du salaire </w:t>
      </w:r>
      <w:r w:rsidR="00EA3874">
        <w:t xml:space="preserve">uniquement </w:t>
      </w:r>
      <w:r>
        <w:t>des hommes selon l’article L. 1142-1</w:t>
      </w:r>
      <w:r w:rsidR="0027463B">
        <w:t xml:space="preserve"> du code du travail.</w:t>
      </w:r>
    </w:p>
    <w:p w:rsidR="00B32517" w:rsidRDefault="0027463B" w:rsidP="002348FB">
      <w:pPr>
        <w:pStyle w:val="Paragraphedeliste"/>
        <w:numPr>
          <w:ilvl w:val="2"/>
          <w:numId w:val="2"/>
        </w:numPr>
        <w:jc w:val="both"/>
      </w:pPr>
      <w:r>
        <w:t xml:space="preserve">Le comportement parfois ambigu de son patron à son égard selon l’article L. 1153-1 du code du travail. </w:t>
      </w:r>
    </w:p>
    <w:p w:rsidR="0027463B" w:rsidRDefault="0027463B" w:rsidP="002348FB">
      <w:pPr>
        <w:pStyle w:val="Paragraphedeliste"/>
        <w:numPr>
          <w:ilvl w:val="1"/>
          <w:numId w:val="2"/>
        </w:numPr>
        <w:jc w:val="both"/>
      </w:pPr>
      <w:r>
        <w:t>Au collège de Pierre :</w:t>
      </w:r>
    </w:p>
    <w:p w:rsidR="00F51D3F" w:rsidRDefault="00F51D3F" w:rsidP="002348FB">
      <w:pPr>
        <w:pStyle w:val="Paragraphedeliste"/>
        <w:numPr>
          <w:ilvl w:val="2"/>
          <w:numId w:val="2"/>
        </w:numPr>
        <w:jc w:val="both"/>
      </w:pPr>
      <w:r>
        <w:t xml:space="preserve">Le port de casquette par Pierre et de foulard par l’élève à l’intérieur de l’établissement tous deux susceptibles d’être sanctionnés par l’une des sanctions prévues dans le règlement intérieur. </w:t>
      </w:r>
    </w:p>
    <w:p w:rsidR="00D60AD3" w:rsidRDefault="008F6D96" w:rsidP="002348FB">
      <w:pPr>
        <w:pStyle w:val="Paragraphedeliste"/>
        <w:numPr>
          <w:ilvl w:val="1"/>
          <w:numId w:val="2"/>
        </w:numPr>
        <w:jc w:val="both"/>
      </w:pPr>
      <w:r>
        <w:t>Au supermarché :</w:t>
      </w:r>
    </w:p>
    <w:p w:rsidR="008F6D96" w:rsidRDefault="008F6D96" w:rsidP="002348FB">
      <w:pPr>
        <w:pStyle w:val="Paragraphedeliste"/>
        <w:numPr>
          <w:ilvl w:val="2"/>
          <w:numId w:val="2"/>
        </w:numPr>
        <w:jc w:val="both"/>
      </w:pPr>
      <w:r>
        <w:t>Le vol selon l’article 311-3 du code pénal.</w:t>
      </w:r>
    </w:p>
    <w:p w:rsidR="0068115D" w:rsidRDefault="0068115D" w:rsidP="002348FB">
      <w:pPr>
        <w:pStyle w:val="Paragraphedeliste"/>
        <w:ind w:left="2160"/>
        <w:jc w:val="both"/>
      </w:pPr>
    </w:p>
    <w:p w:rsidR="0068115D" w:rsidRPr="007F110F" w:rsidRDefault="007F110F" w:rsidP="002348FB">
      <w:pPr>
        <w:pStyle w:val="Paragraphedeliste"/>
        <w:numPr>
          <w:ilvl w:val="0"/>
          <w:numId w:val="2"/>
        </w:numPr>
        <w:jc w:val="both"/>
        <w:rPr>
          <w:b/>
        </w:rPr>
      </w:pPr>
      <w:r w:rsidRPr="007F110F">
        <w:rPr>
          <w:b/>
        </w:rPr>
        <w:t>Pourquoi respecter ces règles est important</w:t>
      </w:r>
    </w:p>
    <w:p w:rsidR="007F110F" w:rsidRDefault="007F110F" w:rsidP="002348FB">
      <w:pPr>
        <w:pStyle w:val="Paragraphedeliste"/>
        <w:numPr>
          <w:ilvl w:val="1"/>
          <w:numId w:val="2"/>
        </w:numPr>
        <w:jc w:val="both"/>
      </w:pPr>
      <w:r>
        <w:t>Dans l’entreprise, le patron n’est pas tout puissant. Sa gestion du personnel doit respecter les règles élémentaires de respect de la personne et d’égalité entre les salariés</w:t>
      </w:r>
    </w:p>
    <w:p w:rsidR="007F110F" w:rsidRDefault="007F110F" w:rsidP="002348FB">
      <w:pPr>
        <w:pStyle w:val="Paragraphedeliste"/>
        <w:numPr>
          <w:ilvl w:val="1"/>
          <w:numId w:val="2"/>
        </w:numPr>
        <w:jc w:val="both"/>
      </w:pPr>
      <w:r>
        <w:t>Au collège, chaque élève est soumis à des contraintes (laïcité) qui garantissent l’égal accès de tous à de bonnes conditions d’acquisition d’une formation.</w:t>
      </w:r>
    </w:p>
    <w:p w:rsidR="007F110F" w:rsidRDefault="006A2B60" w:rsidP="002348FB">
      <w:pPr>
        <w:pStyle w:val="Paragraphedeliste"/>
        <w:numPr>
          <w:ilvl w:val="1"/>
          <w:numId w:val="2"/>
        </w:numPr>
        <w:jc w:val="both"/>
      </w:pPr>
      <w:r>
        <w:t>Dans la vie courante, le respect d’autrui passe par celui de la propriété privée.</w:t>
      </w:r>
    </w:p>
    <w:p w:rsidR="006A2B60" w:rsidRDefault="006A2B60" w:rsidP="002348FB">
      <w:pPr>
        <w:pStyle w:val="Paragraphedeliste"/>
        <w:ind w:left="1440"/>
        <w:jc w:val="both"/>
      </w:pPr>
    </w:p>
    <w:p w:rsidR="0068115D" w:rsidRPr="007E4CF4" w:rsidRDefault="00426C1F" w:rsidP="002348FB">
      <w:pPr>
        <w:pStyle w:val="Paragraphedeliste"/>
        <w:numPr>
          <w:ilvl w:val="0"/>
          <w:numId w:val="2"/>
        </w:numPr>
        <w:jc w:val="both"/>
        <w:rPr>
          <w:b/>
        </w:rPr>
      </w:pPr>
      <w:r w:rsidRPr="00426C1F">
        <w:rPr>
          <w:b/>
        </w:rPr>
        <w:t>Egalité Liberté ou Laïcité</w:t>
      </w:r>
    </w:p>
    <w:tbl>
      <w:tblPr>
        <w:tblStyle w:val="Grilledutableau"/>
        <w:tblW w:w="0" w:type="auto"/>
        <w:jc w:val="center"/>
        <w:tblLook w:val="04A0" w:firstRow="1" w:lastRow="0" w:firstColumn="1" w:lastColumn="0" w:noHBand="0" w:noVBand="1"/>
      </w:tblPr>
      <w:tblGrid>
        <w:gridCol w:w="6256"/>
        <w:gridCol w:w="832"/>
        <w:gridCol w:w="858"/>
        <w:gridCol w:w="805"/>
      </w:tblGrid>
      <w:tr w:rsidR="0068115D" w:rsidTr="002348FB">
        <w:trPr>
          <w:jc w:val="center"/>
        </w:trPr>
        <w:tc>
          <w:tcPr>
            <w:tcW w:w="6256" w:type="dxa"/>
          </w:tcPr>
          <w:p w:rsidR="0068115D" w:rsidRPr="0068115D" w:rsidRDefault="0068115D" w:rsidP="002348FB">
            <w:pPr>
              <w:pStyle w:val="Paragraphedeliste"/>
              <w:ind w:left="0"/>
              <w:jc w:val="both"/>
              <w:rPr>
                <w:b/>
              </w:rPr>
            </w:pPr>
            <w:r w:rsidRPr="0068115D">
              <w:rPr>
                <w:b/>
              </w:rPr>
              <w:t>Situations</w:t>
            </w:r>
          </w:p>
        </w:tc>
        <w:tc>
          <w:tcPr>
            <w:tcW w:w="695" w:type="dxa"/>
          </w:tcPr>
          <w:p w:rsidR="0068115D" w:rsidRPr="0068115D" w:rsidRDefault="0068115D" w:rsidP="002348FB">
            <w:pPr>
              <w:pStyle w:val="Paragraphedeliste"/>
              <w:ind w:left="0"/>
              <w:jc w:val="both"/>
              <w:rPr>
                <w:b/>
              </w:rPr>
            </w:pPr>
            <w:r w:rsidRPr="0068115D">
              <w:rPr>
                <w:b/>
              </w:rPr>
              <w:t>Egalité</w:t>
            </w:r>
          </w:p>
        </w:tc>
        <w:tc>
          <w:tcPr>
            <w:tcW w:w="695" w:type="dxa"/>
          </w:tcPr>
          <w:p w:rsidR="0068115D" w:rsidRPr="0068115D" w:rsidRDefault="0068115D" w:rsidP="002348FB">
            <w:pPr>
              <w:pStyle w:val="Paragraphedeliste"/>
              <w:ind w:left="0"/>
              <w:jc w:val="both"/>
              <w:rPr>
                <w:b/>
              </w:rPr>
            </w:pPr>
            <w:r w:rsidRPr="0068115D">
              <w:rPr>
                <w:b/>
              </w:rPr>
              <w:t>Liberté</w:t>
            </w:r>
          </w:p>
        </w:tc>
        <w:tc>
          <w:tcPr>
            <w:tcW w:w="695" w:type="dxa"/>
          </w:tcPr>
          <w:p w:rsidR="0068115D" w:rsidRPr="0068115D" w:rsidRDefault="0068115D" w:rsidP="002348FB">
            <w:pPr>
              <w:pStyle w:val="Paragraphedeliste"/>
              <w:ind w:left="0"/>
              <w:jc w:val="both"/>
              <w:rPr>
                <w:b/>
              </w:rPr>
            </w:pPr>
            <w:r w:rsidRPr="0068115D">
              <w:rPr>
                <w:b/>
              </w:rPr>
              <w:t>Laïcité</w:t>
            </w:r>
          </w:p>
        </w:tc>
      </w:tr>
      <w:tr w:rsidR="0068115D" w:rsidTr="002348FB">
        <w:trPr>
          <w:jc w:val="center"/>
        </w:trPr>
        <w:tc>
          <w:tcPr>
            <w:tcW w:w="6256" w:type="dxa"/>
          </w:tcPr>
          <w:p w:rsidR="0068115D" w:rsidRPr="00EE39E3" w:rsidRDefault="00EE39E3" w:rsidP="002348FB">
            <w:pPr>
              <w:pStyle w:val="Default"/>
              <w:jc w:val="both"/>
              <w:rPr>
                <w:sz w:val="18"/>
                <w:szCs w:val="18"/>
              </w:rPr>
            </w:pPr>
            <w:r w:rsidRPr="00EE39E3">
              <w:rPr>
                <w:sz w:val="18"/>
                <w:szCs w:val="18"/>
              </w:rPr>
              <w:t xml:space="preserve">Interdiction des différences de salaires entre hommes et femmes </w:t>
            </w:r>
          </w:p>
        </w:tc>
        <w:tc>
          <w:tcPr>
            <w:tcW w:w="695" w:type="dxa"/>
          </w:tcPr>
          <w:p w:rsidR="0068115D" w:rsidRDefault="00461BD3" w:rsidP="002348FB">
            <w:pPr>
              <w:pStyle w:val="Paragraphedeliste"/>
              <w:ind w:left="0"/>
              <w:jc w:val="center"/>
            </w:pPr>
            <w:r>
              <w:t>X</w:t>
            </w:r>
          </w:p>
        </w:tc>
        <w:tc>
          <w:tcPr>
            <w:tcW w:w="695" w:type="dxa"/>
          </w:tcPr>
          <w:p w:rsidR="0068115D" w:rsidRDefault="0068115D" w:rsidP="002348FB">
            <w:pPr>
              <w:pStyle w:val="Paragraphedeliste"/>
              <w:ind w:left="0"/>
              <w:jc w:val="center"/>
            </w:pPr>
          </w:p>
        </w:tc>
        <w:tc>
          <w:tcPr>
            <w:tcW w:w="695" w:type="dxa"/>
          </w:tcPr>
          <w:p w:rsidR="0068115D" w:rsidRDefault="0068115D" w:rsidP="002348FB">
            <w:pPr>
              <w:pStyle w:val="Paragraphedeliste"/>
              <w:ind w:left="0"/>
              <w:jc w:val="center"/>
            </w:pPr>
          </w:p>
        </w:tc>
      </w:tr>
      <w:tr w:rsidR="0068115D" w:rsidTr="002348FB">
        <w:trPr>
          <w:jc w:val="center"/>
        </w:trPr>
        <w:tc>
          <w:tcPr>
            <w:tcW w:w="6256" w:type="dxa"/>
          </w:tcPr>
          <w:p w:rsidR="0068115D" w:rsidRPr="00EE39E3" w:rsidRDefault="00EE39E3" w:rsidP="002348FB">
            <w:pPr>
              <w:pStyle w:val="Default"/>
              <w:jc w:val="both"/>
              <w:rPr>
                <w:sz w:val="18"/>
                <w:szCs w:val="18"/>
              </w:rPr>
            </w:pPr>
            <w:r w:rsidRPr="00EE39E3">
              <w:rPr>
                <w:sz w:val="18"/>
                <w:szCs w:val="18"/>
              </w:rPr>
              <w:t xml:space="preserve">Interdiction du port du voile dans les lieux publics </w:t>
            </w:r>
          </w:p>
        </w:tc>
        <w:tc>
          <w:tcPr>
            <w:tcW w:w="695" w:type="dxa"/>
          </w:tcPr>
          <w:p w:rsidR="0068115D" w:rsidRDefault="0068115D" w:rsidP="002348FB">
            <w:pPr>
              <w:pStyle w:val="Paragraphedeliste"/>
              <w:ind w:left="0"/>
              <w:jc w:val="center"/>
            </w:pPr>
          </w:p>
        </w:tc>
        <w:tc>
          <w:tcPr>
            <w:tcW w:w="695" w:type="dxa"/>
          </w:tcPr>
          <w:p w:rsidR="0068115D" w:rsidRDefault="0068115D" w:rsidP="002348FB">
            <w:pPr>
              <w:pStyle w:val="Paragraphedeliste"/>
              <w:ind w:left="0"/>
              <w:jc w:val="center"/>
            </w:pPr>
          </w:p>
        </w:tc>
        <w:tc>
          <w:tcPr>
            <w:tcW w:w="695" w:type="dxa"/>
          </w:tcPr>
          <w:p w:rsidR="0068115D" w:rsidRDefault="00461BD3" w:rsidP="002348FB">
            <w:pPr>
              <w:pStyle w:val="Paragraphedeliste"/>
              <w:ind w:left="0"/>
              <w:jc w:val="center"/>
            </w:pPr>
            <w:r>
              <w:t>X</w:t>
            </w:r>
          </w:p>
        </w:tc>
      </w:tr>
      <w:tr w:rsidR="0068115D" w:rsidTr="002348FB">
        <w:trPr>
          <w:jc w:val="center"/>
        </w:trPr>
        <w:tc>
          <w:tcPr>
            <w:tcW w:w="6256" w:type="dxa"/>
          </w:tcPr>
          <w:p w:rsidR="0068115D" w:rsidRPr="00EE39E3" w:rsidRDefault="00EE39E3" w:rsidP="002348FB">
            <w:pPr>
              <w:pStyle w:val="Default"/>
              <w:jc w:val="both"/>
              <w:rPr>
                <w:sz w:val="18"/>
                <w:szCs w:val="18"/>
              </w:rPr>
            </w:pPr>
            <w:r w:rsidRPr="00EE39E3">
              <w:rPr>
                <w:sz w:val="18"/>
                <w:szCs w:val="18"/>
              </w:rPr>
              <w:t xml:space="preserve">Liberté de religion pour toute personne </w:t>
            </w:r>
          </w:p>
        </w:tc>
        <w:tc>
          <w:tcPr>
            <w:tcW w:w="695" w:type="dxa"/>
          </w:tcPr>
          <w:p w:rsidR="0068115D" w:rsidRDefault="0068115D" w:rsidP="002348FB">
            <w:pPr>
              <w:pStyle w:val="Paragraphedeliste"/>
              <w:ind w:left="0"/>
              <w:jc w:val="center"/>
            </w:pPr>
          </w:p>
        </w:tc>
        <w:tc>
          <w:tcPr>
            <w:tcW w:w="695" w:type="dxa"/>
          </w:tcPr>
          <w:p w:rsidR="0068115D" w:rsidRDefault="00461BD3" w:rsidP="002348FB">
            <w:pPr>
              <w:pStyle w:val="Paragraphedeliste"/>
              <w:ind w:left="0"/>
              <w:jc w:val="center"/>
            </w:pPr>
            <w:r>
              <w:t>X</w:t>
            </w:r>
          </w:p>
        </w:tc>
        <w:tc>
          <w:tcPr>
            <w:tcW w:w="695" w:type="dxa"/>
          </w:tcPr>
          <w:p w:rsidR="0068115D" w:rsidRDefault="0068115D" w:rsidP="002348FB">
            <w:pPr>
              <w:pStyle w:val="Paragraphedeliste"/>
              <w:ind w:left="0"/>
              <w:jc w:val="center"/>
            </w:pPr>
          </w:p>
        </w:tc>
      </w:tr>
      <w:tr w:rsidR="0068115D" w:rsidTr="002348FB">
        <w:trPr>
          <w:jc w:val="center"/>
        </w:trPr>
        <w:tc>
          <w:tcPr>
            <w:tcW w:w="6256" w:type="dxa"/>
          </w:tcPr>
          <w:p w:rsidR="0068115D" w:rsidRPr="00EE39E3" w:rsidRDefault="00EE39E3" w:rsidP="002348FB">
            <w:pPr>
              <w:pStyle w:val="Default"/>
              <w:jc w:val="both"/>
              <w:rPr>
                <w:sz w:val="18"/>
                <w:szCs w:val="18"/>
              </w:rPr>
            </w:pPr>
            <w:r w:rsidRPr="00EE39E3">
              <w:rPr>
                <w:sz w:val="18"/>
                <w:szCs w:val="18"/>
              </w:rPr>
              <w:t xml:space="preserve">Service public de l'Éducation nationale offert aux enfants de toutes les origines religieuses </w:t>
            </w:r>
          </w:p>
        </w:tc>
        <w:tc>
          <w:tcPr>
            <w:tcW w:w="695" w:type="dxa"/>
          </w:tcPr>
          <w:p w:rsidR="0068115D" w:rsidRDefault="00461BD3" w:rsidP="002348FB">
            <w:pPr>
              <w:pStyle w:val="Paragraphedeliste"/>
              <w:ind w:left="0"/>
              <w:jc w:val="center"/>
            </w:pPr>
            <w:r>
              <w:t>X</w:t>
            </w:r>
          </w:p>
        </w:tc>
        <w:tc>
          <w:tcPr>
            <w:tcW w:w="695" w:type="dxa"/>
          </w:tcPr>
          <w:p w:rsidR="0068115D" w:rsidRDefault="0068115D" w:rsidP="002348FB">
            <w:pPr>
              <w:pStyle w:val="Paragraphedeliste"/>
              <w:ind w:left="0"/>
              <w:jc w:val="center"/>
            </w:pPr>
          </w:p>
        </w:tc>
        <w:tc>
          <w:tcPr>
            <w:tcW w:w="695" w:type="dxa"/>
          </w:tcPr>
          <w:p w:rsidR="0068115D" w:rsidRDefault="0068115D" w:rsidP="002348FB">
            <w:pPr>
              <w:pStyle w:val="Paragraphedeliste"/>
              <w:ind w:left="0"/>
              <w:jc w:val="center"/>
            </w:pPr>
          </w:p>
        </w:tc>
      </w:tr>
      <w:tr w:rsidR="0068115D" w:rsidTr="002348FB">
        <w:trPr>
          <w:jc w:val="center"/>
        </w:trPr>
        <w:tc>
          <w:tcPr>
            <w:tcW w:w="6256" w:type="dxa"/>
          </w:tcPr>
          <w:p w:rsidR="0068115D" w:rsidRPr="00EE39E3" w:rsidRDefault="00EE39E3" w:rsidP="002348FB">
            <w:pPr>
              <w:pStyle w:val="Default"/>
              <w:jc w:val="both"/>
              <w:rPr>
                <w:sz w:val="18"/>
                <w:szCs w:val="18"/>
              </w:rPr>
            </w:pPr>
            <w:r w:rsidRPr="00EE39E3">
              <w:rPr>
                <w:sz w:val="18"/>
                <w:szCs w:val="18"/>
              </w:rPr>
              <w:t>Possibilité, pour le salarié, d'adhérer au syndicat de son choix</w:t>
            </w:r>
          </w:p>
        </w:tc>
        <w:tc>
          <w:tcPr>
            <w:tcW w:w="695" w:type="dxa"/>
          </w:tcPr>
          <w:p w:rsidR="0068115D" w:rsidRDefault="0068115D" w:rsidP="002348FB">
            <w:pPr>
              <w:pStyle w:val="Paragraphedeliste"/>
              <w:ind w:left="0"/>
              <w:jc w:val="center"/>
            </w:pPr>
          </w:p>
        </w:tc>
        <w:tc>
          <w:tcPr>
            <w:tcW w:w="695" w:type="dxa"/>
          </w:tcPr>
          <w:p w:rsidR="0068115D" w:rsidRDefault="00461BD3" w:rsidP="002348FB">
            <w:pPr>
              <w:pStyle w:val="Paragraphedeliste"/>
              <w:ind w:left="0"/>
              <w:jc w:val="center"/>
            </w:pPr>
            <w:r>
              <w:t>X</w:t>
            </w:r>
          </w:p>
        </w:tc>
        <w:tc>
          <w:tcPr>
            <w:tcW w:w="695" w:type="dxa"/>
          </w:tcPr>
          <w:p w:rsidR="0068115D" w:rsidRDefault="0068115D" w:rsidP="002348FB">
            <w:pPr>
              <w:pStyle w:val="Paragraphedeliste"/>
              <w:ind w:left="0"/>
              <w:jc w:val="center"/>
            </w:pPr>
          </w:p>
        </w:tc>
      </w:tr>
      <w:tr w:rsidR="0068115D" w:rsidTr="002348FB">
        <w:trPr>
          <w:jc w:val="center"/>
        </w:trPr>
        <w:tc>
          <w:tcPr>
            <w:tcW w:w="6256" w:type="dxa"/>
          </w:tcPr>
          <w:p w:rsidR="0068115D" w:rsidRPr="00EE39E3" w:rsidRDefault="00EE39E3" w:rsidP="002348FB">
            <w:pPr>
              <w:pStyle w:val="Default"/>
              <w:jc w:val="both"/>
              <w:rPr>
                <w:sz w:val="18"/>
                <w:szCs w:val="18"/>
              </w:rPr>
            </w:pPr>
            <w:r w:rsidRPr="00EE39E3">
              <w:rPr>
                <w:sz w:val="18"/>
                <w:szCs w:val="18"/>
              </w:rPr>
              <w:t>Dans les conflits de même nature, règlement des litiges par les mêmes tribunaux pour tous les justiciables</w:t>
            </w:r>
          </w:p>
        </w:tc>
        <w:tc>
          <w:tcPr>
            <w:tcW w:w="695" w:type="dxa"/>
          </w:tcPr>
          <w:p w:rsidR="0068115D" w:rsidRDefault="00461BD3" w:rsidP="002348FB">
            <w:pPr>
              <w:pStyle w:val="Paragraphedeliste"/>
              <w:ind w:left="0"/>
              <w:jc w:val="center"/>
            </w:pPr>
            <w:r>
              <w:t>X</w:t>
            </w:r>
          </w:p>
        </w:tc>
        <w:tc>
          <w:tcPr>
            <w:tcW w:w="695" w:type="dxa"/>
          </w:tcPr>
          <w:p w:rsidR="0068115D" w:rsidRDefault="0068115D" w:rsidP="002348FB">
            <w:pPr>
              <w:pStyle w:val="Paragraphedeliste"/>
              <w:ind w:left="0"/>
              <w:jc w:val="center"/>
            </w:pPr>
          </w:p>
        </w:tc>
        <w:tc>
          <w:tcPr>
            <w:tcW w:w="695" w:type="dxa"/>
          </w:tcPr>
          <w:p w:rsidR="0068115D" w:rsidRDefault="0068115D" w:rsidP="002348FB">
            <w:pPr>
              <w:pStyle w:val="Paragraphedeliste"/>
              <w:ind w:left="0"/>
              <w:jc w:val="center"/>
            </w:pPr>
          </w:p>
        </w:tc>
      </w:tr>
    </w:tbl>
    <w:p w:rsidR="003E595F" w:rsidRDefault="003E595F" w:rsidP="002348FB">
      <w:pPr>
        <w:jc w:val="both"/>
      </w:pPr>
    </w:p>
    <w:p w:rsidR="007E4CF4" w:rsidRDefault="007E4CF4" w:rsidP="002348FB">
      <w:pPr>
        <w:jc w:val="both"/>
      </w:pPr>
    </w:p>
    <w:p w:rsidR="003E595F" w:rsidRPr="003E595F" w:rsidRDefault="003E595F" w:rsidP="002348FB">
      <w:pPr>
        <w:jc w:val="both"/>
        <w:rPr>
          <w:b/>
          <w:color w:val="FF0000"/>
        </w:rPr>
      </w:pPr>
      <w:r>
        <w:rPr>
          <w:b/>
          <w:color w:val="FF0000"/>
        </w:rPr>
        <w:t>MISE EN SITUATION 2</w:t>
      </w:r>
    </w:p>
    <w:p w:rsidR="003E595F" w:rsidRDefault="003E595F" w:rsidP="002348FB">
      <w:pPr>
        <w:pStyle w:val="Paragraphedeliste"/>
        <w:numPr>
          <w:ilvl w:val="0"/>
          <w:numId w:val="3"/>
        </w:numPr>
        <w:jc w:val="both"/>
      </w:pPr>
      <w:r>
        <w:t>Pierre et ses camarades portent atteinte à l’article 9 du code Civil qui donne à chaque citoyen le droit au respect de sa vie privée.</w:t>
      </w:r>
    </w:p>
    <w:p w:rsidR="003E595F" w:rsidRDefault="003E595F" w:rsidP="002348FB">
      <w:pPr>
        <w:pStyle w:val="Paragraphedeliste"/>
        <w:jc w:val="both"/>
      </w:pPr>
    </w:p>
    <w:p w:rsidR="003E595F" w:rsidRDefault="003E595F" w:rsidP="002348FB">
      <w:pPr>
        <w:pStyle w:val="Paragraphedeliste"/>
        <w:numPr>
          <w:ilvl w:val="0"/>
          <w:numId w:val="3"/>
        </w:numPr>
        <w:jc w:val="both"/>
      </w:pPr>
      <w:r>
        <w:t>Dans notre société ce droit appartient à tous.</w:t>
      </w:r>
    </w:p>
    <w:p w:rsidR="003E595F" w:rsidRDefault="003E595F" w:rsidP="002348FB">
      <w:pPr>
        <w:pStyle w:val="Paragraphedeliste"/>
        <w:jc w:val="both"/>
      </w:pPr>
    </w:p>
    <w:p w:rsidR="003E595F" w:rsidRPr="005B2BF0" w:rsidRDefault="003E595F" w:rsidP="002348FB">
      <w:pPr>
        <w:pStyle w:val="Paragraphedeliste"/>
        <w:numPr>
          <w:ilvl w:val="0"/>
          <w:numId w:val="3"/>
        </w:numPr>
        <w:jc w:val="both"/>
        <w:rPr>
          <w:b/>
        </w:rPr>
      </w:pPr>
      <w:r w:rsidRPr="003E595F">
        <w:rPr>
          <w:b/>
        </w:rPr>
        <w:lastRenderedPageBreak/>
        <w:t>Droits appartenant à :</w:t>
      </w:r>
    </w:p>
    <w:p w:rsidR="003E595F" w:rsidRDefault="003E595F" w:rsidP="002348FB">
      <w:pPr>
        <w:pStyle w:val="Paragraphedeliste"/>
        <w:numPr>
          <w:ilvl w:val="1"/>
          <w:numId w:val="3"/>
        </w:numPr>
        <w:jc w:val="both"/>
      </w:pPr>
      <w:r>
        <w:t>Aux individus majeurs :</w:t>
      </w:r>
      <w:r w:rsidR="007F5286">
        <w:t xml:space="preserve"> Respect de la personne et de son intégrité.</w:t>
      </w:r>
    </w:p>
    <w:p w:rsidR="007F5286" w:rsidRDefault="007F5286" w:rsidP="002348FB">
      <w:pPr>
        <w:pStyle w:val="Paragraphedeliste"/>
        <w:numPr>
          <w:ilvl w:val="1"/>
          <w:numId w:val="3"/>
        </w:numPr>
        <w:jc w:val="both"/>
      </w:pPr>
      <w:r>
        <w:t>Aux salariés :</w:t>
      </w:r>
      <w:r w:rsidR="00B24476">
        <w:t xml:space="preserve"> Assurance que les clauses de son contrat seront respectées.</w:t>
      </w:r>
    </w:p>
    <w:p w:rsidR="000B6E1D" w:rsidRDefault="000B6E1D" w:rsidP="002348FB">
      <w:pPr>
        <w:pStyle w:val="Paragraphedeliste"/>
        <w:numPr>
          <w:ilvl w:val="1"/>
          <w:numId w:val="3"/>
        </w:numPr>
        <w:jc w:val="both"/>
      </w:pPr>
      <w:r>
        <w:t>Aux femmes enceintes salariées :</w:t>
      </w:r>
      <w:r w:rsidRPr="000B6E1D">
        <w:t xml:space="preserve"> </w:t>
      </w:r>
      <w:r>
        <w:t>Droit de s’absenter pour se rendre aux examens médicaux obligatoires dans le cadre de la surveillance médicale de la grossesse et des suites de l'accouchement.</w:t>
      </w:r>
    </w:p>
    <w:p w:rsidR="00F022C3" w:rsidRDefault="00F022C3" w:rsidP="002348FB">
      <w:pPr>
        <w:pStyle w:val="Paragraphedeliste"/>
        <w:numPr>
          <w:ilvl w:val="1"/>
          <w:numId w:val="3"/>
        </w:numPr>
        <w:jc w:val="both"/>
      </w:pPr>
      <w:r>
        <w:t xml:space="preserve">Aux parents ayant des enfants mineurs : </w:t>
      </w:r>
      <w:r w:rsidR="006E2F3A">
        <w:t>D</w:t>
      </w:r>
      <w:r>
        <w:t>roit de garde et de surveillance</w:t>
      </w:r>
      <w:r w:rsidR="006E2F3A">
        <w:t>.</w:t>
      </w:r>
    </w:p>
    <w:p w:rsidR="00353B2B" w:rsidRDefault="00353B2B" w:rsidP="002348FB">
      <w:pPr>
        <w:pStyle w:val="Paragraphedeliste"/>
        <w:ind w:left="1440"/>
        <w:jc w:val="both"/>
      </w:pPr>
    </w:p>
    <w:p w:rsidR="00353B2B" w:rsidRDefault="00353B2B" w:rsidP="002348FB">
      <w:pPr>
        <w:pStyle w:val="Paragraphedeliste"/>
        <w:numPr>
          <w:ilvl w:val="0"/>
          <w:numId w:val="3"/>
        </w:numPr>
        <w:jc w:val="both"/>
      </w:pPr>
      <w:r>
        <w:t>Non car ces droits s’adaptent aux besoins de ces catégories de personnes.</w:t>
      </w:r>
    </w:p>
    <w:p w:rsidR="00353B2B" w:rsidRDefault="00353B2B" w:rsidP="002348FB">
      <w:pPr>
        <w:jc w:val="both"/>
      </w:pPr>
    </w:p>
    <w:p w:rsidR="00353B2B" w:rsidRPr="003E595F" w:rsidRDefault="00353B2B" w:rsidP="002348FB">
      <w:pPr>
        <w:jc w:val="both"/>
        <w:rPr>
          <w:b/>
          <w:color w:val="FF0000"/>
        </w:rPr>
      </w:pPr>
      <w:r>
        <w:rPr>
          <w:b/>
          <w:color w:val="FF0000"/>
        </w:rPr>
        <w:t>MISE EN SITUATION 3</w:t>
      </w:r>
    </w:p>
    <w:p w:rsidR="00353B2B" w:rsidRDefault="00353B2B" w:rsidP="002348FB">
      <w:pPr>
        <w:pStyle w:val="Paragraphedeliste"/>
        <w:numPr>
          <w:ilvl w:val="0"/>
          <w:numId w:val="4"/>
        </w:numPr>
        <w:jc w:val="both"/>
      </w:pPr>
      <w:r>
        <w:t>Sylvie a été verbalisée pour stationnement gênant car elle s’est garée sur une place réservée aux livraisons. Sylvie peut aller payer cette amende, ou ne</w:t>
      </w:r>
      <w:r w:rsidR="004966CD">
        <w:t xml:space="preserve"> pas la payer</w:t>
      </w:r>
      <w:r>
        <w:t>.</w:t>
      </w:r>
    </w:p>
    <w:p w:rsidR="00353B2B" w:rsidRDefault="00353B2B" w:rsidP="002348FB">
      <w:pPr>
        <w:pStyle w:val="Paragraphedeliste"/>
        <w:jc w:val="both"/>
      </w:pPr>
    </w:p>
    <w:p w:rsidR="00353B2B" w:rsidRDefault="007C0B9A" w:rsidP="002348FB">
      <w:pPr>
        <w:pStyle w:val="Paragraphedeliste"/>
        <w:numPr>
          <w:ilvl w:val="0"/>
          <w:numId w:val="4"/>
        </w:numPr>
        <w:jc w:val="both"/>
      </w:pPr>
      <w:r>
        <w:t>Le ministère de la justice a modifié le montant de l’amende.</w:t>
      </w:r>
    </w:p>
    <w:p w:rsidR="007C0B9A" w:rsidRDefault="007C0B9A" w:rsidP="002348FB">
      <w:pPr>
        <w:pStyle w:val="Paragraphedeliste"/>
        <w:jc w:val="both"/>
      </w:pPr>
    </w:p>
    <w:p w:rsidR="007C0B9A" w:rsidRDefault="004966CD" w:rsidP="002348FB">
      <w:pPr>
        <w:pStyle w:val="Paragraphedeliste"/>
        <w:numPr>
          <w:ilvl w:val="0"/>
          <w:numId w:val="4"/>
        </w:numPr>
        <w:jc w:val="both"/>
      </w:pPr>
      <w:r>
        <w:t>Car les individus comprennent qu’ils sont en tort, et préfèrent ne pas être poursuivi</w:t>
      </w:r>
      <w:r w:rsidR="00086068">
        <w:t>s.</w:t>
      </w:r>
    </w:p>
    <w:p w:rsidR="00086068" w:rsidRDefault="00086068" w:rsidP="002348FB">
      <w:pPr>
        <w:pStyle w:val="Paragraphedeliste"/>
        <w:jc w:val="both"/>
      </w:pPr>
    </w:p>
    <w:p w:rsidR="00086068" w:rsidRPr="003E595F" w:rsidRDefault="00086068" w:rsidP="002348FB">
      <w:pPr>
        <w:jc w:val="both"/>
        <w:rPr>
          <w:b/>
          <w:color w:val="FF0000"/>
        </w:rPr>
      </w:pPr>
      <w:r>
        <w:rPr>
          <w:b/>
          <w:color w:val="FF0000"/>
        </w:rPr>
        <w:t>MISE EN SITUATION 4</w:t>
      </w:r>
    </w:p>
    <w:p w:rsidR="005E3C2C" w:rsidRDefault="005E3C2C" w:rsidP="002348FB">
      <w:pPr>
        <w:pStyle w:val="Paragraphedeliste"/>
        <w:numPr>
          <w:ilvl w:val="0"/>
          <w:numId w:val="5"/>
        </w:numPr>
        <w:jc w:val="both"/>
      </w:pPr>
      <w:r>
        <w:t>Cette amende est une sanction pénale.</w:t>
      </w:r>
    </w:p>
    <w:p w:rsidR="005E3C2C" w:rsidRDefault="005E3C2C" w:rsidP="002348FB">
      <w:pPr>
        <w:pStyle w:val="Paragraphedeliste"/>
        <w:jc w:val="both"/>
      </w:pPr>
    </w:p>
    <w:p w:rsidR="005E3C2C" w:rsidRDefault="00E64A2E" w:rsidP="002348FB">
      <w:pPr>
        <w:pStyle w:val="Paragraphedeliste"/>
        <w:numPr>
          <w:ilvl w:val="0"/>
          <w:numId w:val="5"/>
        </w:numPr>
        <w:jc w:val="both"/>
      </w:pPr>
      <w:r>
        <w:t>Elle risque un retrait ou une suspension de son permis de conduire, voire de l’emprisonnement.</w:t>
      </w:r>
    </w:p>
    <w:p w:rsidR="00426C1F" w:rsidRDefault="00426C1F" w:rsidP="002348FB">
      <w:pPr>
        <w:pStyle w:val="Paragraphedeliste"/>
        <w:jc w:val="both"/>
      </w:pPr>
    </w:p>
    <w:p w:rsidR="00426C1F" w:rsidRPr="003E595F" w:rsidRDefault="00426C1F" w:rsidP="002348FB">
      <w:pPr>
        <w:jc w:val="both"/>
        <w:rPr>
          <w:b/>
          <w:color w:val="FF0000"/>
        </w:rPr>
      </w:pPr>
      <w:r>
        <w:rPr>
          <w:b/>
          <w:color w:val="FF0000"/>
        </w:rPr>
        <w:t>MISE EN SITUATION 5</w:t>
      </w:r>
    </w:p>
    <w:p w:rsidR="00426C1F" w:rsidRPr="00426C1F" w:rsidRDefault="00426C1F" w:rsidP="002348FB">
      <w:pPr>
        <w:pStyle w:val="Paragraphedeliste"/>
        <w:numPr>
          <w:ilvl w:val="0"/>
          <w:numId w:val="6"/>
        </w:numPr>
        <w:jc w:val="both"/>
        <w:rPr>
          <w:b/>
        </w:rPr>
      </w:pPr>
      <w:r w:rsidRPr="00426C1F">
        <w:rPr>
          <w:b/>
        </w:rPr>
        <w:t>Droit privé ou public</w:t>
      </w:r>
    </w:p>
    <w:p w:rsidR="00426C1F" w:rsidRDefault="00426C1F" w:rsidP="002348FB">
      <w:pPr>
        <w:pStyle w:val="Paragraphedeliste"/>
        <w:jc w:val="both"/>
      </w:pPr>
    </w:p>
    <w:p w:rsidR="00426C1F" w:rsidRDefault="00426C1F" w:rsidP="002348FB">
      <w:pPr>
        <w:pStyle w:val="Paragraphedeliste"/>
        <w:jc w:val="both"/>
      </w:pPr>
      <w:r w:rsidRPr="00426C1F">
        <w:rPr>
          <w:noProof/>
          <w:lang w:eastAsia="fr-FR"/>
        </w:rPr>
        <w:drawing>
          <wp:inline distT="0" distB="0" distL="0" distR="0">
            <wp:extent cx="5359400" cy="3067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788" cy="3069798"/>
                    </a:xfrm>
                    <a:prstGeom prst="rect">
                      <a:avLst/>
                    </a:prstGeom>
                    <a:noFill/>
                    <a:ln>
                      <a:noFill/>
                    </a:ln>
                  </pic:spPr>
                </pic:pic>
              </a:graphicData>
            </a:graphic>
          </wp:inline>
        </w:drawing>
      </w:r>
    </w:p>
    <w:p w:rsidR="00BD6DA9" w:rsidRDefault="005D1CA2" w:rsidP="002348FB">
      <w:pPr>
        <w:pStyle w:val="Paragraphedeliste"/>
        <w:jc w:val="both"/>
      </w:pPr>
      <w:r>
        <w:lastRenderedPageBreak/>
        <w:t>Mariage Sylvie et Sébastien :</w:t>
      </w:r>
      <w:r w:rsidR="00EC5C4B">
        <w:t xml:space="preserve"> Droit civil (</w:t>
      </w:r>
      <w:r>
        <w:t>privé)</w:t>
      </w:r>
    </w:p>
    <w:p w:rsidR="005D1CA2" w:rsidRDefault="005D1CA2" w:rsidP="002348FB">
      <w:pPr>
        <w:pStyle w:val="Paragraphedeliste"/>
        <w:jc w:val="both"/>
      </w:pPr>
      <w:r>
        <w:t>Agence immobilière : Droit du travail (</w:t>
      </w:r>
      <w:r w:rsidR="000C09AF">
        <w:t>privé</w:t>
      </w:r>
      <w:r>
        <w:t>)</w:t>
      </w:r>
    </w:p>
    <w:p w:rsidR="005D1CA2" w:rsidRDefault="005D1CA2" w:rsidP="002348FB">
      <w:pPr>
        <w:pStyle w:val="Paragraphedeliste"/>
        <w:jc w:val="both"/>
      </w:pPr>
      <w:r>
        <w:t>Déclaration de revenus Sylvie et Sébastien : Droit fiscal (public)</w:t>
      </w:r>
    </w:p>
    <w:p w:rsidR="005D1CA2" w:rsidRDefault="005D1CA2" w:rsidP="002348FB">
      <w:pPr>
        <w:pStyle w:val="Paragraphedeliste"/>
        <w:jc w:val="both"/>
      </w:pPr>
      <w:r>
        <w:t>Propriété S&amp;S : Droit commercial (privé)</w:t>
      </w:r>
    </w:p>
    <w:p w:rsidR="005D1CA2" w:rsidRDefault="005D1CA2" w:rsidP="002348FB">
      <w:pPr>
        <w:pStyle w:val="Paragraphedeliste"/>
        <w:jc w:val="both"/>
      </w:pPr>
      <w:r>
        <w:t>Voisin S&amp;S : Droit pénal (public)</w:t>
      </w:r>
    </w:p>
    <w:p w:rsidR="005D1CA2" w:rsidRDefault="005D1CA2" w:rsidP="002348FB">
      <w:pPr>
        <w:pStyle w:val="Paragraphedeliste"/>
        <w:jc w:val="both"/>
      </w:pPr>
    </w:p>
    <w:p w:rsidR="00BD6DA9" w:rsidRDefault="00EC5C4B" w:rsidP="002348FB">
      <w:pPr>
        <w:pStyle w:val="Paragraphedeliste"/>
        <w:numPr>
          <w:ilvl w:val="0"/>
          <w:numId w:val="6"/>
        </w:numPr>
        <w:jc w:val="both"/>
      </w:pPr>
      <w:r>
        <w:t>Cela relève du droit international car les deux personnes impliquées sont étrangères au pays où a eu lieu l’incident.</w:t>
      </w:r>
    </w:p>
    <w:p w:rsidR="003C3FED" w:rsidRDefault="003C3FED" w:rsidP="003C3FED">
      <w:pPr>
        <w:jc w:val="both"/>
      </w:pPr>
    </w:p>
    <w:p w:rsidR="003C3FED" w:rsidRDefault="003C3FED" w:rsidP="003C3FED">
      <w:pPr>
        <w:jc w:val="both"/>
      </w:pPr>
    </w:p>
    <w:p w:rsidR="003C3FED" w:rsidRDefault="003C3FED" w:rsidP="003C3FED">
      <w:pPr>
        <w:jc w:val="center"/>
        <w:rPr>
          <w:b/>
          <w:i/>
          <w:sz w:val="28"/>
          <w:szCs w:val="28"/>
          <w:u w:val="single"/>
        </w:rPr>
      </w:pPr>
      <w:r>
        <w:rPr>
          <w:b/>
          <w:i/>
          <w:sz w:val="28"/>
          <w:szCs w:val="28"/>
          <w:u w:val="single"/>
        </w:rPr>
        <w:t>Droit – TP2</w:t>
      </w:r>
    </w:p>
    <w:p w:rsidR="003C3FED" w:rsidRDefault="003C3FED" w:rsidP="003C3FED">
      <w:pPr>
        <w:jc w:val="center"/>
      </w:pPr>
      <w:r>
        <w:t>Voir feuille</w:t>
      </w:r>
    </w:p>
    <w:p w:rsidR="00627F44" w:rsidRDefault="00627F44" w:rsidP="002348FB">
      <w:pPr>
        <w:pStyle w:val="Paragraphedeliste"/>
        <w:numPr>
          <w:ilvl w:val="0"/>
          <w:numId w:val="15"/>
        </w:numPr>
        <w:jc w:val="both"/>
      </w:pPr>
      <w:r>
        <w:t>Tout nouveau-né doit être déclaré par son père ou à défaut par un personnel soignant dans les trois jours suivant la naissance. Si elle n’est pas faite, il faut aller au tribunal.</w:t>
      </w:r>
    </w:p>
    <w:p w:rsidR="00627F44" w:rsidRDefault="00627F44" w:rsidP="002348FB">
      <w:pPr>
        <w:pStyle w:val="Paragraphedeliste"/>
        <w:jc w:val="both"/>
      </w:pPr>
    </w:p>
    <w:p w:rsidR="00D7682A" w:rsidRDefault="00D7682A" w:rsidP="002348FB">
      <w:pPr>
        <w:pStyle w:val="Paragraphedeliste"/>
        <w:numPr>
          <w:ilvl w:val="0"/>
          <w:numId w:val="6"/>
        </w:numPr>
        <w:jc w:val="both"/>
      </w:pPr>
      <w:r w:rsidRPr="00D7682A">
        <w:rPr>
          <w:b/>
        </w:rPr>
        <w:t>Absence :</w:t>
      </w:r>
      <w:r>
        <w:t xml:space="preserve"> Une personne n’a plus donné signe de vie et personne ne sait si elle est vivante ou pas. Le TGI doit constater l’absence (délai de 10 ans) afin que les effets du décès se produisent pour les héritiers. </w:t>
      </w:r>
      <w:r w:rsidRPr="00D7682A">
        <w:rPr>
          <w:b/>
        </w:rPr>
        <w:t>Disparition :</w:t>
      </w:r>
      <w:r>
        <w:t xml:space="preserve"> Le corps d’une personne n’a pas été retrouvé après un attentat, la disparition en mer au cours d’une tempête, une explosion, et tout laisse penser qu’elle est décédée.</w:t>
      </w:r>
    </w:p>
    <w:p w:rsidR="00174A5E" w:rsidRDefault="00174A5E" w:rsidP="002348FB">
      <w:pPr>
        <w:pStyle w:val="Paragraphedeliste"/>
        <w:jc w:val="both"/>
      </w:pPr>
    </w:p>
    <w:p w:rsidR="00174A5E" w:rsidRDefault="00D7682A" w:rsidP="002348FB">
      <w:pPr>
        <w:pStyle w:val="Paragraphedeliste"/>
        <w:numPr>
          <w:ilvl w:val="0"/>
          <w:numId w:val="6"/>
        </w:numPr>
        <w:jc w:val="both"/>
      </w:pPr>
      <w:r>
        <w:t>Le père sera déclaré le 28 février 2018 (10 ans après).</w:t>
      </w:r>
    </w:p>
    <w:p w:rsidR="00174A5E" w:rsidRDefault="00174A5E" w:rsidP="002348FB">
      <w:pPr>
        <w:jc w:val="both"/>
      </w:pPr>
    </w:p>
    <w:p w:rsidR="00D7682A" w:rsidRDefault="00D7682A" w:rsidP="002348FB">
      <w:pPr>
        <w:pStyle w:val="Paragraphedeliste"/>
        <w:numPr>
          <w:ilvl w:val="0"/>
          <w:numId w:val="6"/>
        </w:numPr>
        <w:jc w:val="both"/>
      </w:pPr>
      <w:r>
        <w:t>Ce délai vise à assurer la protection de la vie privée de l’absent. A compter du 28 février 2018, le notaire pourra procéder à la liquidation de la succession au profit d’Anna qui pourra recueillir la maison ainsi que la somme de 8000€</w:t>
      </w:r>
    </w:p>
    <w:p w:rsidR="00627F44" w:rsidRDefault="00627F44" w:rsidP="002348FB">
      <w:pPr>
        <w:pStyle w:val="Paragraphedeliste"/>
        <w:jc w:val="both"/>
      </w:pPr>
    </w:p>
    <w:p w:rsidR="00627F44" w:rsidRDefault="00627F44" w:rsidP="002348FB">
      <w:pPr>
        <w:pStyle w:val="Paragraphedeliste"/>
        <w:numPr>
          <w:ilvl w:val="0"/>
          <w:numId w:val="6"/>
        </w:numPr>
        <w:jc w:val="both"/>
      </w:pPr>
      <w:r>
        <w:t>La création des statuts permet aux associés de réfléchir ensemble à l’organisation, à l’objet et au fonctionnement de ma future organisation. Pour les associés d’une société : ils vont choisir la forme juridique la mieux adaptée à leurs besoins. De plus, la création des statuts est une obligation légale lorsque on crée une société ou une association.</w:t>
      </w:r>
    </w:p>
    <w:p w:rsidR="00FB1EB9" w:rsidRDefault="00FB1EB9" w:rsidP="002348FB">
      <w:pPr>
        <w:pStyle w:val="Paragraphedeliste"/>
        <w:jc w:val="both"/>
      </w:pPr>
    </w:p>
    <w:p w:rsidR="00FB1EB9" w:rsidRDefault="00AD2DE5" w:rsidP="002348FB">
      <w:pPr>
        <w:pStyle w:val="Paragraphedeliste"/>
        <w:numPr>
          <w:ilvl w:val="0"/>
          <w:numId w:val="6"/>
        </w:numPr>
        <w:jc w:val="both"/>
      </w:pPr>
      <w:r>
        <w:t xml:space="preserve">Elle a choisi librement la dénomination de sa société. </w:t>
      </w:r>
      <w:r w:rsidRPr="00AD2DE5">
        <w:rPr>
          <w:b/>
        </w:rPr>
        <w:t>Remarque :</w:t>
      </w:r>
      <w:r>
        <w:t xml:space="preserve"> On peut attirer l’attention sur le fait qu’elle a sans doute vérifié que son nom n’était pas déjà utilisé par une entreprise.</w:t>
      </w:r>
    </w:p>
    <w:p w:rsidR="00AD2DE5" w:rsidRDefault="00AD2DE5" w:rsidP="002348FB">
      <w:pPr>
        <w:pStyle w:val="Paragraphedeliste"/>
        <w:jc w:val="both"/>
      </w:pPr>
    </w:p>
    <w:p w:rsidR="00AD2DE5" w:rsidRDefault="00AD2DE5" w:rsidP="002348FB">
      <w:pPr>
        <w:pStyle w:val="Paragraphedeliste"/>
        <w:numPr>
          <w:ilvl w:val="0"/>
          <w:numId w:val="6"/>
        </w:numPr>
        <w:jc w:val="both"/>
      </w:pPr>
      <w:r>
        <w:t>Le titre d’une association est choisi librement. C’est d’ailleurs la déclaration déposée à la préfecture qui le précise.</w:t>
      </w:r>
    </w:p>
    <w:p w:rsidR="00A44B50" w:rsidRDefault="00A44B50" w:rsidP="002348FB">
      <w:pPr>
        <w:pStyle w:val="Paragraphedeliste"/>
        <w:jc w:val="both"/>
      </w:pPr>
    </w:p>
    <w:p w:rsidR="00A44B50" w:rsidRDefault="002348FB" w:rsidP="002348FB">
      <w:pPr>
        <w:pStyle w:val="Paragraphedeliste"/>
        <w:numPr>
          <w:ilvl w:val="0"/>
          <w:numId w:val="6"/>
        </w:numPr>
        <w:jc w:val="both"/>
      </w:pPr>
      <w:r>
        <w:t>L’usurpation est sanctionnée lorsque le nom de la personne morale est identique ou très proche d’un vocable déjà existant, créant ainsi un risque de confusion. C’est aussi le cas lorsque le nom désigne une activité similaire à celle de la personne morale déjà identifiée par ce nom.</w:t>
      </w:r>
    </w:p>
    <w:p w:rsidR="002348FB" w:rsidRDefault="002348FB" w:rsidP="002348FB">
      <w:pPr>
        <w:pStyle w:val="Paragraphedeliste"/>
      </w:pPr>
    </w:p>
    <w:p w:rsidR="002348FB" w:rsidRDefault="002348FB" w:rsidP="002348FB">
      <w:pPr>
        <w:pStyle w:val="Paragraphedeliste"/>
        <w:numPr>
          <w:ilvl w:val="0"/>
          <w:numId w:val="6"/>
        </w:numPr>
        <w:jc w:val="both"/>
      </w:pPr>
      <w:r>
        <w:t>La dénomination sociale d’une société n’est pas sans valeur pécuniaire car elle peut être cédée, en particulier quand la société est vendue.</w:t>
      </w:r>
    </w:p>
    <w:p w:rsidR="002348FB" w:rsidRPr="002348FB" w:rsidRDefault="002348FB" w:rsidP="002348FB">
      <w:pPr>
        <w:pStyle w:val="Paragraphedeliste"/>
        <w:rPr>
          <w:b/>
          <w:i/>
          <w:sz w:val="28"/>
          <w:szCs w:val="28"/>
          <w:u w:val="single"/>
        </w:rPr>
      </w:pPr>
    </w:p>
    <w:p w:rsidR="003C3FED" w:rsidRPr="002348FB" w:rsidRDefault="003C3FED" w:rsidP="002348FB">
      <w:pPr>
        <w:jc w:val="center"/>
      </w:pPr>
      <w:r w:rsidRPr="002348FB">
        <w:rPr>
          <w:b/>
          <w:i/>
          <w:sz w:val="28"/>
          <w:szCs w:val="28"/>
          <w:u w:val="single"/>
        </w:rPr>
        <w:t>Droit – TP3</w:t>
      </w:r>
    </w:p>
    <w:p w:rsidR="00011CC2" w:rsidRDefault="00011CC2" w:rsidP="0002527B">
      <w:pPr>
        <w:jc w:val="both"/>
        <w:rPr>
          <w:b/>
          <w:color w:val="FF0000"/>
        </w:rPr>
      </w:pPr>
      <w:r>
        <w:rPr>
          <w:b/>
          <w:color w:val="FF0000"/>
        </w:rPr>
        <w:t>MISE EN SITUATION 1</w:t>
      </w:r>
    </w:p>
    <w:p w:rsidR="00011CC2" w:rsidRDefault="002A0021" w:rsidP="0002527B">
      <w:pPr>
        <w:pStyle w:val="Paragraphedeliste"/>
        <w:numPr>
          <w:ilvl w:val="0"/>
          <w:numId w:val="7"/>
        </w:numPr>
        <w:jc w:val="both"/>
      </w:pPr>
      <w:r>
        <w:t xml:space="preserve">Le contrat mis en place entre </w:t>
      </w:r>
      <w:proofErr w:type="spellStart"/>
      <w:r>
        <w:t>Trap</w:t>
      </w:r>
      <w:proofErr w:type="spellEnd"/>
      <w:r>
        <w:t xml:space="preserve"> et </w:t>
      </w:r>
      <w:proofErr w:type="spellStart"/>
      <w:r>
        <w:t>Livrevit</w:t>
      </w:r>
      <w:proofErr w:type="spellEnd"/>
      <w:r>
        <w:t xml:space="preserve"> est un contrat de transport (distribution) de marchandises.</w:t>
      </w:r>
    </w:p>
    <w:p w:rsidR="00174A5E" w:rsidRDefault="00174A5E" w:rsidP="0002527B">
      <w:pPr>
        <w:pStyle w:val="Paragraphedeliste"/>
        <w:jc w:val="both"/>
      </w:pPr>
    </w:p>
    <w:p w:rsidR="00174A5E" w:rsidRDefault="00EC0960" w:rsidP="0002527B">
      <w:pPr>
        <w:pStyle w:val="Paragraphedeliste"/>
        <w:numPr>
          <w:ilvl w:val="0"/>
          <w:numId w:val="7"/>
        </w:numPr>
        <w:jc w:val="both"/>
      </w:pPr>
      <w:r>
        <w:t xml:space="preserve">L’obligation du transporteur est de </w:t>
      </w:r>
      <w:r w:rsidR="00B41C5D">
        <w:t xml:space="preserve">charger, transporter et </w:t>
      </w:r>
      <w:r>
        <w:t>livrer la marchandise négociée dans les délais définis dans le contrat.</w:t>
      </w:r>
      <w:r w:rsidR="00B41C5D">
        <w:t xml:space="preserve"> Ce sont des </w:t>
      </w:r>
      <w:r w:rsidR="00B41C5D" w:rsidRPr="00010F8D">
        <w:rPr>
          <w:color w:val="FF0000"/>
        </w:rPr>
        <w:t>obligations de résultat</w:t>
      </w:r>
      <w:r w:rsidR="00B41C5D">
        <w:t>.</w:t>
      </w:r>
    </w:p>
    <w:p w:rsidR="00174A5E" w:rsidRDefault="00174A5E" w:rsidP="0002527B">
      <w:pPr>
        <w:pStyle w:val="Paragraphedeliste"/>
        <w:jc w:val="both"/>
      </w:pPr>
    </w:p>
    <w:p w:rsidR="00174A5E" w:rsidRDefault="00174A5E" w:rsidP="0002527B">
      <w:pPr>
        <w:pStyle w:val="Paragraphedeliste"/>
        <w:jc w:val="both"/>
      </w:pPr>
    </w:p>
    <w:p w:rsidR="002A0021" w:rsidRDefault="0075292D" w:rsidP="0002527B">
      <w:pPr>
        <w:pStyle w:val="Paragraphedeliste"/>
        <w:numPr>
          <w:ilvl w:val="0"/>
          <w:numId w:val="7"/>
        </w:numPr>
        <w:jc w:val="both"/>
      </w:pPr>
      <w:r>
        <w:t>Le transporteur doit démontrer que l’inexécution du contrat résulte d’un cas de force majeure. Or le vol du chargement est ici un évènement ni irrésistible ni insurmontable.</w:t>
      </w:r>
    </w:p>
    <w:p w:rsidR="002A0021" w:rsidRPr="002A0021" w:rsidRDefault="002A0021" w:rsidP="0002527B">
      <w:pPr>
        <w:ind w:left="360"/>
        <w:jc w:val="both"/>
      </w:pPr>
    </w:p>
    <w:p w:rsidR="002A0021" w:rsidRDefault="002A0021" w:rsidP="0002527B">
      <w:pPr>
        <w:jc w:val="both"/>
        <w:rPr>
          <w:b/>
          <w:color w:val="FF0000"/>
        </w:rPr>
      </w:pPr>
      <w:r>
        <w:rPr>
          <w:b/>
          <w:color w:val="FF0000"/>
        </w:rPr>
        <w:t>MISE EN SITUATION 2</w:t>
      </w:r>
    </w:p>
    <w:p w:rsidR="008F3046" w:rsidRDefault="008F3046" w:rsidP="008F3046">
      <w:pPr>
        <w:pStyle w:val="Paragraphedeliste"/>
        <w:numPr>
          <w:ilvl w:val="0"/>
          <w:numId w:val="8"/>
        </w:numPr>
        <w:jc w:val="both"/>
      </w:pPr>
      <w:r>
        <w:t>Il s’agit d’une clause limitative de responsabilité.</w:t>
      </w:r>
    </w:p>
    <w:p w:rsidR="008F3046" w:rsidRDefault="008F3046" w:rsidP="008F3046">
      <w:pPr>
        <w:pStyle w:val="Paragraphedeliste"/>
        <w:jc w:val="both"/>
      </w:pPr>
    </w:p>
    <w:p w:rsidR="00C45954" w:rsidRDefault="00FF3569" w:rsidP="0002527B">
      <w:pPr>
        <w:pStyle w:val="Paragraphedeliste"/>
        <w:numPr>
          <w:ilvl w:val="0"/>
          <w:numId w:val="8"/>
        </w:numPr>
        <w:jc w:val="both"/>
      </w:pPr>
      <w:r>
        <w:t xml:space="preserve">Cette clause produira ses effets et Chronopost devra verser la somme de 25€ a la société </w:t>
      </w:r>
      <w:proofErr w:type="spellStart"/>
      <w:r>
        <w:t>Trap</w:t>
      </w:r>
      <w:proofErr w:type="spellEnd"/>
      <w:r>
        <w:t xml:space="preserve"> en réparation du préjudice subi.</w:t>
      </w:r>
    </w:p>
    <w:p w:rsidR="008A670A" w:rsidRDefault="008A670A" w:rsidP="0002527B">
      <w:pPr>
        <w:jc w:val="both"/>
      </w:pPr>
    </w:p>
    <w:p w:rsidR="003919C0" w:rsidRDefault="003919C0" w:rsidP="0002527B">
      <w:pPr>
        <w:jc w:val="both"/>
        <w:rPr>
          <w:b/>
          <w:color w:val="FF0000"/>
        </w:rPr>
      </w:pPr>
      <w:r>
        <w:rPr>
          <w:b/>
          <w:color w:val="FF0000"/>
        </w:rPr>
        <w:t>MISE EN SITUATION 3</w:t>
      </w:r>
    </w:p>
    <w:p w:rsidR="003919C0" w:rsidRDefault="003919C0" w:rsidP="0002527B">
      <w:pPr>
        <w:pStyle w:val="Paragraphedeliste"/>
        <w:numPr>
          <w:ilvl w:val="0"/>
          <w:numId w:val="9"/>
        </w:numPr>
        <w:jc w:val="both"/>
      </w:pPr>
      <w:r>
        <w:t>Le contrat peut être qualifié de Synallagmatique car le distributeur fournit un bien contre le paiement d’un prix.</w:t>
      </w:r>
    </w:p>
    <w:p w:rsidR="00174A5E" w:rsidRDefault="00174A5E" w:rsidP="0002527B">
      <w:pPr>
        <w:pStyle w:val="Paragraphedeliste"/>
        <w:jc w:val="both"/>
      </w:pPr>
    </w:p>
    <w:p w:rsidR="003919C0" w:rsidRDefault="003919C0" w:rsidP="0002527B">
      <w:pPr>
        <w:pStyle w:val="Paragraphedeliste"/>
        <w:numPr>
          <w:ilvl w:val="0"/>
          <w:numId w:val="9"/>
        </w:numPr>
        <w:jc w:val="both"/>
      </w:pPr>
      <w:r>
        <w:t>Le distributeur a demandé paiement du bien avant sa livraison, ce qui ne respecte pas le contrat. Alex a donc le droit de le suspendre sous le couvert de l’exception d’inexécution.</w:t>
      </w:r>
    </w:p>
    <w:p w:rsidR="003919C0" w:rsidRDefault="003919C0" w:rsidP="0002527B">
      <w:pPr>
        <w:pStyle w:val="Paragraphedeliste"/>
        <w:jc w:val="both"/>
      </w:pPr>
    </w:p>
    <w:p w:rsidR="003919C0" w:rsidRDefault="003919C0" w:rsidP="0002527B">
      <w:pPr>
        <w:jc w:val="both"/>
        <w:rPr>
          <w:b/>
          <w:color w:val="FF0000"/>
        </w:rPr>
      </w:pPr>
      <w:r>
        <w:rPr>
          <w:b/>
          <w:color w:val="FF0000"/>
        </w:rPr>
        <w:t>MISE EN SITUATION 4</w:t>
      </w:r>
    </w:p>
    <w:p w:rsidR="003919C0" w:rsidRDefault="006376C5" w:rsidP="0002527B">
      <w:pPr>
        <w:pStyle w:val="Paragraphedeliste"/>
        <w:numPr>
          <w:ilvl w:val="0"/>
          <w:numId w:val="11"/>
        </w:numPr>
        <w:jc w:val="both"/>
      </w:pPr>
      <w:r>
        <w:t xml:space="preserve">Le fondement des demandes de la société </w:t>
      </w:r>
      <w:proofErr w:type="spellStart"/>
      <w:r>
        <w:t>Trap</w:t>
      </w:r>
      <w:proofErr w:type="spellEnd"/>
      <w:r>
        <w:t xml:space="preserve"> repose sur l’inexécution des contrats qui la lient à la société </w:t>
      </w:r>
      <w:proofErr w:type="spellStart"/>
      <w:r>
        <w:t>Toulog</w:t>
      </w:r>
      <w:proofErr w:type="spellEnd"/>
      <w:r>
        <w:t>.</w:t>
      </w:r>
    </w:p>
    <w:p w:rsidR="00174A5E" w:rsidRDefault="00174A5E" w:rsidP="0002527B">
      <w:pPr>
        <w:pStyle w:val="Paragraphedeliste"/>
        <w:jc w:val="both"/>
      </w:pPr>
    </w:p>
    <w:p w:rsidR="008D12CF" w:rsidRDefault="008D12CF" w:rsidP="0002527B">
      <w:pPr>
        <w:pStyle w:val="Paragraphedeliste"/>
        <w:numPr>
          <w:ilvl w:val="0"/>
          <w:numId w:val="11"/>
        </w:numPr>
        <w:jc w:val="both"/>
      </w:pPr>
      <w:r>
        <w:t>L’annulation du contrat de fournitures (résolution) stipule que le logiciel doit être désinstallé et le système remis dans son état précédent. L’annulation du contrat d’assistance (résiliation) stipule que l’assistance ne doit plus être fournie à partir de l’annulation.</w:t>
      </w:r>
    </w:p>
    <w:p w:rsidR="008D12CF" w:rsidRDefault="008D12CF" w:rsidP="0002527B">
      <w:pPr>
        <w:pStyle w:val="Paragraphedeliste"/>
        <w:jc w:val="both"/>
      </w:pPr>
    </w:p>
    <w:p w:rsidR="008D12CF" w:rsidRDefault="008D12CF" w:rsidP="0002527B">
      <w:pPr>
        <w:jc w:val="both"/>
        <w:rPr>
          <w:b/>
          <w:color w:val="FF0000"/>
        </w:rPr>
      </w:pPr>
      <w:r>
        <w:rPr>
          <w:b/>
          <w:color w:val="FF0000"/>
        </w:rPr>
        <w:t>MISE EN SITUATION 5</w:t>
      </w:r>
    </w:p>
    <w:p w:rsidR="008D12CF" w:rsidRDefault="00511C30" w:rsidP="0002527B">
      <w:pPr>
        <w:pStyle w:val="Paragraphedeliste"/>
        <w:numPr>
          <w:ilvl w:val="0"/>
          <w:numId w:val="12"/>
        </w:numPr>
        <w:jc w:val="both"/>
      </w:pPr>
      <w:r>
        <w:t>L’acheteur d’un canapé doit connaître, outre son prix, la qualité des matériaux utilisés, les conditions de livraison et les conditions générales de vente.</w:t>
      </w:r>
    </w:p>
    <w:p w:rsidR="00174A5E" w:rsidRDefault="00174A5E" w:rsidP="0002527B">
      <w:pPr>
        <w:pStyle w:val="Paragraphedeliste"/>
        <w:jc w:val="both"/>
      </w:pPr>
    </w:p>
    <w:p w:rsidR="00D15916" w:rsidRDefault="002E0E2A" w:rsidP="0002527B">
      <w:pPr>
        <w:pStyle w:val="Paragraphedeliste"/>
        <w:numPr>
          <w:ilvl w:val="0"/>
          <w:numId w:val="12"/>
        </w:numPr>
        <w:jc w:val="both"/>
      </w:pPr>
      <w:r>
        <w:lastRenderedPageBreak/>
        <w:t>L’assureur doit conseiller Armand Grenier sur l’opportunité de souscrire tel ou tel contrat d’assurance : il doit lui préciser les divers types de placement (assurance vie…) et leurs avantages fiscaux.</w:t>
      </w:r>
    </w:p>
    <w:p w:rsidR="00D15916" w:rsidRDefault="00D15916" w:rsidP="0002527B">
      <w:pPr>
        <w:jc w:val="both"/>
      </w:pPr>
    </w:p>
    <w:p w:rsidR="00D15916" w:rsidRDefault="00D15916" w:rsidP="0002527B">
      <w:pPr>
        <w:jc w:val="both"/>
        <w:rPr>
          <w:b/>
          <w:color w:val="FF0000"/>
        </w:rPr>
      </w:pPr>
      <w:r>
        <w:rPr>
          <w:b/>
          <w:color w:val="FF0000"/>
        </w:rPr>
        <w:t>MISE EN SITUATION 6</w:t>
      </w:r>
    </w:p>
    <w:p w:rsidR="00D15916" w:rsidRDefault="006821D9" w:rsidP="0002527B">
      <w:pPr>
        <w:pStyle w:val="Paragraphedeliste"/>
        <w:numPr>
          <w:ilvl w:val="0"/>
          <w:numId w:val="13"/>
        </w:numPr>
        <w:jc w:val="both"/>
      </w:pPr>
      <w:r>
        <w:t>Joëlle</w:t>
      </w:r>
      <w:r w:rsidR="00997C7A">
        <w:t xml:space="preserve"> Grenier peut exercer son droit de rétractation </w:t>
      </w:r>
      <w:r w:rsidR="00A4143F">
        <w:t>sous 14</w:t>
      </w:r>
      <w:r w:rsidR="00997C7A">
        <w:t xml:space="preserve"> jours, car elle a été informée de son droit de rétractation.</w:t>
      </w:r>
    </w:p>
    <w:p w:rsidR="00174A5E" w:rsidRDefault="00174A5E" w:rsidP="0002527B">
      <w:pPr>
        <w:pStyle w:val="Paragraphedeliste"/>
        <w:jc w:val="both"/>
      </w:pPr>
    </w:p>
    <w:p w:rsidR="00997C7A" w:rsidRDefault="002E0E2A" w:rsidP="0002527B">
      <w:pPr>
        <w:pStyle w:val="Paragraphedeliste"/>
        <w:numPr>
          <w:ilvl w:val="0"/>
          <w:numId w:val="13"/>
        </w:numPr>
        <w:jc w:val="both"/>
      </w:pPr>
      <w:r>
        <w:t xml:space="preserve">Le droit de </w:t>
      </w:r>
      <w:proofErr w:type="spellStart"/>
      <w:r>
        <w:t>retractation</w:t>
      </w:r>
      <w:proofErr w:type="spellEnd"/>
      <w:r>
        <w:t xml:space="preserve"> doit s’exercer sans entraves : Joëlle ne peut être contrainte à aucun dédommagement. Elle ne court donc aucun risque en usant de ce droit.</w:t>
      </w:r>
    </w:p>
    <w:p w:rsidR="00174A5E" w:rsidRDefault="00174A5E" w:rsidP="0002527B">
      <w:pPr>
        <w:pStyle w:val="Paragraphedeliste"/>
        <w:jc w:val="both"/>
      </w:pPr>
    </w:p>
    <w:p w:rsidR="00174A5E" w:rsidRDefault="00174A5E" w:rsidP="0002527B">
      <w:pPr>
        <w:pStyle w:val="Paragraphedeliste"/>
        <w:jc w:val="both"/>
      </w:pPr>
    </w:p>
    <w:p w:rsidR="00A4143F" w:rsidRDefault="006821D9" w:rsidP="0002527B">
      <w:pPr>
        <w:pStyle w:val="Paragraphedeliste"/>
        <w:numPr>
          <w:ilvl w:val="0"/>
          <w:numId w:val="13"/>
        </w:numPr>
        <w:jc w:val="both"/>
      </w:pPr>
      <w:r>
        <w:t xml:space="preserve">Le droit de </w:t>
      </w:r>
      <w:r w:rsidR="0037193A">
        <w:t>repentir</w:t>
      </w:r>
      <w:r>
        <w:t xml:space="preserve"> du consommateur peut se justifier car :</w:t>
      </w:r>
    </w:p>
    <w:p w:rsidR="006821D9" w:rsidRDefault="006821D9" w:rsidP="0002527B">
      <w:pPr>
        <w:pStyle w:val="Paragraphedeliste"/>
        <w:numPr>
          <w:ilvl w:val="3"/>
          <w:numId w:val="13"/>
        </w:numPr>
        <w:jc w:val="both"/>
      </w:pPr>
      <w:r>
        <w:t>Le produit</w:t>
      </w:r>
      <w:r w:rsidR="0037193A">
        <w:t>/service</w:t>
      </w:r>
      <w:r>
        <w:t xml:space="preserve"> peut avoir fait l’objet de publicité mensongère</w:t>
      </w:r>
      <w:r w:rsidR="0037193A">
        <w:t>.</w:t>
      </w:r>
    </w:p>
    <w:p w:rsidR="00FC5052" w:rsidRDefault="0037193A" w:rsidP="0002527B">
      <w:pPr>
        <w:pStyle w:val="Paragraphedeliste"/>
        <w:numPr>
          <w:ilvl w:val="3"/>
          <w:numId w:val="13"/>
        </w:numPr>
        <w:jc w:val="both"/>
      </w:pPr>
      <w:bookmarkStart w:id="0" w:name="_GoBack"/>
      <w:bookmarkEnd w:id="0"/>
      <w:r>
        <w:t xml:space="preserve">Le produit/service peut être </w:t>
      </w:r>
      <w:r w:rsidR="00FC5052">
        <w:t>défectueux ou inefficace.</w:t>
      </w:r>
    </w:p>
    <w:p w:rsidR="00174A5E" w:rsidRDefault="00174A5E" w:rsidP="0002527B">
      <w:pPr>
        <w:pStyle w:val="Paragraphedeliste"/>
        <w:ind w:left="2880"/>
        <w:jc w:val="both"/>
      </w:pPr>
    </w:p>
    <w:p w:rsidR="007423A7" w:rsidRDefault="007423A7" w:rsidP="0002527B">
      <w:pPr>
        <w:pStyle w:val="Paragraphedeliste"/>
        <w:numPr>
          <w:ilvl w:val="0"/>
          <w:numId w:val="13"/>
        </w:numPr>
        <w:jc w:val="both"/>
      </w:pPr>
      <w:r>
        <w:t>Si le contrat est signé sur le lieu de vente</w:t>
      </w:r>
      <w:r w:rsidR="00F3494E">
        <w:t>, il n’y a pas de délai de rétractation pour un contrat de consommation car il est considéré que le client est assez informé sur le produit/service pour pouvoir faire son choix.</w:t>
      </w:r>
    </w:p>
    <w:p w:rsidR="00174A5E" w:rsidRDefault="00174A5E" w:rsidP="0002527B">
      <w:pPr>
        <w:jc w:val="both"/>
        <w:rPr>
          <w:b/>
          <w:color w:val="FF0000"/>
        </w:rPr>
      </w:pPr>
    </w:p>
    <w:p w:rsidR="00F3494E" w:rsidRDefault="00F3494E" w:rsidP="0002527B">
      <w:pPr>
        <w:jc w:val="both"/>
        <w:rPr>
          <w:b/>
          <w:color w:val="FF0000"/>
        </w:rPr>
      </w:pPr>
      <w:r>
        <w:rPr>
          <w:b/>
          <w:color w:val="FF0000"/>
        </w:rPr>
        <w:t>MISE EN SITUATION 7</w:t>
      </w:r>
    </w:p>
    <w:p w:rsidR="00F3494E" w:rsidRDefault="002C6412" w:rsidP="0002527B">
      <w:pPr>
        <w:pStyle w:val="Paragraphedeliste"/>
        <w:numPr>
          <w:ilvl w:val="0"/>
          <w:numId w:val="14"/>
        </w:numPr>
        <w:jc w:val="both"/>
      </w:pPr>
      <w:r>
        <w:t>Liste noire car les clauses lui paraissent très désavantageuses.</w:t>
      </w:r>
    </w:p>
    <w:p w:rsidR="00174A5E" w:rsidRDefault="00174A5E" w:rsidP="0002527B">
      <w:pPr>
        <w:pStyle w:val="Paragraphedeliste"/>
        <w:jc w:val="both"/>
      </w:pPr>
    </w:p>
    <w:p w:rsidR="00262FBB" w:rsidRDefault="00503150" w:rsidP="00ED72F3">
      <w:pPr>
        <w:pStyle w:val="Paragraphedeliste"/>
        <w:numPr>
          <w:ilvl w:val="0"/>
          <w:numId w:val="14"/>
        </w:numPr>
        <w:jc w:val="both"/>
      </w:pPr>
      <w:r>
        <w:t xml:space="preserve">Cette distinction est importante car </w:t>
      </w:r>
      <w:r w:rsidR="00BB50E3">
        <w:t>certaines clauses, bien qu’elles peuvent paraitre abusives, peuvent en réalité se justifier</w:t>
      </w:r>
      <w:r w:rsidR="00392DEB">
        <w:t>.</w:t>
      </w:r>
    </w:p>
    <w:p w:rsidR="00262FBB" w:rsidRDefault="00262FBB" w:rsidP="00262FBB">
      <w:pPr>
        <w:pStyle w:val="Paragraphedeliste"/>
        <w:jc w:val="both"/>
      </w:pPr>
    </w:p>
    <w:p w:rsidR="00B11167" w:rsidRDefault="002C6412" w:rsidP="00D15916">
      <w:pPr>
        <w:pStyle w:val="Paragraphedeliste"/>
        <w:numPr>
          <w:ilvl w:val="0"/>
          <w:numId w:val="14"/>
        </w:numPr>
        <w:jc w:val="both"/>
      </w:pPr>
      <w:r>
        <w:t>Non car ce déséquilibre peut résulter d’un malentendu.</w:t>
      </w:r>
    </w:p>
    <w:p w:rsidR="008D12CF" w:rsidRPr="003919C0" w:rsidRDefault="008D12CF" w:rsidP="008D12CF">
      <w:pPr>
        <w:ind w:left="360"/>
        <w:jc w:val="both"/>
      </w:pPr>
    </w:p>
    <w:p w:rsidR="003919C0" w:rsidRDefault="003919C0" w:rsidP="003919C0">
      <w:pPr>
        <w:jc w:val="both"/>
      </w:pPr>
    </w:p>
    <w:p w:rsidR="003919C0" w:rsidRPr="002A0021" w:rsidRDefault="003919C0" w:rsidP="003919C0">
      <w:pPr>
        <w:jc w:val="both"/>
      </w:pPr>
    </w:p>
    <w:p w:rsidR="002A0021" w:rsidRPr="00875FED" w:rsidRDefault="002A0021" w:rsidP="002A0021">
      <w:pPr>
        <w:jc w:val="both"/>
      </w:pPr>
    </w:p>
    <w:p w:rsidR="003C3FED" w:rsidRPr="00683BBD" w:rsidRDefault="003C3FED" w:rsidP="00011CC2"/>
    <w:sectPr w:rsidR="003C3FED" w:rsidRPr="00683B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019"/>
    <w:multiLevelType w:val="hybridMultilevel"/>
    <w:tmpl w:val="913C0CD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06057F"/>
    <w:multiLevelType w:val="hybridMultilevel"/>
    <w:tmpl w:val="8780C3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35C15"/>
    <w:multiLevelType w:val="hybridMultilevel"/>
    <w:tmpl w:val="62421316"/>
    <w:lvl w:ilvl="0" w:tplc="A04874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E76EC5"/>
    <w:multiLevelType w:val="hybridMultilevel"/>
    <w:tmpl w:val="7EDE6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453FD4"/>
    <w:multiLevelType w:val="hybridMultilevel"/>
    <w:tmpl w:val="97FC24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E1207A"/>
    <w:multiLevelType w:val="hybridMultilevel"/>
    <w:tmpl w:val="47E44E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8281528"/>
    <w:multiLevelType w:val="hybridMultilevel"/>
    <w:tmpl w:val="77906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705F78"/>
    <w:multiLevelType w:val="hybridMultilevel"/>
    <w:tmpl w:val="8780C3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DD6FE9"/>
    <w:multiLevelType w:val="hybridMultilevel"/>
    <w:tmpl w:val="DF205F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0252B6"/>
    <w:multiLevelType w:val="hybridMultilevel"/>
    <w:tmpl w:val="CF06D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A55911"/>
    <w:multiLevelType w:val="hybridMultilevel"/>
    <w:tmpl w:val="A2FC313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C109EB"/>
    <w:multiLevelType w:val="hybridMultilevel"/>
    <w:tmpl w:val="7EDE6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AC2EFA"/>
    <w:multiLevelType w:val="hybridMultilevel"/>
    <w:tmpl w:val="60E6E9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5A33F8"/>
    <w:multiLevelType w:val="hybridMultilevel"/>
    <w:tmpl w:val="913C0CD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3557ED"/>
    <w:multiLevelType w:val="hybridMultilevel"/>
    <w:tmpl w:val="7EDE6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8"/>
  </w:num>
  <w:num w:numId="5">
    <w:abstractNumId w:val="5"/>
  </w:num>
  <w:num w:numId="6">
    <w:abstractNumId w:val="9"/>
  </w:num>
  <w:num w:numId="7">
    <w:abstractNumId w:val="12"/>
  </w:num>
  <w:num w:numId="8">
    <w:abstractNumId w:val="3"/>
  </w:num>
  <w:num w:numId="9">
    <w:abstractNumId w:val="11"/>
  </w:num>
  <w:num w:numId="10">
    <w:abstractNumId w:val="14"/>
  </w:num>
  <w:num w:numId="11">
    <w:abstractNumId w:val="7"/>
  </w:num>
  <w:num w:numId="12">
    <w:abstractNumId w:val="1"/>
  </w:num>
  <w:num w:numId="13">
    <w:abstractNumId w:val="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85"/>
    <w:rsid w:val="00010F8D"/>
    <w:rsid w:val="00011CC2"/>
    <w:rsid w:val="0002527B"/>
    <w:rsid w:val="00041DD1"/>
    <w:rsid w:val="00086068"/>
    <w:rsid w:val="000B6E1D"/>
    <w:rsid w:val="000C09AF"/>
    <w:rsid w:val="000C67B9"/>
    <w:rsid w:val="00174A5E"/>
    <w:rsid w:val="0019657A"/>
    <w:rsid w:val="002348FB"/>
    <w:rsid w:val="00262FBB"/>
    <w:rsid w:val="00267BF0"/>
    <w:rsid w:val="00267D3B"/>
    <w:rsid w:val="0027463B"/>
    <w:rsid w:val="0028084A"/>
    <w:rsid w:val="002A0021"/>
    <w:rsid w:val="002C6412"/>
    <w:rsid w:val="002E0E2A"/>
    <w:rsid w:val="003423A1"/>
    <w:rsid w:val="00353B2B"/>
    <w:rsid w:val="0037193A"/>
    <w:rsid w:val="003919C0"/>
    <w:rsid w:val="00392DEB"/>
    <w:rsid w:val="003B1C0A"/>
    <w:rsid w:val="003B2CAD"/>
    <w:rsid w:val="003C3FED"/>
    <w:rsid w:val="003E595F"/>
    <w:rsid w:val="003E5FF2"/>
    <w:rsid w:val="00426C1F"/>
    <w:rsid w:val="00461BD3"/>
    <w:rsid w:val="004966CD"/>
    <w:rsid w:val="00503150"/>
    <w:rsid w:val="00511C30"/>
    <w:rsid w:val="005B2BF0"/>
    <w:rsid w:val="005D1CA2"/>
    <w:rsid w:val="005E3C2C"/>
    <w:rsid w:val="00627F44"/>
    <w:rsid w:val="006376C5"/>
    <w:rsid w:val="0068115D"/>
    <w:rsid w:val="006821D9"/>
    <w:rsid w:val="00683BBD"/>
    <w:rsid w:val="006A2B60"/>
    <w:rsid w:val="006E2F3A"/>
    <w:rsid w:val="007423A7"/>
    <w:rsid w:val="0075292D"/>
    <w:rsid w:val="00773362"/>
    <w:rsid w:val="007C0B9A"/>
    <w:rsid w:val="007E4CF4"/>
    <w:rsid w:val="007F110F"/>
    <w:rsid w:val="007F5286"/>
    <w:rsid w:val="00875FED"/>
    <w:rsid w:val="008A670A"/>
    <w:rsid w:val="008D12CF"/>
    <w:rsid w:val="008F3046"/>
    <w:rsid w:val="008F6D96"/>
    <w:rsid w:val="00970DDF"/>
    <w:rsid w:val="00997C7A"/>
    <w:rsid w:val="00A36D85"/>
    <w:rsid w:val="00A4143F"/>
    <w:rsid w:val="00A44B50"/>
    <w:rsid w:val="00AD2DE5"/>
    <w:rsid w:val="00B11167"/>
    <w:rsid w:val="00B24476"/>
    <w:rsid w:val="00B32517"/>
    <w:rsid w:val="00B41C5D"/>
    <w:rsid w:val="00BB50E3"/>
    <w:rsid w:val="00BD6DA9"/>
    <w:rsid w:val="00C31EDC"/>
    <w:rsid w:val="00C45954"/>
    <w:rsid w:val="00CC501D"/>
    <w:rsid w:val="00D15916"/>
    <w:rsid w:val="00D60AD3"/>
    <w:rsid w:val="00D7682A"/>
    <w:rsid w:val="00E64A2E"/>
    <w:rsid w:val="00E95970"/>
    <w:rsid w:val="00EA3874"/>
    <w:rsid w:val="00EC0960"/>
    <w:rsid w:val="00EC5C4B"/>
    <w:rsid w:val="00ED72F3"/>
    <w:rsid w:val="00EE39E3"/>
    <w:rsid w:val="00F022C3"/>
    <w:rsid w:val="00F14B4D"/>
    <w:rsid w:val="00F3494E"/>
    <w:rsid w:val="00F51D3F"/>
    <w:rsid w:val="00FB1EB9"/>
    <w:rsid w:val="00FC5052"/>
    <w:rsid w:val="00FE3450"/>
    <w:rsid w:val="00FF35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C986E"/>
  <w15:chartTrackingRefBased/>
  <w15:docId w15:val="{7E7E53AE-081D-4379-9BC6-677C1B34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3BBD"/>
    <w:pPr>
      <w:ind w:left="720"/>
      <w:contextualSpacing/>
    </w:pPr>
  </w:style>
  <w:style w:type="table" w:styleId="Grilledutableau">
    <w:name w:val="Table Grid"/>
    <w:basedOn w:val="TableauNormal"/>
    <w:uiPriority w:val="39"/>
    <w:rsid w:val="0068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9E3"/>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semiHidden/>
    <w:unhideWhenUsed/>
    <w:rsid w:val="000B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227B-0D53-4D67-9781-6EB0C1C2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1340</Words>
  <Characters>6628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Murillo</dc:creator>
  <cp:keywords/>
  <dc:description/>
  <cp:lastModifiedBy>Arthur Murillo</cp:lastModifiedBy>
  <cp:revision>90</cp:revision>
  <dcterms:created xsi:type="dcterms:W3CDTF">2019-05-13T07:44:00Z</dcterms:created>
  <dcterms:modified xsi:type="dcterms:W3CDTF">2019-06-03T13:31:00Z</dcterms:modified>
</cp:coreProperties>
</file>