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A4" w:rsidRDefault="00683BBD">
      <w:r>
        <w:t>Murillo Arthur</w:t>
      </w:r>
    </w:p>
    <w:p w:rsidR="00683BBD" w:rsidRDefault="00683BBD">
      <w:r>
        <w:t>TD2 | TP4</w:t>
      </w:r>
    </w:p>
    <w:p w:rsidR="00683BBD" w:rsidRDefault="00683BBD"/>
    <w:p w:rsidR="003C3FED" w:rsidRDefault="00B71A30" w:rsidP="00445925">
      <w:pPr>
        <w:jc w:val="center"/>
        <w:rPr>
          <w:b/>
          <w:i/>
          <w:sz w:val="28"/>
          <w:szCs w:val="28"/>
          <w:u w:val="single"/>
        </w:rPr>
      </w:pPr>
      <w:r>
        <w:rPr>
          <w:b/>
          <w:i/>
          <w:sz w:val="28"/>
          <w:szCs w:val="28"/>
          <w:u w:val="single"/>
        </w:rPr>
        <w:t>Contrat de travail – TP4</w:t>
      </w:r>
    </w:p>
    <w:p w:rsidR="00445925" w:rsidRDefault="00445925" w:rsidP="00445925">
      <w:pPr>
        <w:rPr>
          <w:b/>
          <w:color w:val="FF0000"/>
        </w:rPr>
      </w:pPr>
      <w:r>
        <w:rPr>
          <w:b/>
          <w:color w:val="FF0000"/>
        </w:rPr>
        <w:t>Droit du recrutement et respect des droits fondamentaux</w:t>
      </w:r>
    </w:p>
    <w:p w:rsidR="00F061E1" w:rsidRPr="00F061E1" w:rsidRDefault="00F061E1" w:rsidP="00445925">
      <w:pPr>
        <w:rPr>
          <w:b/>
          <w:i/>
          <w:color w:val="000000" w:themeColor="text1"/>
          <w:u w:val="single"/>
        </w:rPr>
      </w:pPr>
      <w:r w:rsidRPr="00F061E1">
        <w:rPr>
          <w:b/>
          <w:i/>
          <w:color w:val="000000" w:themeColor="text1"/>
          <w:u w:val="single"/>
        </w:rPr>
        <w:t>L’encadrement du droit du recrutement</w:t>
      </w:r>
    </w:p>
    <w:p w:rsidR="00445925" w:rsidRDefault="001005F9" w:rsidP="00F061E1">
      <w:pPr>
        <w:pStyle w:val="Paragraphedeliste"/>
        <w:numPr>
          <w:ilvl w:val="0"/>
          <w:numId w:val="16"/>
        </w:numPr>
        <w:jc w:val="both"/>
        <w:rPr>
          <w:color w:val="000000" w:themeColor="text1"/>
          <w:sz w:val="20"/>
          <w:szCs w:val="20"/>
        </w:rPr>
      </w:pPr>
      <w:r>
        <w:rPr>
          <w:color w:val="000000" w:themeColor="text1"/>
          <w:sz w:val="20"/>
          <w:szCs w:val="20"/>
        </w:rPr>
        <w:t xml:space="preserve">Oui, mais ce choix ne doit pas être discriminatoire (en fonction d’une ethnie, religion, sexe, orientation sexuelle, âge, situation </w:t>
      </w:r>
      <w:r w:rsidR="00381976">
        <w:rPr>
          <w:color w:val="000000" w:themeColor="text1"/>
          <w:sz w:val="20"/>
          <w:szCs w:val="20"/>
        </w:rPr>
        <w:t>physique, etc.…</w:t>
      </w:r>
      <w:r>
        <w:rPr>
          <w:color w:val="000000" w:themeColor="text1"/>
          <w:sz w:val="20"/>
          <w:szCs w:val="20"/>
        </w:rPr>
        <w:t>)</w:t>
      </w:r>
      <w:r w:rsidR="005C1081">
        <w:rPr>
          <w:color w:val="000000" w:themeColor="text1"/>
          <w:sz w:val="20"/>
          <w:szCs w:val="20"/>
        </w:rPr>
        <w:t>. (</w:t>
      </w:r>
      <w:r w:rsidR="00480B21">
        <w:rPr>
          <w:color w:val="000000" w:themeColor="text1"/>
          <w:sz w:val="20"/>
          <w:szCs w:val="20"/>
        </w:rPr>
        <w:t>Article</w:t>
      </w:r>
      <w:r w:rsidR="005C1081">
        <w:rPr>
          <w:color w:val="000000" w:themeColor="text1"/>
          <w:sz w:val="20"/>
          <w:szCs w:val="20"/>
        </w:rPr>
        <w:t xml:space="preserve"> L1132-1 du code du travail)</w:t>
      </w:r>
    </w:p>
    <w:p w:rsidR="00381976" w:rsidRDefault="00F26210" w:rsidP="00F061E1">
      <w:pPr>
        <w:pStyle w:val="Paragraphedeliste"/>
        <w:numPr>
          <w:ilvl w:val="0"/>
          <w:numId w:val="16"/>
        </w:numPr>
        <w:jc w:val="both"/>
        <w:rPr>
          <w:color w:val="000000" w:themeColor="text1"/>
          <w:sz w:val="20"/>
          <w:szCs w:val="20"/>
        </w:rPr>
      </w:pPr>
      <w:r>
        <w:rPr>
          <w:color w:val="000000" w:themeColor="text1"/>
          <w:sz w:val="20"/>
          <w:szCs w:val="20"/>
        </w:rPr>
        <w:t>Non, l’employeur doit informer le candidat au préalabl</w:t>
      </w:r>
      <w:r w:rsidR="005C1081">
        <w:rPr>
          <w:color w:val="000000" w:themeColor="text1"/>
          <w:sz w:val="20"/>
          <w:szCs w:val="20"/>
        </w:rPr>
        <w:t>e des techniques de recrutement prises à son égard. (</w:t>
      </w:r>
      <w:r w:rsidR="00480B21">
        <w:rPr>
          <w:color w:val="000000" w:themeColor="text1"/>
          <w:sz w:val="20"/>
          <w:szCs w:val="20"/>
        </w:rPr>
        <w:t>Article</w:t>
      </w:r>
      <w:r w:rsidR="005C1081">
        <w:rPr>
          <w:color w:val="000000" w:themeColor="text1"/>
          <w:sz w:val="20"/>
          <w:szCs w:val="20"/>
        </w:rPr>
        <w:t xml:space="preserve"> L1221-8 du code du travail)</w:t>
      </w:r>
    </w:p>
    <w:p w:rsidR="007D3748" w:rsidRDefault="002217E3" w:rsidP="00F061E1">
      <w:pPr>
        <w:pStyle w:val="Paragraphedeliste"/>
        <w:numPr>
          <w:ilvl w:val="0"/>
          <w:numId w:val="16"/>
        </w:numPr>
        <w:jc w:val="both"/>
        <w:rPr>
          <w:color w:val="000000" w:themeColor="text1"/>
          <w:sz w:val="20"/>
          <w:szCs w:val="20"/>
        </w:rPr>
      </w:pPr>
      <w:r>
        <w:rPr>
          <w:color w:val="000000" w:themeColor="text1"/>
          <w:sz w:val="20"/>
          <w:szCs w:val="20"/>
        </w:rPr>
        <w:t>Pour s’assurer qu’aucune discrimination n’est commise à l’encontre de l’employé lors du recrutement, ou du licenciement.</w:t>
      </w:r>
    </w:p>
    <w:p w:rsidR="00F061E1" w:rsidRPr="00F061E1" w:rsidRDefault="00F061E1" w:rsidP="00F061E1">
      <w:pPr>
        <w:rPr>
          <w:b/>
          <w:i/>
          <w:color w:val="000000" w:themeColor="text1"/>
          <w:u w:val="single"/>
        </w:rPr>
      </w:pPr>
      <w:r>
        <w:rPr>
          <w:b/>
          <w:i/>
          <w:color w:val="000000" w:themeColor="text1"/>
          <w:u w:val="single"/>
        </w:rPr>
        <w:t>Respect de l’égalité de traitement</w:t>
      </w:r>
    </w:p>
    <w:p w:rsidR="00F061E1" w:rsidRDefault="00F139FB" w:rsidP="00F139FB">
      <w:pPr>
        <w:pStyle w:val="Paragraphedeliste"/>
        <w:numPr>
          <w:ilvl w:val="0"/>
          <w:numId w:val="17"/>
        </w:numPr>
        <w:jc w:val="both"/>
        <w:rPr>
          <w:color w:val="000000" w:themeColor="text1"/>
          <w:sz w:val="20"/>
          <w:szCs w:val="20"/>
        </w:rPr>
      </w:pPr>
      <w:r>
        <w:rPr>
          <w:color w:val="000000" w:themeColor="text1"/>
          <w:sz w:val="20"/>
          <w:szCs w:val="20"/>
        </w:rPr>
        <w:t>La discrimination à l’embauche consiste à écarter d’une procédure de recrutement une personne physique en fonction de son origine, situation familiale, opinion politique, âge, orientations sexuelle, sexe, …</w:t>
      </w:r>
    </w:p>
    <w:p w:rsidR="00F139FB" w:rsidRDefault="00F139FB" w:rsidP="00F139FB">
      <w:pPr>
        <w:pStyle w:val="Paragraphedeliste"/>
        <w:numPr>
          <w:ilvl w:val="0"/>
          <w:numId w:val="17"/>
        </w:numPr>
        <w:jc w:val="both"/>
        <w:rPr>
          <w:color w:val="000000" w:themeColor="text1"/>
          <w:sz w:val="20"/>
          <w:szCs w:val="20"/>
        </w:rPr>
      </w:pPr>
      <w:r>
        <w:rPr>
          <w:color w:val="000000" w:themeColor="text1"/>
          <w:sz w:val="20"/>
          <w:szCs w:val="20"/>
        </w:rPr>
        <w:t>Cette annonce n’est pas conforme à la loi car elle demande un âge, un sexe, et une situation familiale particulière.</w:t>
      </w:r>
    </w:p>
    <w:p w:rsidR="00F139FB" w:rsidRDefault="00F139FB" w:rsidP="00F139FB">
      <w:pPr>
        <w:pStyle w:val="Paragraphedeliste"/>
        <w:numPr>
          <w:ilvl w:val="0"/>
          <w:numId w:val="17"/>
        </w:numPr>
        <w:jc w:val="both"/>
        <w:rPr>
          <w:color w:val="000000" w:themeColor="text1"/>
          <w:sz w:val="20"/>
          <w:szCs w:val="20"/>
        </w:rPr>
      </w:pPr>
      <w:r>
        <w:rPr>
          <w:color w:val="000000" w:themeColor="text1"/>
          <w:sz w:val="20"/>
          <w:szCs w:val="20"/>
        </w:rPr>
        <w:t>Il existe des conséquences juridiques : 3 ans d’emprisonnement et 45 000 euros d’amende selon l’article 225-2 du code pénal.</w:t>
      </w:r>
    </w:p>
    <w:p w:rsidR="001B0AA6" w:rsidRPr="001B0AA6" w:rsidRDefault="001B0AA6" w:rsidP="001B0AA6">
      <w:pPr>
        <w:rPr>
          <w:b/>
          <w:color w:val="FF0000"/>
        </w:rPr>
      </w:pPr>
      <w:r>
        <w:rPr>
          <w:b/>
          <w:color w:val="FF0000"/>
        </w:rPr>
        <w:t>Le contrat de travail et le régime du salarié</w:t>
      </w:r>
    </w:p>
    <w:p w:rsidR="00F139FB" w:rsidRPr="00F061E1" w:rsidRDefault="00F139FB" w:rsidP="00F139FB">
      <w:pPr>
        <w:rPr>
          <w:b/>
          <w:i/>
          <w:color w:val="000000" w:themeColor="text1"/>
          <w:u w:val="single"/>
        </w:rPr>
      </w:pPr>
      <w:r>
        <w:rPr>
          <w:b/>
          <w:i/>
          <w:color w:val="000000" w:themeColor="text1"/>
          <w:u w:val="single"/>
        </w:rPr>
        <w:t>Définition, droits et obligations des parties</w:t>
      </w:r>
    </w:p>
    <w:p w:rsidR="00F139FB" w:rsidRDefault="00F139FB" w:rsidP="00F139FB">
      <w:pPr>
        <w:pStyle w:val="Paragraphedeliste"/>
        <w:numPr>
          <w:ilvl w:val="0"/>
          <w:numId w:val="18"/>
        </w:numPr>
        <w:jc w:val="both"/>
        <w:rPr>
          <w:color w:val="000000" w:themeColor="text1"/>
          <w:sz w:val="20"/>
          <w:szCs w:val="20"/>
        </w:rPr>
      </w:pPr>
      <w:r>
        <w:rPr>
          <w:color w:val="000000" w:themeColor="text1"/>
          <w:sz w:val="20"/>
          <w:szCs w:val="20"/>
        </w:rPr>
        <w:t xml:space="preserve">Les éléments qui définissent le régime juridique du salarié sont le versement </w:t>
      </w:r>
      <w:r w:rsidR="0005716E">
        <w:rPr>
          <w:color w:val="000000" w:themeColor="text1"/>
          <w:sz w:val="20"/>
          <w:szCs w:val="20"/>
        </w:rPr>
        <w:t>d’une rémunération et l’existence d’un lien de subordination.</w:t>
      </w:r>
    </w:p>
    <w:p w:rsidR="0005716E" w:rsidRDefault="00C21CEA" w:rsidP="00F139FB">
      <w:pPr>
        <w:pStyle w:val="Paragraphedeliste"/>
        <w:numPr>
          <w:ilvl w:val="0"/>
          <w:numId w:val="18"/>
        </w:numPr>
        <w:jc w:val="both"/>
        <w:rPr>
          <w:color w:val="000000" w:themeColor="text1"/>
          <w:sz w:val="20"/>
          <w:szCs w:val="20"/>
        </w:rPr>
      </w:pPr>
      <w:r>
        <w:rPr>
          <w:color w:val="000000" w:themeColor="text1"/>
          <w:sz w:val="20"/>
          <w:szCs w:val="20"/>
        </w:rPr>
        <w:t>Oui</w:t>
      </w:r>
      <w:r w:rsidR="00D468CC">
        <w:rPr>
          <w:color w:val="000000" w:themeColor="text1"/>
          <w:sz w:val="20"/>
          <w:szCs w:val="20"/>
        </w:rPr>
        <w:t>.</w:t>
      </w:r>
    </w:p>
    <w:p w:rsidR="00C21CEA" w:rsidRPr="00C21CEA" w:rsidRDefault="00416DF9" w:rsidP="00C21CEA">
      <w:pPr>
        <w:jc w:val="both"/>
        <w:rPr>
          <w:color w:val="000000" w:themeColor="text1"/>
          <w:sz w:val="20"/>
          <w:szCs w:val="20"/>
        </w:rPr>
      </w:pPr>
      <w:r>
        <w:rPr>
          <w:b/>
          <w:i/>
          <w:color w:val="000000" w:themeColor="text1"/>
          <w:u w:val="single"/>
        </w:rPr>
        <w:t>Le choix du contrat de travail</w:t>
      </w:r>
    </w:p>
    <w:p w:rsidR="00416DF9" w:rsidRDefault="00416DF9" w:rsidP="00416DF9">
      <w:pPr>
        <w:pStyle w:val="Paragraphedeliste"/>
        <w:numPr>
          <w:ilvl w:val="0"/>
          <w:numId w:val="19"/>
        </w:numPr>
        <w:jc w:val="both"/>
        <w:rPr>
          <w:color w:val="000000" w:themeColor="text1"/>
          <w:sz w:val="20"/>
          <w:szCs w:val="20"/>
        </w:rPr>
      </w:pPr>
      <w:r>
        <w:rPr>
          <w:color w:val="000000" w:themeColor="text1"/>
          <w:sz w:val="20"/>
          <w:szCs w:val="20"/>
        </w:rPr>
        <w:t>Voir feuille</w:t>
      </w:r>
      <w:r w:rsidR="00023DBF">
        <w:rPr>
          <w:color w:val="000000" w:themeColor="text1"/>
          <w:sz w:val="20"/>
          <w:szCs w:val="20"/>
        </w:rPr>
        <w:t>.</w:t>
      </w:r>
    </w:p>
    <w:p w:rsidR="003C3FED" w:rsidRDefault="008F16B0" w:rsidP="00385906">
      <w:pPr>
        <w:pStyle w:val="Paragraphedeliste"/>
        <w:numPr>
          <w:ilvl w:val="0"/>
          <w:numId w:val="19"/>
        </w:numPr>
        <w:jc w:val="both"/>
        <w:rPr>
          <w:color w:val="000000" w:themeColor="text1"/>
          <w:sz w:val="20"/>
          <w:szCs w:val="20"/>
        </w:rPr>
      </w:pPr>
      <w:r>
        <w:rPr>
          <w:color w:val="000000" w:themeColor="text1"/>
          <w:sz w:val="20"/>
          <w:szCs w:val="20"/>
        </w:rPr>
        <w:t>Les parties concernées</w:t>
      </w:r>
      <w:r w:rsidR="00023DBF">
        <w:rPr>
          <w:color w:val="000000" w:themeColor="text1"/>
          <w:sz w:val="20"/>
          <w:szCs w:val="20"/>
        </w:rPr>
        <w:t xml:space="preserve"> par le CTT</w:t>
      </w:r>
      <w:r>
        <w:rPr>
          <w:color w:val="000000" w:themeColor="text1"/>
          <w:sz w:val="20"/>
          <w:szCs w:val="20"/>
        </w:rPr>
        <w:t xml:space="preserve"> sont : l’intérimaire, l’entreprise d’intérim ainsi que l’entreprise utilisatrice</w:t>
      </w:r>
      <w:r w:rsidR="00023DBF">
        <w:rPr>
          <w:color w:val="000000" w:themeColor="text1"/>
          <w:sz w:val="20"/>
          <w:szCs w:val="20"/>
        </w:rPr>
        <w:t xml:space="preserve"> (de l’intérimaire)</w:t>
      </w:r>
      <w:r>
        <w:rPr>
          <w:color w:val="000000" w:themeColor="text1"/>
          <w:sz w:val="20"/>
          <w:szCs w:val="20"/>
        </w:rPr>
        <w:t>. L’intérimaire est lié à</w:t>
      </w:r>
      <w:r w:rsidR="00023DBF">
        <w:rPr>
          <w:color w:val="000000" w:themeColor="text1"/>
          <w:sz w:val="20"/>
          <w:szCs w:val="20"/>
        </w:rPr>
        <w:t> l’entreprise</w:t>
      </w:r>
      <w:r>
        <w:rPr>
          <w:color w:val="000000" w:themeColor="text1"/>
          <w:sz w:val="20"/>
          <w:szCs w:val="20"/>
        </w:rPr>
        <w:t xml:space="preserve"> d’intérim par un contrat de</w:t>
      </w:r>
      <w:r w:rsidR="00271A8F">
        <w:rPr>
          <w:color w:val="000000" w:themeColor="text1"/>
          <w:sz w:val="20"/>
          <w:szCs w:val="20"/>
        </w:rPr>
        <w:t xml:space="preserve"> mission</w:t>
      </w:r>
      <w:r>
        <w:rPr>
          <w:color w:val="000000" w:themeColor="text1"/>
          <w:sz w:val="20"/>
          <w:szCs w:val="20"/>
        </w:rPr>
        <w:t>, et l’agence d’intérim à l’entreprise utilisatrice par un contrat de vente de service.</w:t>
      </w:r>
    </w:p>
    <w:p w:rsidR="00023DBF" w:rsidRDefault="00023DBF" w:rsidP="00385906">
      <w:pPr>
        <w:pStyle w:val="Paragraphedeliste"/>
        <w:numPr>
          <w:ilvl w:val="0"/>
          <w:numId w:val="19"/>
        </w:numPr>
        <w:jc w:val="both"/>
        <w:rPr>
          <w:color w:val="000000" w:themeColor="text1"/>
          <w:sz w:val="20"/>
          <w:szCs w:val="20"/>
        </w:rPr>
      </w:pPr>
      <w:r>
        <w:rPr>
          <w:color w:val="000000" w:themeColor="text1"/>
          <w:sz w:val="20"/>
          <w:szCs w:val="20"/>
        </w:rPr>
        <w:t>L’employeur du salarié intérimaire est donc l’employé de l’entreprise d’intérim.</w:t>
      </w:r>
    </w:p>
    <w:p w:rsidR="00023DBF" w:rsidRDefault="00023DBF" w:rsidP="00385906">
      <w:pPr>
        <w:pStyle w:val="Paragraphedeliste"/>
        <w:numPr>
          <w:ilvl w:val="0"/>
          <w:numId w:val="19"/>
        </w:numPr>
        <w:jc w:val="both"/>
        <w:rPr>
          <w:color w:val="000000" w:themeColor="text1"/>
          <w:sz w:val="20"/>
          <w:szCs w:val="20"/>
        </w:rPr>
      </w:pPr>
      <w:r>
        <w:rPr>
          <w:color w:val="000000" w:themeColor="text1"/>
          <w:sz w:val="20"/>
          <w:szCs w:val="20"/>
        </w:rPr>
        <w:t xml:space="preserve">Les entreprises ont recours aux services d’une agence d’intérim </w:t>
      </w:r>
      <w:r w:rsidR="003B2A47">
        <w:rPr>
          <w:color w:val="000000" w:themeColor="text1"/>
          <w:sz w:val="20"/>
          <w:szCs w:val="20"/>
        </w:rPr>
        <w:t>lorsqu’elles</w:t>
      </w:r>
      <w:r>
        <w:rPr>
          <w:color w:val="000000" w:themeColor="text1"/>
          <w:sz w:val="20"/>
          <w:szCs w:val="20"/>
        </w:rPr>
        <w:t xml:space="preserve"> ont besoin rapidement et pour une courte période d’un ou plusieurs employés qualifiés.</w:t>
      </w:r>
    </w:p>
    <w:p w:rsidR="003B2A47" w:rsidRDefault="003B2A47" w:rsidP="00385906">
      <w:pPr>
        <w:pStyle w:val="Paragraphedeliste"/>
        <w:numPr>
          <w:ilvl w:val="0"/>
          <w:numId w:val="19"/>
        </w:numPr>
        <w:jc w:val="both"/>
        <w:rPr>
          <w:color w:val="000000" w:themeColor="text1"/>
          <w:sz w:val="20"/>
          <w:szCs w:val="20"/>
        </w:rPr>
      </w:pPr>
      <w:r>
        <w:rPr>
          <w:color w:val="000000" w:themeColor="text1"/>
          <w:sz w:val="20"/>
          <w:szCs w:val="20"/>
        </w:rPr>
        <w:t>Contrats le mieux adapté :</w:t>
      </w:r>
    </w:p>
    <w:p w:rsidR="003B2A47" w:rsidRDefault="003B2A47" w:rsidP="003B2A47">
      <w:pPr>
        <w:pStyle w:val="Paragraphedeliste"/>
        <w:numPr>
          <w:ilvl w:val="1"/>
          <w:numId w:val="19"/>
        </w:numPr>
        <w:jc w:val="both"/>
        <w:rPr>
          <w:color w:val="000000" w:themeColor="text1"/>
          <w:sz w:val="20"/>
          <w:szCs w:val="20"/>
        </w:rPr>
      </w:pPr>
      <w:r>
        <w:rPr>
          <w:color w:val="000000" w:themeColor="text1"/>
          <w:sz w:val="20"/>
          <w:szCs w:val="20"/>
        </w:rPr>
        <w:t>Chef d’atelier : CDI (car remplacement permanent).</w:t>
      </w:r>
    </w:p>
    <w:p w:rsidR="003B2A47" w:rsidRDefault="003B2A47" w:rsidP="003B2A47">
      <w:pPr>
        <w:pStyle w:val="Paragraphedeliste"/>
        <w:numPr>
          <w:ilvl w:val="1"/>
          <w:numId w:val="19"/>
        </w:numPr>
        <w:jc w:val="both"/>
        <w:rPr>
          <w:color w:val="000000" w:themeColor="text1"/>
          <w:sz w:val="20"/>
          <w:szCs w:val="20"/>
        </w:rPr>
      </w:pPr>
      <w:r>
        <w:rPr>
          <w:color w:val="000000" w:themeColor="text1"/>
          <w:sz w:val="20"/>
          <w:szCs w:val="20"/>
        </w:rPr>
        <w:t>Ouvrière : CDD (car remplacement temporaire).</w:t>
      </w:r>
    </w:p>
    <w:p w:rsidR="003B2A47" w:rsidRDefault="003B2A47" w:rsidP="003B2A47">
      <w:pPr>
        <w:pStyle w:val="Paragraphedeliste"/>
        <w:numPr>
          <w:ilvl w:val="1"/>
          <w:numId w:val="19"/>
        </w:numPr>
        <w:jc w:val="both"/>
        <w:rPr>
          <w:color w:val="000000" w:themeColor="text1"/>
          <w:sz w:val="20"/>
          <w:szCs w:val="20"/>
        </w:rPr>
      </w:pPr>
      <w:r>
        <w:rPr>
          <w:color w:val="000000" w:themeColor="text1"/>
          <w:sz w:val="20"/>
          <w:szCs w:val="20"/>
        </w:rPr>
        <w:t>Ouvrier doreur : Contrat d’alternance (pour former l’employé au métier, rare).</w:t>
      </w:r>
    </w:p>
    <w:p w:rsidR="003B2A47" w:rsidRDefault="003B2A47" w:rsidP="003B2A47">
      <w:pPr>
        <w:pStyle w:val="Paragraphedeliste"/>
        <w:numPr>
          <w:ilvl w:val="1"/>
          <w:numId w:val="19"/>
        </w:numPr>
        <w:jc w:val="both"/>
        <w:rPr>
          <w:color w:val="000000" w:themeColor="text1"/>
          <w:sz w:val="20"/>
          <w:szCs w:val="20"/>
        </w:rPr>
      </w:pPr>
      <w:r>
        <w:rPr>
          <w:color w:val="000000" w:themeColor="text1"/>
          <w:sz w:val="20"/>
          <w:szCs w:val="20"/>
        </w:rPr>
        <w:t>Secrétaire : CDI (car remplacement permanent).</w:t>
      </w:r>
    </w:p>
    <w:p w:rsidR="00646796" w:rsidRDefault="00646796" w:rsidP="00646796">
      <w:pPr>
        <w:pStyle w:val="Paragraphedeliste"/>
        <w:numPr>
          <w:ilvl w:val="0"/>
          <w:numId w:val="19"/>
        </w:numPr>
        <w:jc w:val="both"/>
        <w:rPr>
          <w:color w:val="000000" w:themeColor="text1"/>
          <w:sz w:val="20"/>
          <w:szCs w:val="20"/>
        </w:rPr>
      </w:pPr>
      <w:r>
        <w:rPr>
          <w:color w:val="000000" w:themeColor="text1"/>
          <w:sz w:val="20"/>
          <w:szCs w:val="20"/>
        </w:rPr>
        <w:t>Un CTT permettrait d’augmenter la main d’œuvre le temps de l’inventaire. Un CDD serait inadapté car la durée est trop courte, et ce poste ne requiert pas de grandes compétences.</w:t>
      </w:r>
    </w:p>
    <w:p w:rsidR="008552FA" w:rsidRDefault="008552FA">
      <w:pPr>
        <w:rPr>
          <w:b/>
          <w:i/>
          <w:color w:val="000000" w:themeColor="text1"/>
          <w:u w:val="single"/>
        </w:rPr>
      </w:pPr>
      <w:r>
        <w:rPr>
          <w:b/>
          <w:i/>
          <w:color w:val="000000" w:themeColor="text1"/>
          <w:u w:val="single"/>
        </w:rPr>
        <w:br w:type="page"/>
      </w:r>
    </w:p>
    <w:p w:rsidR="008552FA" w:rsidRPr="00C21CEA" w:rsidRDefault="008552FA" w:rsidP="008552FA">
      <w:pPr>
        <w:jc w:val="both"/>
        <w:rPr>
          <w:color w:val="000000" w:themeColor="text1"/>
          <w:sz w:val="20"/>
          <w:szCs w:val="20"/>
        </w:rPr>
      </w:pPr>
      <w:r>
        <w:rPr>
          <w:b/>
          <w:i/>
          <w:color w:val="000000" w:themeColor="text1"/>
          <w:u w:val="single"/>
        </w:rPr>
        <w:lastRenderedPageBreak/>
        <w:t>L’analyse des clauses du contrat de travail</w:t>
      </w:r>
    </w:p>
    <w:p w:rsidR="00D468CC" w:rsidRDefault="00D468CC" w:rsidP="00D468CC">
      <w:pPr>
        <w:pStyle w:val="Paragraphedeliste"/>
        <w:numPr>
          <w:ilvl w:val="0"/>
          <w:numId w:val="19"/>
        </w:numPr>
        <w:jc w:val="both"/>
        <w:rPr>
          <w:color w:val="000000" w:themeColor="text1"/>
          <w:sz w:val="20"/>
          <w:szCs w:val="20"/>
        </w:rPr>
      </w:pPr>
      <w:r>
        <w:rPr>
          <w:color w:val="000000" w:themeColor="text1"/>
          <w:sz w:val="20"/>
          <w:szCs w:val="20"/>
        </w:rPr>
        <w:t xml:space="preserve">Les points abordés par le contrat sont </w:t>
      </w:r>
      <w:r w:rsidR="00271A8F">
        <w:rPr>
          <w:color w:val="000000" w:themeColor="text1"/>
          <w:sz w:val="20"/>
          <w:szCs w:val="20"/>
        </w:rPr>
        <w:t>la durée du contrat</w:t>
      </w:r>
      <w:bookmarkStart w:id="0" w:name="_GoBack"/>
      <w:bookmarkEnd w:id="0"/>
      <w:r>
        <w:rPr>
          <w:color w:val="000000" w:themeColor="text1"/>
          <w:sz w:val="20"/>
          <w:szCs w:val="20"/>
        </w:rPr>
        <w:t>, la période d’essai, la rémunération et le temps de travail, le lieu de travail et la mobilité, l’absentéisme et les congés de l’employé.</w:t>
      </w:r>
    </w:p>
    <w:p w:rsidR="00D468CC" w:rsidRDefault="00D468CC" w:rsidP="00D468CC">
      <w:pPr>
        <w:pStyle w:val="Paragraphedeliste"/>
        <w:numPr>
          <w:ilvl w:val="0"/>
          <w:numId w:val="19"/>
        </w:numPr>
        <w:jc w:val="both"/>
        <w:rPr>
          <w:color w:val="000000" w:themeColor="text1"/>
          <w:sz w:val="20"/>
          <w:szCs w:val="20"/>
        </w:rPr>
      </w:pPr>
      <w:r>
        <w:rPr>
          <w:color w:val="000000" w:themeColor="text1"/>
          <w:sz w:val="20"/>
          <w:szCs w:val="20"/>
        </w:rPr>
        <w:t>Une période d’essai de 1 mois est prévu durant laquelle les deux parti</w:t>
      </w:r>
      <w:r w:rsidR="00761776">
        <w:rPr>
          <w:color w:val="000000" w:themeColor="text1"/>
          <w:sz w:val="20"/>
          <w:szCs w:val="20"/>
        </w:rPr>
        <w:t>e</w:t>
      </w:r>
      <w:r>
        <w:rPr>
          <w:color w:val="000000" w:themeColor="text1"/>
          <w:sz w:val="20"/>
          <w:szCs w:val="20"/>
        </w:rPr>
        <w:t>s peuvent mettre fin au contrat sans préavis et sans indemnités.</w:t>
      </w:r>
    </w:p>
    <w:p w:rsidR="00D468CC" w:rsidRDefault="00761776" w:rsidP="00D468CC">
      <w:pPr>
        <w:pStyle w:val="Paragraphedeliste"/>
        <w:numPr>
          <w:ilvl w:val="0"/>
          <w:numId w:val="19"/>
        </w:numPr>
        <w:jc w:val="both"/>
        <w:rPr>
          <w:color w:val="000000" w:themeColor="text1"/>
          <w:sz w:val="20"/>
          <w:szCs w:val="20"/>
        </w:rPr>
      </w:pPr>
      <w:r>
        <w:rPr>
          <w:color w:val="000000" w:themeColor="text1"/>
          <w:sz w:val="20"/>
          <w:szCs w:val="20"/>
        </w:rPr>
        <w:t>La période d’essai permet de à l’entreprise de vérifier que l’employé est conforme à ses attentes, et permet à l’employé de s’assurer que cet emploi lui convient.</w:t>
      </w:r>
    </w:p>
    <w:p w:rsidR="00761776" w:rsidRDefault="00761776" w:rsidP="00761776">
      <w:pPr>
        <w:pStyle w:val="Paragraphedeliste"/>
        <w:numPr>
          <w:ilvl w:val="0"/>
          <w:numId w:val="19"/>
        </w:numPr>
        <w:jc w:val="both"/>
        <w:rPr>
          <w:color w:val="000000" w:themeColor="text1"/>
          <w:sz w:val="20"/>
          <w:szCs w:val="20"/>
        </w:rPr>
      </w:pPr>
      <w:r>
        <w:rPr>
          <w:color w:val="000000" w:themeColor="text1"/>
          <w:sz w:val="20"/>
          <w:szCs w:val="20"/>
        </w:rPr>
        <w:t>Tout changement de lieu de travail est possible sans demander l’avis de Mlle Parti, car la clause « Lieu de travail et mobilité » stipule que « celle-ci pourra être amenée à se déplacer partout où les nécessités de son travail l’exigent. »</w:t>
      </w:r>
    </w:p>
    <w:p w:rsidR="001B0AA6" w:rsidRPr="001B0AA6" w:rsidRDefault="00761776" w:rsidP="00761776">
      <w:pPr>
        <w:pStyle w:val="Paragraphedeliste"/>
        <w:numPr>
          <w:ilvl w:val="0"/>
          <w:numId w:val="19"/>
        </w:numPr>
        <w:jc w:val="both"/>
        <w:rPr>
          <w:color w:val="000000" w:themeColor="text1"/>
          <w:sz w:val="20"/>
          <w:szCs w:val="20"/>
        </w:rPr>
      </w:pPr>
      <w:r>
        <w:rPr>
          <w:color w:val="000000" w:themeColor="text1"/>
          <w:sz w:val="20"/>
          <w:szCs w:val="20"/>
        </w:rPr>
        <w:t>L’écrit est nécessaire car il fait foi (avec la signature des deux parties) en cas de litige.</w:t>
      </w:r>
    </w:p>
    <w:p w:rsidR="001B0AA6" w:rsidRPr="001B0AA6" w:rsidRDefault="001B0AA6" w:rsidP="001B0AA6">
      <w:pPr>
        <w:rPr>
          <w:b/>
          <w:color w:val="FF0000"/>
        </w:rPr>
      </w:pPr>
      <w:r>
        <w:rPr>
          <w:b/>
          <w:color w:val="FF0000"/>
        </w:rPr>
        <w:t>La modification de la relation de travail</w:t>
      </w:r>
    </w:p>
    <w:p w:rsidR="00761776" w:rsidRPr="00C21CEA" w:rsidRDefault="00761776" w:rsidP="00761776">
      <w:pPr>
        <w:jc w:val="both"/>
        <w:rPr>
          <w:color w:val="000000" w:themeColor="text1"/>
          <w:sz w:val="20"/>
          <w:szCs w:val="20"/>
        </w:rPr>
      </w:pPr>
      <w:r>
        <w:rPr>
          <w:b/>
          <w:i/>
          <w:color w:val="000000" w:themeColor="text1"/>
          <w:u w:val="single"/>
        </w:rPr>
        <w:t>La modification du contrat de travail et la modification des conditions de travail du salarié du secteur privé</w:t>
      </w:r>
    </w:p>
    <w:p w:rsidR="00761776" w:rsidRDefault="00BF34D7" w:rsidP="00761776">
      <w:pPr>
        <w:pStyle w:val="Paragraphedeliste"/>
        <w:numPr>
          <w:ilvl w:val="0"/>
          <w:numId w:val="21"/>
        </w:numPr>
        <w:jc w:val="both"/>
        <w:rPr>
          <w:color w:val="000000" w:themeColor="text1"/>
          <w:sz w:val="20"/>
          <w:szCs w:val="20"/>
        </w:rPr>
      </w:pPr>
      <w:r>
        <w:rPr>
          <w:color w:val="000000" w:themeColor="text1"/>
          <w:sz w:val="20"/>
          <w:szCs w:val="20"/>
        </w:rPr>
        <w:t>Il s’agit d’une modification du contrat de travail si le nouveau lieu est situé dans un secteur géographique différent, ou s’il n’est pas précisé dans le contrat de travail pour l’employé un lieu de travail fixe. Pour l’horaire, le changement doit être important pour être considéré comme modification du contrat de travail.</w:t>
      </w:r>
    </w:p>
    <w:p w:rsidR="00BF34D7" w:rsidRDefault="00BF34D7" w:rsidP="00761776">
      <w:pPr>
        <w:pStyle w:val="Paragraphedeliste"/>
        <w:numPr>
          <w:ilvl w:val="0"/>
          <w:numId w:val="21"/>
        </w:numPr>
        <w:jc w:val="both"/>
        <w:rPr>
          <w:color w:val="000000" w:themeColor="text1"/>
          <w:sz w:val="20"/>
          <w:szCs w:val="20"/>
        </w:rPr>
      </w:pPr>
      <w:r>
        <w:rPr>
          <w:color w:val="000000" w:themeColor="text1"/>
          <w:sz w:val="20"/>
          <w:szCs w:val="20"/>
        </w:rPr>
        <w:t>S’il s’agit d’une modification des conditions de travail, ce changement peut se faire à l’amiable entre les deux parties. S’il s’agit d’une modification du contrat de travail, ce changement doit être rédigé et signé par les deux parties.</w:t>
      </w:r>
    </w:p>
    <w:p w:rsidR="00BF34D7" w:rsidRPr="00761776" w:rsidRDefault="00BF34D7" w:rsidP="00761776">
      <w:pPr>
        <w:pStyle w:val="Paragraphedeliste"/>
        <w:numPr>
          <w:ilvl w:val="0"/>
          <w:numId w:val="21"/>
        </w:numPr>
        <w:jc w:val="both"/>
        <w:rPr>
          <w:color w:val="000000" w:themeColor="text1"/>
          <w:sz w:val="20"/>
          <w:szCs w:val="20"/>
        </w:rPr>
      </w:pPr>
      <w:r>
        <w:rPr>
          <w:color w:val="000000" w:themeColor="text1"/>
          <w:sz w:val="20"/>
          <w:szCs w:val="20"/>
        </w:rPr>
        <w:t>Un salarié peut refuser un changement de ses horaires si celles-ci empiètent trop sur sa vie privée, et refuser un changement de lieu si le contrat initial ne prévoit pas une clause de mobilité.</w:t>
      </w:r>
    </w:p>
    <w:sectPr w:rsidR="00BF34D7" w:rsidRPr="00761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019"/>
    <w:multiLevelType w:val="hybridMultilevel"/>
    <w:tmpl w:val="913C0CD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782807"/>
    <w:multiLevelType w:val="hybridMultilevel"/>
    <w:tmpl w:val="D6865E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6057F"/>
    <w:multiLevelType w:val="hybridMultilevel"/>
    <w:tmpl w:val="8780C3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135C15"/>
    <w:multiLevelType w:val="hybridMultilevel"/>
    <w:tmpl w:val="62421316"/>
    <w:lvl w:ilvl="0" w:tplc="A04874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E76EC5"/>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453FD4"/>
    <w:multiLevelType w:val="hybridMultilevel"/>
    <w:tmpl w:val="97FC24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FA3A3F"/>
    <w:multiLevelType w:val="hybridMultilevel"/>
    <w:tmpl w:val="D24A1F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E1207A"/>
    <w:multiLevelType w:val="hybridMultilevel"/>
    <w:tmpl w:val="47E44E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281528"/>
    <w:multiLevelType w:val="hybridMultilevel"/>
    <w:tmpl w:val="77906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705F78"/>
    <w:multiLevelType w:val="hybridMultilevel"/>
    <w:tmpl w:val="8780C3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DD6FE9"/>
    <w:multiLevelType w:val="hybridMultilevel"/>
    <w:tmpl w:val="DF205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0252B6"/>
    <w:multiLevelType w:val="hybridMultilevel"/>
    <w:tmpl w:val="CF06D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A55911"/>
    <w:multiLevelType w:val="hybridMultilevel"/>
    <w:tmpl w:val="A2FC313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C109EB"/>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AC2EFA"/>
    <w:multiLevelType w:val="hybridMultilevel"/>
    <w:tmpl w:val="60E6E9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AE799F"/>
    <w:multiLevelType w:val="hybridMultilevel"/>
    <w:tmpl w:val="D6865E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5A33F8"/>
    <w:multiLevelType w:val="hybridMultilevel"/>
    <w:tmpl w:val="913C0CD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4D217C"/>
    <w:multiLevelType w:val="hybridMultilevel"/>
    <w:tmpl w:val="D6865E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3557ED"/>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B97C7D"/>
    <w:multiLevelType w:val="hybridMultilevel"/>
    <w:tmpl w:val="10C230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D51646E"/>
    <w:multiLevelType w:val="hybridMultilevel"/>
    <w:tmpl w:val="D24A1F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0"/>
  </w:num>
  <w:num w:numId="5">
    <w:abstractNumId w:val="7"/>
  </w:num>
  <w:num w:numId="6">
    <w:abstractNumId w:val="11"/>
  </w:num>
  <w:num w:numId="7">
    <w:abstractNumId w:val="14"/>
  </w:num>
  <w:num w:numId="8">
    <w:abstractNumId w:val="4"/>
  </w:num>
  <w:num w:numId="9">
    <w:abstractNumId w:val="13"/>
  </w:num>
  <w:num w:numId="10">
    <w:abstractNumId w:val="18"/>
  </w:num>
  <w:num w:numId="11">
    <w:abstractNumId w:val="9"/>
  </w:num>
  <w:num w:numId="12">
    <w:abstractNumId w:val="2"/>
  </w:num>
  <w:num w:numId="13">
    <w:abstractNumId w:val="0"/>
  </w:num>
  <w:num w:numId="14">
    <w:abstractNumId w:val="16"/>
  </w:num>
  <w:num w:numId="15">
    <w:abstractNumId w:val="8"/>
  </w:num>
  <w:num w:numId="16">
    <w:abstractNumId w:val="1"/>
  </w:num>
  <w:num w:numId="17">
    <w:abstractNumId w:val="17"/>
  </w:num>
  <w:num w:numId="18">
    <w:abstractNumId w:val="15"/>
  </w:num>
  <w:num w:numId="19">
    <w:abstractNumId w:val="6"/>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85"/>
    <w:rsid w:val="00011CC2"/>
    <w:rsid w:val="00021A25"/>
    <w:rsid w:val="00023DBF"/>
    <w:rsid w:val="0002527B"/>
    <w:rsid w:val="00041DD1"/>
    <w:rsid w:val="0005716E"/>
    <w:rsid w:val="00086068"/>
    <w:rsid w:val="000B6E1D"/>
    <w:rsid w:val="000C09AF"/>
    <w:rsid w:val="000C67B9"/>
    <w:rsid w:val="001005F9"/>
    <w:rsid w:val="00174A5E"/>
    <w:rsid w:val="0019657A"/>
    <w:rsid w:val="001B0AA6"/>
    <w:rsid w:val="002217E3"/>
    <w:rsid w:val="002348FB"/>
    <w:rsid w:val="00262FBB"/>
    <w:rsid w:val="00267D3B"/>
    <w:rsid w:val="00271A8F"/>
    <w:rsid w:val="0027463B"/>
    <w:rsid w:val="0028084A"/>
    <w:rsid w:val="002A0021"/>
    <w:rsid w:val="002C6412"/>
    <w:rsid w:val="003423A1"/>
    <w:rsid w:val="00353B2B"/>
    <w:rsid w:val="0037193A"/>
    <w:rsid w:val="00381976"/>
    <w:rsid w:val="00385906"/>
    <w:rsid w:val="00386850"/>
    <w:rsid w:val="003919C0"/>
    <w:rsid w:val="00392DEB"/>
    <w:rsid w:val="003B1C0A"/>
    <w:rsid w:val="003B2A47"/>
    <w:rsid w:val="003B2CAD"/>
    <w:rsid w:val="003C3FED"/>
    <w:rsid w:val="003E595F"/>
    <w:rsid w:val="003E5FF2"/>
    <w:rsid w:val="00416DF9"/>
    <w:rsid w:val="00426C1F"/>
    <w:rsid w:val="00445925"/>
    <w:rsid w:val="00461BD3"/>
    <w:rsid w:val="00480B21"/>
    <w:rsid w:val="004966CD"/>
    <w:rsid w:val="004A0D41"/>
    <w:rsid w:val="00503150"/>
    <w:rsid w:val="005B2BF0"/>
    <w:rsid w:val="005C1081"/>
    <w:rsid w:val="005D1CA2"/>
    <w:rsid w:val="005E3C2C"/>
    <w:rsid w:val="00627F44"/>
    <w:rsid w:val="00646796"/>
    <w:rsid w:val="0068115D"/>
    <w:rsid w:val="006821D9"/>
    <w:rsid w:val="00683BBD"/>
    <w:rsid w:val="006A2B60"/>
    <w:rsid w:val="006E2F3A"/>
    <w:rsid w:val="007423A7"/>
    <w:rsid w:val="00761776"/>
    <w:rsid w:val="00773362"/>
    <w:rsid w:val="007C0B9A"/>
    <w:rsid w:val="007D3748"/>
    <w:rsid w:val="007E4CF4"/>
    <w:rsid w:val="007F110F"/>
    <w:rsid w:val="007F5286"/>
    <w:rsid w:val="008348D8"/>
    <w:rsid w:val="008552FA"/>
    <w:rsid w:val="00875FED"/>
    <w:rsid w:val="0089078D"/>
    <w:rsid w:val="008A670A"/>
    <w:rsid w:val="008D12CF"/>
    <w:rsid w:val="008F16B0"/>
    <w:rsid w:val="008F6D96"/>
    <w:rsid w:val="00971E35"/>
    <w:rsid w:val="00997C7A"/>
    <w:rsid w:val="00A252AA"/>
    <w:rsid w:val="00A36D85"/>
    <w:rsid w:val="00A4143F"/>
    <w:rsid w:val="00A44B50"/>
    <w:rsid w:val="00AD2DE5"/>
    <w:rsid w:val="00B11167"/>
    <w:rsid w:val="00B2048B"/>
    <w:rsid w:val="00B24476"/>
    <w:rsid w:val="00B32517"/>
    <w:rsid w:val="00B41C5D"/>
    <w:rsid w:val="00B71A30"/>
    <w:rsid w:val="00BB50E3"/>
    <w:rsid w:val="00BD6DA9"/>
    <w:rsid w:val="00BF34D7"/>
    <w:rsid w:val="00C01FB4"/>
    <w:rsid w:val="00C21CEA"/>
    <w:rsid w:val="00C31EDC"/>
    <w:rsid w:val="00C45954"/>
    <w:rsid w:val="00CC501D"/>
    <w:rsid w:val="00D15916"/>
    <w:rsid w:val="00D468CC"/>
    <w:rsid w:val="00D60AD3"/>
    <w:rsid w:val="00D7682A"/>
    <w:rsid w:val="00E64A2E"/>
    <w:rsid w:val="00E95970"/>
    <w:rsid w:val="00EA3874"/>
    <w:rsid w:val="00EC0960"/>
    <w:rsid w:val="00EC5C4B"/>
    <w:rsid w:val="00ED72F3"/>
    <w:rsid w:val="00EE39E3"/>
    <w:rsid w:val="00EF4F74"/>
    <w:rsid w:val="00F022C3"/>
    <w:rsid w:val="00F061E1"/>
    <w:rsid w:val="00F139FB"/>
    <w:rsid w:val="00F14B4D"/>
    <w:rsid w:val="00F26210"/>
    <w:rsid w:val="00F3494E"/>
    <w:rsid w:val="00F51D3F"/>
    <w:rsid w:val="00FB1EB9"/>
    <w:rsid w:val="00FC5052"/>
    <w:rsid w:val="00FE3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18AB5"/>
  <w15:chartTrackingRefBased/>
  <w15:docId w15:val="{7E7E53AE-081D-4379-9BC6-677C1B34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3BBD"/>
    <w:pPr>
      <w:ind w:left="720"/>
      <w:contextualSpacing/>
    </w:pPr>
  </w:style>
  <w:style w:type="table" w:styleId="Grilledutableau">
    <w:name w:val="Table Grid"/>
    <w:basedOn w:val="TableauNormal"/>
    <w:uiPriority w:val="39"/>
    <w:rsid w:val="0068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9E3"/>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semiHidden/>
    <w:unhideWhenUsed/>
    <w:rsid w:val="000B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D86C3-BCD7-437D-A11A-1A7051FB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Pages>
  <Words>669</Words>
  <Characters>3448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118</cp:revision>
  <dcterms:created xsi:type="dcterms:W3CDTF">2019-05-13T07:44:00Z</dcterms:created>
  <dcterms:modified xsi:type="dcterms:W3CDTF">2019-06-11T14:28:00Z</dcterms:modified>
</cp:coreProperties>
</file>