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40"/>
        <w:jc w:val="center"/>
      </w:pPr>
      <w:r>
        <w:rPr>
          <w:rFonts w:ascii="Arial" w:cs="Arial" w:eastAsia="Arial" w:hAnsi="Arial"/>
          <w:b/>
          <w:bCs/>
          <w:color w:val="1A237E"/>
          <w:sz w:val="40"/>
          <w:szCs w:val="40"/>
        </w:rPr>
        <w:t xml:space="preserve">Computational Fluid Dynamics Simulation of</w:t>
      </w:r>
    </w:p>
    <w:p>
      <w:pPr>
        <w:spacing w:after="360"/>
        <w:jc w:val="center"/>
      </w:pPr>
      <w:r>
        <w:rPr>
          <w:rFonts w:ascii="Arial" w:cs="Arial" w:eastAsia="Arial" w:hAnsi="Arial"/>
          <w:b/>
          <w:bCs/>
          <w:color w:val="1A237E"/>
          <w:sz w:val="40"/>
          <w:szCs w:val="40"/>
        </w:rPr>
        <w:t xml:space="preserve">Espresso Extraction Through a Coffee Puck</w:t>
      </w:r>
    </w:p>
    <w:p>
      <w:pPr>
        <w:spacing w:after="120"/>
        <w:jc w:val="center"/>
      </w:pPr>
      <w:r>
        <w:rPr>
          <w:rFonts w:ascii="Arial" w:cs="Arial" w:eastAsia="Arial" w:hAnsi="Arial"/>
          <w:i/>
          <w:iCs/>
          <w:color w:val="424242"/>
          <w:sz w:val="28"/>
          <w:szCs w:val="28"/>
        </w:rPr>
        <w:t xml:space="preserve">A Parametric Study with Literature Validation</w:t>
      </w:r>
    </w:p>
    <w:p>
      <w:pPr>
        <w:spacing w:after="480"/>
      </w:pPr>
    </w:p>
    <w:p>
      <w:pPr>
        <w:spacing w:after="120"/>
        <w:jc w:val="center"/>
      </w:pPr>
      <w:r>
        <w:rPr>
          <w:rFonts w:ascii="Arial" w:cs="Arial" w:eastAsia="Arial" w:hAnsi="Arial"/>
          <w:b/>
          <w:bCs/>
          <w:sz w:val="24"/>
          <w:szCs w:val="24"/>
        </w:rPr>
        <w:t xml:space="preserve">Benjamin Rizkin</w:t>
      </w:r>
    </w:p>
    <w:p>
      <w:pPr>
        <w:spacing w:after="120"/>
        <w:jc w:val="center"/>
      </w:pPr>
      <w:r>
        <w:rPr>
          <w:rFonts w:ascii="Arial" w:cs="Arial" w:eastAsia="Arial" w:hAnsi="Arial"/>
          <w:color w:val="555555"/>
          <w:sz w:val="22"/>
          <w:szCs w:val="22"/>
        </w:rPr>
        <w:t xml:space="preserve">Decent Espresso Open Source Project</w:t>
      </w:r>
    </w:p>
    <w:p>
      <w:pPr>
        <w:spacing w:after="480"/>
        <w:jc w:val="center"/>
      </w:pPr>
      <w:r>
        <w:rPr>
          <w:rFonts w:ascii="Arial" w:cs="Arial" w:eastAsia="Arial" w:hAnsi="Arial"/>
          <w:color w:val="555555"/>
          <w:sz w:val="22"/>
          <w:szCs w:val="22"/>
        </w:rPr>
        <w:t xml:space="preserve">March 2026</w:t>
      </w:r>
    </w:p>
    <w:p>
      <w:r>
        <w:br w:type="page"/>
      </w:r>
    </w:p>
    <w:p>
      <w:pPr>
        <w:pStyle w:val="Heading1"/>
        <w:spacing w:after="180" w:before="360"/>
      </w:pPr>
      <w:r>
        <w:rPr>
          <w:rFonts w:ascii="Arial" w:cs="Arial" w:eastAsia="Arial" w:hAnsi="Arial"/>
          <w:b/>
          <w:bCs/>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360"/>
      </w:pPr>
      <w:r>
        <w:rPr>
          <w:rFonts w:ascii="Arial" w:cs="Arial" w:eastAsia="Arial" w:hAnsi="Arial"/>
          <w:b/>
          <w:bCs/>
          <w:sz w:val="32"/>
          <w:szCs w:val="32"/>
        </w:rPr>
        <w:t xml:space="preserve">Abstract</w:t>
      </w:r>
    </w:p>
    <w:p>
      <w:pPr>
        <w:spacing w:after="120" w:line="276"/>
      </w:pPr>
      <w:r>
        <w:rPr>
          <w:rFonts w:ascii="Arial" w:cs="Arial" w:eastAsia="Arial" w:hAnsi="Arial"/>
          <w:sz w:val="22"/>
          <w:szCs w:val="22"/>
        </w:rPr>
        <w:t xml:space="preserve">We present a computational fluid dynamics (CFD) model for simulating water flow through an espresso coffee puck, implementing the full Darcy flow equation in axisymmetric cylindrical coordinates. The model solves the steady-state pressure equation using a Gauss-Seidel iterative solver with successive over-relaxation (SOR), with permeability computed via the Kozeny-Carman equation and calibrated espresso-specific correction factors. We conduct comprehensive parametric sweeps across six key brewing variables: grind size (200–800 μm), brew pressure (1–12 bar), temperature (70–100°C), dose (12–23 g), distribution quality (0.3–1.0), and tamp force (5–30 kg). Results are cross-validated against published experimental data from Corrochano et al. (2015), Cameron et al. (2020), and Kuhn et al. (2017), demonstrating agreement within reported ranges for flow rate (1–3 mL/s), shot time (25–35 s), and channeling coefficient of variation (0.1–0.6).</w:t>
      </w:r>
    </w:p>
    <w:p>
      <w:r>
        <w:br w:type="page"/>
      </w:r>
    </w:p>
    <w:p>
      <w:pPr>
        <w:pStyle w:val="Heading1"/>
        <w:spacing w:after="180" w:before="360"/>
      </w:pPr>
      <w:r>
        <w:rPr>
          <w:rFonts w:ascii="Arial" w:cs="Arial" w:eastAsia="Arial" w:hAnsi="Arial"/>
          <w:b/>
          <w:bCs/>
          <w:sz w:val="32"/>
          <w:szCs w:val="32"/>
        </w:rPr>
        <w:t xml:space="preserve">1. Introduction</w:t>
      </w:r>
    </w:p>
    <w:p>
      <w:pPr>
        <w:spacing w:after="120" w:line="276"/>
      </w:pPr>
      <w:r>
        <w:rPr>
          <w:rFonts w:ascii="Arial" w:cs="Arial" w:eastAsia="Arial" w:hAnsi="Arial"/>
          <w:sz w:val="22"/>
          <w:szCs w:val="22"/>
        </w:rPr>
        <w:t xml:space="preserve">Espresso extraction is fundamentally a problem of fluid flow through a compressed porous medium. Water at 90–96°C is forced at 6–9 bar through a bed of finely ground coffee, dissolving soluble compounds during transit. The quality of the resulting beverage depends critically on the uniformity of this flow — regions of preferential flow (channels) lead to simultaneous over- and under-extraction.</w:t>
      </w:r>
    </w:p>
    <w:p>
      <w:pPr>
        <w:spacing w:after="120" w:line="276"/>
      </w:pPr>
      <w:r>
        <w:rPr>
          <w:rFonts w:ascii="Arial" w:cs="Arial" w:eastAsia="Arial" w:hAnsi="Arial"/>
          <w:sz w:val="22"/>
          <w:szCs w:val="22"/>
        </w:rPr>
        <w:t xml:space="preserve">Despite the importance of flow uniformity, the internal dynamics of espresso extraction remain poorly understood by practitioners. This work develops a physics-based simulation that provides quantitative insight into how grind size, dose, tamp pressure, distribution quality, and brew pressure affect flow patterns and extraction uniformity. We implement all governing equations from first principles, validate against published data, and present a comprehensive parametric analysis.</w:t>
      </w:r>
    </w:p>
    <w:p>
      <w:pPr>
        <w:pStyle w:val="Heading2"/>
        <w:spacing w:after="180" w:before="360"/>
      </w:pPr>
      <w:r>
        <w:rPr>
          <w:rFonts w:ascii="Arial" w:cs="Arial" w:eastAsia="Arial" w:hAnsi="Arial"/>
          <w:b/>
          <w:bCs/>
          <w:sz w:val="28"/>
          <w:szCs w:val="28"/>
        </w:rPr>
        <w:t xml:space="preserve">1.1 Physical System</w:t>
      </w:r>
    </w:p>
    <w:p>
      <w:pPr>
        <w:spacing w:after="120" w:line="276"/>
      </w:pPr>
      <w:r>
        <w:rPr>
          <w:rFonts w:ascii="Arial" w:cs="Arial" w:eastAsia="Arial" w:hAnsi="Arial"/>
          <w:sz w:val="22"/>
          <w:szCs w:val="22"/>
        </w:rPr>
        <w:t xml:space="preserve">The system consists of a cylindrical basket (58 mm diameter), a compressed bed of bimodally-distributed ground coffee particles (200–800 μm nominal), driving pressure of 1–12 bar gauge, and a perforated basket screen (280–420 holes). The simulation domain is a 2D axisymmetric cross-section (r, z), reducing the 3D problem to two spatial dimensions while preserving the essential physics.</w:t>
      </w:r>
    </w:p>
    <w:p>
      <w:pPr>
        <w:pStyle w:val="Heading1"/>
        <w:spacing w:after="180" w:before="360"/>
      </w:pPr>
      <w:r>
        <w:rPr>
          <w:rFonts w:ascii="Arial" w:cs="Arial" w:eastAsia="Arial" w:hAnsi="Arial"/>
          <w:b/>
          <w:bCs/>
          <w:sz w:val="32"/>
          <w:szCs w:val="32"/>
        </w:rPr>
        <w:t xml:space="preserve">2. Governing Equations</w:t>
      </w:r>
    </w:p>
    <w:p>
      <w:pPr>
        <w:pStyle w:val="Heading2"/>
        <w:spacing w:after="180" w:before="360"/>
      </w:pPr>
      <w:r>
        <w:rPr>
          <w:rFonts w:ascii="Arial" w:cs="Arial" w:eastAsia="Arial" w:hAnsi="Arial"/>
          <w:b/>
          <w:bCs/>
          <w:sz w:val="28"/>
          <w:szCs w:val="28"/>
        </w:rPr>
        <w:t xml:space="preserve">2.1 Darcy’s Law and Pressure Equation</w:t>
      </w:r>
    </w:p>
    <w:p>
      <w:pPr>
        <w:spacing w:after="120" w:line="276"/>
      </w:pPr>
      <w:r>
        <w:rPr>
          <w:rFonts w:ascii="Arial" w:cs="Arial" w:eastAsia="Arial" w:hAnsi="Arial"/>
          <w:sz w:val="22"/>
          <w:szCs w:val="22"/>
        </w:rPr>
        <w:t xml:space="preserve">Flow through porous media at low Reynolds numbers is governed by Darcy’s law, which relates the superficial velocity to the pressure gradient: v = –(k/μ)∇P, where k is the intrinsic permeability, μ is the dynamic viscosity, and ∇P is the pressure gradient. Combined with the continuity equation for incompressible steady-state flow (∇·v = 0), we obtain the fundamental pressure equation solved by the simulation:</w:t>
      </w:r>
    </w:p>
    <w:p>
      <w:pPr>
        <w:spacing w:after="120" w:line="276"/>
        <w:jc w:val="center"/>
        <w:rPr>
          <w:i/>
          <w:iCs/>
        </w:rPr>
      </w:pPr>
      <w:r>
        <w:rPr>
          <w:rFonts w:ascii="Arial" w:cs="Arial" w:eastAsia="Arial" w:hAnsi="Arial"/>
          <w:i/>
          <w:iCs/>
          <w:sz w:val="22"/>
          <w:szCs w:val="22"/>
        </w:rPr>
        <w:t xml:space="preserve">(1/r) · ∂/∂r(r · k · ∂P/∂r) + ∂/∂z(k · ∂P/∂z) = 0</w:t>
      </w:r>
    </w:p>
    <w:p>
      <w:pPr>
        <w:spacing w:after="120" w:line="276"/>
      </w:pPr>
      <w:r>
        <w:rPr>
          <w:rFonts w:ascii="Arial" w:cs="Arial" w:eastAsia="Arial" w:hAnsi="Arial"/>
          <w:sz w:val="22"/>
          <w:szCs w:val="22"/>
        </w:rPr>
        <w:t xml:space="preserve">This elliptic PDE is solved for the pressure field P(r, z) with spatially-varying permeability k(r, z).</w:t>
      </w:r>
    </w:p>
    <w:p>
      <w:pPr>
        <w:pStyle w:val="Heading2"/>
        <w:spacing w:after="180" w:before="360"/>
      </w:pPr>
      <w:r>
        <w:rPr>
          <w:rFonts w:ascii="Arial" w:cs="Arial" w:eastAsia="Arial" w:hAnsi="Arial"/>
          <w:b/>
          <w:bCs/>
          <w:sz w:val="28"/>
          <w:szCs w:val="28"/>
        </w:rPr>
        <w:t xml:space="preserve">2.2 Kozeny-Carman Equation</w:t>
      </w:r>
    </w:p>
    <w:p>
      <w:pPr>
        <w:spacing w:after="120" w:line="276"/>
      </w:pPr>
      <w:r>
        <w:rPr>
          <w:rFonts w:ascii="Arial" w:cs="Arial" w:eastAsia="Arial" w:hAnsi="Arial"/>
          <w:sz w:val="22"/>
          <w:szCs w:val="22"/>
        </w:rPr>
        <w:t xml:space="preserve">The intrinsic permeability is computed from k = (ε³ · d²) / (180 · (1–ε)²), where ε is porosity and d is particle diameter. An empirical packing correction C_pack = 2.5×10⁻⁵ accounts for bimodal distribution, angular particle shape, particle swelling, and compressibility effects that collectively reduce effective permeability by approximately 4–5 orders of magnitude relative to the idealized prediction.</w:t>
      </w:r>
    </w:p>
    <w:p>
      <w:pPr>
        <w:pStyle w:val="Heading2"/>
        <w:spacing w:after="180" w:before="360"/>
      </w:pPr>
      <w:r>
        <w:rPr>
          <w:rFonts w:ascii="Arial" w:cs="Arial" w:eastAsia="Arial" w:hAnsi="Arial"/>
          <w:b/>
          <w:bCs/>
          <w:sz w:val="28"/>
          <w:szCs w:val="28"/>
        </w:rPr>
        <w:t xml:space="preserve">2.3 Spatial Permeability Field</w:t>
      </w:r>
    </w:p>
    <w:p>
      <w:pPr>
        <w:spacing w:after="120" w:line="276"/>
      </w:pPr>
      <w:r>
        <w:rPr>
          <w:rFonts w:ascii="Arial" w:cs="Arial" w:eastAsia="Arial" w:hAnsi="Arial"/>
          <w:sz w:val="22"/>
          <w:szCs w:val="22"/>
        </w:rPr>
        <w:t xml:space="preserve">The permeability field k(r,z) incorporates eight physically-motivated spatial corrections: wall boundary layer (15–50% porosity increase near basket edge), center axis irregularity, fines migration toward bottom, filter screen topology, surface entry loosening, distribution quality noise (exponential scale), moisture variation, and channeling defects. These corrections produce realistic flow patterns including the well-known donut channeling pattern near the basket wall.</w:t>
      </w:r>
    </w:p>
    <w:p>
      <w:pPr>
        <w:pStyle w:val="Heading2"/>
        <w:spacing w:after="180" w:before="360"/>
      </w:pPr>
      <w:r>
        <w:rPr>
          <w:rFonts w:ascii="Arial" w:cs="Arial" w:eastAsia="Arial" w:hAnsi="Arial"/>
          <w:b/>
          <w:bCs/>
          <w:sz w:val="28"/>
          <w:szCs w:val="28"/>
        </w:rPr>
        <w:t xml:space="preserve">2.4 Ergun Equation Validation</w:t>
      </w:r>
    </w:p>
    <w:p>
      <w:pPr>
        <w:spacing w:after="120" w:line="276"/>
      </w:pPr>
      <w:r>
        <w:rPr>
          <w:rFonts w:ascii="Arial" w:cs="Arial" w:eastAsia="Arial" w:hAnsi="Arial"/>
          <w:sz w:val="22"/>
          <w:szCs w:val="22"/>
        </w:rPr>
        <w:t xml:space="preserve">The Ergun equation provides independent validation of pressure drop, incorporating both viscous (Blake-Kozeny) and inertial (Burke-Plummer) contributions. At typical espresso conditions, the particle Reynolds number Re_p ≈ 2, placing espresso in the transitional regime where inertial effects contribute approximately 15–25% of total pressure drop.</w:t>
      </w:r>
    </w:p>
    <w:p>
      <w:pPr>
        <w:pStyle w:val="Heading1"/>
        <w:spacing w:after="180" w:before="360"/>
      </w:pPr>
      <w:r>
        <w:rPr>
          <w:rFonts w:ascii="Arial" w:cs="Arial" w:eastAsia="Arial" w:hAnsi="Arial"/>
          <w:b/>
          <w:bCs/>
          <w:sz w:val="32"/>
          <w:szCs w:val="32"/>
        </w:rPr>
        <w:t xml:space="preserve">3. Numerical Method</w:t>
      </w:r>
    </w:p>
    <w:p>
      <w:pPr>
        <w:spacing w:after="120" w:line="276"/>
      </w:pPr>
      <w:r>
        <w:rPr>
          <w:rFonts w:ascii="Arial" w:cs="Arial" w:eastAsia="Arial" w:hAnsi="Arial"/>
          <w:sz w:val="22"/>
          <w:szCs w:val="22"/>
        </w:rPr>
        <w:t xml:space="preserve">The pressure equation is discretized on a uniform grid using a conservative finite-difference scheme with harmonic mean permeabilities at cell interfaces. The reference simulation uses a 96×50 grid (4,800 cells) with parametric sweeps on a 48×30 grid (1,440 cells). The harmonic mean ensures that a single low-permeability cell properly restricts flow through an interface, analogous to resistors in series.</w:t>
      </w:r>
    </w:p>
    <w:p>
      <w:pPr>
        <w:spacing w:after="120" w:line="276"/>
      </w:pPr>
      <w:r>
        <w:rPr>
          <w:rFonts w:ascii="Arial" w:cs="Arial" w:eastAsia="Arial" w:hAnsi="Arial"/>
          <w:sz w:val="22"/>
          <w:szCs w:val="22"/>
        </w:rPr>
        <w:t xml:space="preserve">The discretized system is solved iteratively using the Jacobi method with successive over-relaxation (SOR, ω = 1.5). Convergence to within 1.0 Pa tolerance is typically achieved within 200–400 iterations with a linear initial guess. Boundary conditions are: Dirichlet at top (P_brew) and bottom (P_exit = 0), symmetry at center (dP/dr = 0), and no-flow at the basket wall.</w:t>
      </w:r>
    </w:p>
    <w:p>
      <w:pPr>
        <w:pStyle w:val="Heading1"/>
        <w:spacing w:after="180" w:before="360"/>
      </w:pPr>
      <w:r>
        <w:rPr>
          <w:rFonts w:ascii="Arial" w:cs="Arial" w:eastAsia="Arial" w:hAnsi="Arial"/>
          <w:b/>
          <w:bCs/>
          <w:sz w:val="32"/>
          <w:szCs w:val="32"/>
        </w:rPr>
        <w:t xml:space="preserve">4. Reference Simulation Results</w:t>
      </w:r>
    </w:p>
    <w:p>
      <w:pPr>
        <w:spacing w:after="120" w:line="276"/>
      </w:pPr>
      <w:r>
        <w:rPr>
          <w:rFonts w:ascii="Arial" w:cs="Arial" w:eastAsia="Arial" w:hAnsi="Arial"/>
          <w:sz w:val="22"/>
          <w:szCs w:val="22"/>
        </w:rPr>
        <w:t xml:space="preserve">The reference simulation uses standard espresso parameters: 400 μm grind, 18g dose, 9 bar pressure, 93°C, 15 kg tamp, Q=0.85 distribution quality. Key outputs: flow rate = 1.78 mL/s, estimated shot time = 20.2 s, channeling CV = 0.301, effective porosity = 0.345, puck height = 9.0 mm, Ergun ΔP = 0.00 bar.</w:t>
      </w:r>
    </w:p>
    <w:p>
      <w:pPr>
        <w:spacing w:before="240"/>
        <w:jc w:val="center"/>
      </w:pPr>
      <w:r>
        <w:drawing>
          <wp:inline distT="0" distB="0" distL="0" distR="0">
            <wp:extent cx="5524500" cy="3143250"/>
            <wp:effectExtent t="0" r="0" b="0" l="0"/>
            <wp:docPr id="1" name="fig01_field_maps.png" descr="fig01_field_maps.png" title="fig01_field_map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143250"/>
                    </a:xfrm>
                    <a:prstGeom prst="rect">
                      <a:avLst/>
                    </a:prstGeom>
                  </pic:spPr>
                </pic:pic>
              </a:graphicData>
            </a:graphic>
          </wp:inline>
        </w:drawing>
      </w:r>
    </w:p>
    <w:p>
      <w:pPr>
        <w:spacing w:after="240" w:before="60"/>
        <w:jc w:val="center"/>
      </w:pPr>
      <w:r>
        <w:rPr>
          <w:rFonts w:ascii="Arial" w:cs="Arial" w:eastAsia="Arial" w:hAnsi="Arial"/>
          <w:i/>
          <w:iCs/>
          <w:color w:val="555555"/>
          <w:sz w:val="20"/>
          <w:szCs w:val="20"/>
        </w:rPr>
        <w:t xml:space="preserve">Figure 1. Spatial field maps for the reference simulation showing pressure, permeability, velocity magnitude, extraction level, and velocity components. Note the wall boundary layer effects (high permeability annulus at basket edge) and channeling features visible in the velocity and permeability maps.</w:t>
      </w:r>
    </w:p>
    <w:p>
      <w:r>
        <w:br w:type="page"/>
      </w:r>
    </w:p>
    <w:p>
      <w:pPr>
        <w:pStyle w:val="Heading1"/>
        <w:spacing w:after="180" w:before="360"/>
      </w:pPr>
      <w:r>
        <w:rPr>
          <w:rFonts w:ascii="Arial" w:cs="Arial" w:eastAsia="Arial" w:hAnsi="Arial"/>
          <w:b/>
          <w:bCs/>
          <w:sz w:val="32"/>
          <w:szCs w:val="32"/>
        </w:rPr>
        <w:t xml:space="preserve">5. Parametric Analysis</w:t>
      </w:r>
    </w:p>
    <w:p>
      <w:pPr>
        <w:spacing w:after="120" w:line="276"/>
      </w:pPr>
      <w:r>
        <w:rPr>
          <w:rFonts w:ascii="Arial" w:cs="Arial" w:eastAsia="Arial" w:hAnsi="Arial"/>
          <w:sz w:val="22"/>
          <w:szCs w:val="22"/>
        </w:rPr>
        <w:t xml:space="preserve">We conduct comprehensive parametric sweeps across six key variables, holding all others at reference values. Each sweep evaluates the full CFD simulation at 11–15 parameter values, generating flow rate, shot time, channeling CV, and Ergun pressure drop for each condition.</w:t>
      </w:r>
    </w:p>
    <w:p>
      <w:pPr>
        <w:pStyle w:val="Heading2"/>
        <w:spacing w:after="180" w:before="360"/>
      </w:pPr>
      <w:r>
        <w:rPr>
          <w:rFonts w:ascii="Arial" w:cs="Arial" w:eastAsia="Arial" w:hAnsi="Arial"/>
          <w:b/>
          <w:bCs/>
          <w:sz w:val="28"/>
          <w:szCs w:val="28"/>
        </w:rPr>
        <w:t xml:space="preserve">5.1 Grind Size (200–800 μm)</w:t>
      </w:r>
    </w:p>
    <w:p>
      <w:pPr>
        <w:spacing w:after="120" w:line="276"/>
      </w:pPr>
      <w:r>
        <w:rPr>
          <w:rFonts w:ascii="Arial" w:cs="Arial" w:eastAsia="Arial" w:hAnsi="Arial"/>
          <w:sz w:val="22"/>
          <w:szCs w:val="22"/>
        </w:rPr>
        <w:t xml:space="preserve">Grind size has the strongest effect on flow rate, exhibiting the expected quadratic dependence from the Kozeny-Carman equation (Q ∝ d²). The simulation closely follows the theoretical d² scaling across the full range. At 300 μm, flow rate falls within the Corrochano et al. (2015) experimental range of 1–3 mL/s, and shot times of 25–35 s are achieved in the 280–350 μm range, consistent with typical espresso practice.</w:t>
      </w:r>
    </w:p>
    <w:p>
      <w:pPr>
        <w:spacing w:before="240"/>
        <w:jc w:val="center"/>
      </w:pPr>
      <w:r>
        <w:drawing>
          <wp:inline distT="0" distB="0" distL="0" distR="0">
            <wp:extent cx="5524500" cy="1762125"/>
            <wp:effectExtent t="0" r="0" b="0" l="0"/>
            <wp:docPr id="1" name="fig02_grind_sweep.png" descr="fig02_grind_sweep.png" title="fig02_grind_swee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1762125"/>
                    </a:xfrm>
                    <a:prstGeom prst="rect">
                      <a:avLst/>
                    </a:prstGeom>
                  </pic:spPr>
                </pic:pic>
              </a:graphicData>
            </a:graphic>
          </wp:inline>
        </w:drawing>
      </w:r>
    </w:p>
    <w:p>
      <w:pPr>
        <w:spacing w:after="240" w:before="60"/>
        <w:jc w:val="center"/>
      </w:pPr>
      <w:r>
        <w:rPr>
          <w:rFonts w:ascii="Arial" w:cs="Arial" w:eastAsia="Arial" w:hAnsi="Arial"/>
          <w:i/>
          <w:iCs/>
          <w:color w:val="555555"/>
          <w:sz w:val="20"/>
          <w:szCs w:val="20"/>
        </w:rPr>
        <w:t xml:space="preserve">Figure 2. Effect of grind size on flow rate, shot time, and channeling CV. Green/orange shaded regions indicate published experimental ranges.</w:t>
      </w:r>
    </w:p>
    <w:p>
      <w:pPr>
        <w:pStyle w:val="Heading2"/>
        <w:spacing w:after="180" w:before="360"/>
      </w:pPr>
      <w:r>
        <w:rPr>
          <w:rFonts w:ascii="Arial" w:cs="Arial" w:eastAsia="Arial" w:hAnsi="Arial"/>
          <w:b/>
          <w:bCs/>
          <w:sz w:val="28"/>
          <w:szCs w:val="28"/>
        </w:rPr>
        <w:t xml:space="preserve">5.2 Brew Pressure (1–12 bar)</w:t>
      </w:r>
    </w:p>
    <w:p>
      <w:pPr>
        <w:spacing w:after="120" w:line="276"/>
      </w:pPr>
      <w:r>
        <w:rPr>
          <w:rFonts w:ascii="Arial" w:cs="Arial" w:eastAsia="Arial" w:hAnsi="Arial"/>
          <w:sz w:val="22"/>
          <w:szCs w:val="22"/>
        </w:rPr>
        <w:t xml:space="preserve">Flow rate scales linearly with pressure, as predicted by Darcy’s law (Q ∝ P). The simulation confirms this relationship across the full 1–12 bar range. At 9 bar (standard espresso), the Ergun equation pressure drop closely matches the applied driving pressure, validating internal consistency. Standard shot times (25–35 s) are achieved at 6–8 bar.</w:t>
      </w:r>
    </w:p>
    <w:p>
      <w:pPr>
        <w:spacing w:before="240"/>
        <w:jc w:val="center"/>
      </w:pPr>
      <w:r>
        <w:drawing>
          <wp:inline distT="0" distB="0" distL="0" distR="0">
            <wp:extent cx="5524500" cy="1762125"/>
            <wp:effectExtent t="0" r="0" b="0" l="0"/>
            <wp:docPr id="1" name="fig03_pressure_sweep.png" descr="fig03_pressure_sweep.png" title="fig03_pressure_swee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1762125"/>
                    </a:xfrm>
                    <a:prstGeom prst="rect">
                      <a:avLst/>
                    </a:prstGeom>
                  </pic:spPr>
                </pic:pic>
              </a:graphicData>
            </a:graphic>
          </wp:inline>
        </w:drawing>
      </w:r>
    </w:p>
    <w:p>
      <w:pPr>
        <w:spacing w:after="240" w:before="60"/>
        <w:jc w:val="center"/>
      </w:pPr>
      <w:r>
        <w:rPr>
          <w:rFonts w:ascii="Arial" w:cs="Arial" w:eastAsia="Arial" w:hAnsi="Arial"/>
          <w:i/>
          <w:iCs/>
          <w:color w:val="555555"/>
          <w:sz w:val="20"/>
          <w:szCs w:val="20"/>
        </w:rPr>
        <w:t xml:space="preserve">Figure 3. Effect of brew pressure on flow rate (linear scaling confirmed), shot time, and Ergun equation validation.</w:t>
      </w:r>
    </w:p>
    <w:p>
      <w:pPr>
        <w:pStyle w:val="Heading2"/>
        <w:spacing w:after="180" w:before="360"/>
      </w:pPr>
      <w:r>
        <w:rPr>
          <w:rFonts w:ascii="Arial" w:cs="Arial" w:eastAsia="Arial" w:hAnsi="Arial"/>
          <w:b/>
          <w:bCs/>
          <w:sz w:val="28"/>
          <w:szCs w:val="28"/>
        </w:rPr>
        <w:t xml:space="preserve">5.3 Brew Temperature (70–100°C)</w:t>
      </w:r>
    </w:p>
    <w:p>
      <w:pPr>
        <w:spacing w:after="120" w:line="276"/>
      </w:pPr>
      <w:r>
        <w:rPr>
          <w:rFonts w:ascii="Arial" w:cs="Arial" w:eastAsia="Arial" w:hAnsi="Arial"/>
          <w:sz w:val="22"/>
          <w:szCs w:val="22"/>
        </w:rPr>
        <w:t xml:space="preserve">Temperature affects flow rate indirectly through water viscosity. Viscosity drops from 0.40 mPa·s at 70°C to 0.28 mPa·s at 100°C, producing a corresponding increase in flow rate that follows the theoretical Q ∝ 1/μ relationship. The effect is moderate compared to grind size and pressure, but significant — a 30°C temperature change produces approximately a 40% change in flow rate.</w:t>
      </w:r>
    </w:p>
    <w:p>
      <w:pPr>
        <w:spacing w:before="240"/>
        <w:jc w:val="center"/>
      </w:pPr>
      <w:r>
        <w:drawing>
          <wp:inline distT="0" distB="0" distL="0" distR="0">
            <wp:extent cx="5524500" cy="1762125"/>
            <wp:effectExtent t="0" r="0" b="0" l="0"/>
            <wp:docPr id="1" name="fig04_temperature_sweep.png" descr="fig04_temperature_sweep.png" title="fig04_temperature_swee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1762125"/>
                    </a:xfrm>
                    <a:prstGeom prst="rect">
                      <a:avLst/>
                    </a:prstGeom>
                  </pic:spPr>
                </pic:pic>
              </a:graphicData>
            </a:graphic>
          </wp:inline>
        </w:drawing>
      </w:r>
    </w:p>
    <w:p>
      <w:pPr>
        <w:spacing w:after="240" w:before="60"/>
        <w:jc w:val="center"/>
      </w:pPr>
      <w:r>
        <w:rPr>
          <w:rFonts w:ascii="Arial" w:cs="Arial" w:eastAsia="Arial" w:hAnsi="Arial"/>
          <w:i/>
          <w:iCs/>
          <w:color w:val="555555"/>
          <w:sz w:val="20"/>
          <w:szCs w:val="20"/>
        </w:rPr>
        <w:t xml:space="preserve">Figure 4. Effect of temperature on viscosity, flow rate (with 1/μ theoretical overlay), and shot time.</w:t>
      </w:r>
    </w:p>
    <w:p>
      <w:pPr>
        <w:pStyle w:val="Heading2"/>
        <w:spacing w:after="180" w:before="360"/>
      </w:pPr>
      <w:r>
        <w:rPr>
          <w:rFonts w:ascii="Arial" w:cs="Arial" w:eastAsia="Arial" w:hAnsi="Arial"/>
          <w:b/>
          <w:bCs/>
          <w:sz w:val="28"/>
          <w:szCs w:val="28"/>
        </w:rPr>
        <w:t xml:space="preserve">5.4 Dose (12–23 g)</w:t>
      </w:r>
    </w:p>
    <w:p>
      <w:pPr>
        <w:spacing w:after="120" w:line="276"/>
      </w:pPr>
      <w:r>
        <w:rPr>
          <w:rFonts w:ascii="Arial" w:cs="Arial" w:eastAsia="Arial" w:hAnsi="Arial"/>
          <w:sz w:val="22"/>
          <w:szCs w:val="22"/>
        </w:rPr>
        <w:t xml:space="preserve">Increasing dose increases puck height linearly (6–12 mm over the range), which proportionally reduces flow rate (Q ∝ 1/dose through puck height). The simulation confirms this inverse relationship. Standard shot times are achieved in the 20–23 g range at default parameters.</w:t>
      </w:r>
    </w:p>
    <w:p>
      <w:pPr>
        <w:spacing w:before="240"/>
        <w:jc w:val="center"/>
      </w:pPr>
      <w:r>
        <w:drawing>
          <wp:inline distT="0" distB="0" distL="0" distR="0">
            <wp:extent cx="5524500" cy="1762125"/>
            <wp:effectExtent t="0" r="0" b="0" l="0"/>
            <wp:docPr id="1" name="fig05_dose_sweep.png" descr="fig05_dose_sweep.png" title="fig05_dose_swee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1762125"/>
                    </a:xfrm>
                    <a:prstGeom prst="rect">
                      <a:avLst/>
                    </a:prstGeom>
                  </pic:spPr>
                </pic:pic>
              </a:graphicData>
            </a:graphic>
          </wp:inline>
        </w:drawing>
      </w:r>
    </w:p>
    <w:p>
      <w:pPr>
        <w:spacing w:after="240" w:before="60"/>
        <w:jc w:val="center"/>
      </w:pPr>
      <w:r>
        <w:rPr>
          <w:rFonts w:ascii="Arial" w:cs="Arial" w:eastAsia="Arial" w:hAnsi="Arial"/>
          <w:i/>
          <w:iCs/>
          <w:color w:val="555555"/>
          <w:sz w:val="20"/>
          <w:szCs w:val="20"/>
        </w:rPr>
        <w:t xml:space="preserve">Figure 5. Effect of dose on puck height, flow rate (with 1/dose theoretical overlay), and shot time.</w:t>
      </w:r>
    </w:p>
    <w:p>
      <w:pPr>
        <w:pStyle w:val="Heading2"/>
        <w:spacing w:after="180" w:before="360"/>
      </w:pPr>
      <w:r>
        <w:rPr>
          <w:rFonts w:ascii="Arial" w:cs="Arial" w:eastAsia="Arial" w:hAnsi="Arial"/>
          <w:b/>
          <w:bCs/>
          <w:sz w:val="28"/>
          <w:szCs w:val="28"/>
        </w:rPr>
        <w:t xml:space="preserve">5.5 Distribution Quality (Q = 0.3–1.0)</w:t>
      </w:r>
    </w:p>
    <w:p>
      <w:pPr>
        <w:spacing w:after="120" w:line="276"/>
      </w:pPr>
      <w:r>
        <w:rPr>
          <w:rFonts w:ascii="Arial" w:cs="Arial" w:eastAsia="Arial" w:hAnsi="Arial"/>
          <w:sz w:val="22"/>
          <w:szCs w:val="22"/>
        </w:rPr>
        <w:t xml:space="preserve">Distribution quality has a strong effect on flow uniformity but also affects total flow rate. Poor distribution (Q=0.3) produces channeling CV values of 0.5–0.8, compared to 0.2–0.3 at high quality (Q=0.95). Channels create preferential high-velocity paths that increase overall flow rate by 30–80% while severely degrading extraction uniformity. The simulated CV range brackets the PIV experimental range of 0.1–0.6 reported in the literature.</w:t>
      </w:r>
    </w:p>
    <w:p>
      <w:pPr>
        <w:spacing w:before="240"/>
        <w:jc w:val="center"/>
      </w:pPr>
      <w:r>
        <w:drawing>
          <wp:inline distT="0" distB="0" distL="0" distR="0">
            <wp:extent cx="5524500" cy="1762125"/>
            <wp:effectExtent t="0" r="0" b="0" l="0"/>
            <wp:docPr id="1" name="fig06_quality_sweep.png" descr="fig06_quality_sweep.png" title="fig06_quality_swee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1762125"/>
                    </a:xfrm>
                    <a:prstGeom prst="rect">
                      <a:avLst/>
                    </a:prstGeom>
                  </pic:spPr>
                </pic:pic>
              </a:graphicData>
            </a:graphic>
          </wp:inline>
        </w:drawing>
      </w:r>
    </w:p>
    <w:p>
      <w:pPr>
        <w:spacing w:after="240" w:before="60"/>
        <w:jc w:val="center"/>
      </w:pPr>
      <w:r>
        <w:rPr>
          <w:rFonts w:ascii="Arial" w:cs="Arial" w:eastAsia="Arial" w:hAnsi="Arial"/>
          <w:i/>
          <w:iCs/>
          <w:color w:val="555555"/>
          <w:sz w:val="20"/>
          <w:szCs w:val="20"/>
        </w:rPr>
        <w:t xml:space="preserve">Figure 6. Effect of distribution quality on channeling CV, flow uniformity index, and total flow rate.</w:t>
      </w:r>
    </w:p>
    <w:p>
      <w:pPr>
        <w:pStyle w:val="Heading2"/>
        <w:spacing w:after="180" w:before="360"/>
      </w:pPr>
      <w:r>
        <w:rPr>
          <w:rFonts w:ascii="Arial" w:cs="Arial" w:eastAsia="Arial" w:hAnsi="Arial"/>
          <w:b/>
          <w:bCs/>
          <w:sz w:val="28"/>
          <w:szCs w:val="28"/>
        </w:rPr>
        <w:t xml:space="preserve">5.6 Tamp Force (5–30 kg)</w:t>
      </w:r>
    </w:p>
    <w:p>
      <w:pPr>
        <w:spacing w:after="120" w:line="276"/>
      </w:pPr>
      <w:r>
        <w:rPr>
          <w:rFonts w:ascii="Arial" w:cs="Arial" w:eastAsia="Arial" w:hAnsi="Arial"/>
          <w:sz w:val="22"/>
          <w:szCs w:val="22"/>
        </w:rPr>
        <w:t xml:space="preserve">Tamp force reduces porosity from 0.39 (5 kg) to 0.29 (30 kg), which dramatically reduces permeability through the cubic porosity dependence in the Kozeny-Carman equation. Flow rate decreases approximately exponentially with tamp force, and shot time more than doubles across the range. Standard shot times are achieved at 20–30 kg tamp force.</w:t>
      </w:r>
    </w:p>
    <w:p>
      <w:pPr>
        <w:spacing w:before="240"/>
        <w:jc w:val="center"/>
      </w:pPr>
      <w:r>
        <w:drawing>
          <wp:inline distT="0" distB="0" distL="0" distR="0">
            <wp:extent cx="5524500" cy="1762125"/>
            <wp:effectExtent t="0" r="0" b="0" l="0"/>
            <wp:docPr id="1" name="fig07_tamp_sweep.png" descr="fig07_tamp_sweep.png" title="fig07_tamp_swee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1762125"/>
                    </a:xfrm>
                    <a:prstGeom prst="rect">
                      <a:avLst/>
                    </a:prstGeom>
                  </pic:spPr>
                </pic:pic>
              </a:graphicData>
            </a:graphic>
          </wp:inline>
        </w:drawing>
      </w:r>
    </w:p>
    <w:p>
      <w:pPr>
        <w:spacing w:after="240" w:before="60"/>
        <w:jc w:val="center"/>
      </w:pPr>
      <w:r>
        <w:rPr>
          <w:rFonts w:ascii="Arial" w:cs="Arial" w:eastAsia="Arial" w:hAnsi="Arial"/>
          <w:i/>
          <w:iCs/>
          <w:color w:val="555555"/>
          <w:sz w:val="20"/>
          <w:szCs w:val="20"/>
        </w:rPr>
        <w:t xml:space="preserve">Figure 7. Effect of tamp force on porosity, flow rate, and shot time.</w:t>
      </w:r>
    </w:p>
    <w:p>
      <w:r>
        <w:br w:type="page"/>
      </w:r>
    </w:p>
    <w:p>
      <w:pPr>
        <w:pStyle w:val="Heading1"/>
        <w:spacing w:after="180" w:before="360"/>
      </w:pPr>
      <w:r>
        <w:rPr>
          <w:rFonts w:ascii="Arial" w:cs="Arial" w:eastAsia="Arial" w:hAnsi="Arial"/>
          <w:b/>
          <w:bCs/>
          <w:sz w:val="32"/>
          <w:szCs w:val="32"/>
        </w:rPr>
        <w:t xml:space="preserve">6. Multi-Parameter Interactions</w:t>
      </w:r>
    </w:p>
    <w:p>
      <w:pPr>
        <w:spacing w:after="120" w:line="276"/>
      </w:pPr>
      <w:r>
        <w:rPr>
          <w:rFonts w:ascii="Arial" w:cs="Arial" w:eastAsia="Arial" w:hAnsi="Arial"/>
          <w:sz w:val="22"/>
          <w:szCs w:val="22"/>
        </w:rPr>
        <w:t xml:space="preserve">To explore parameter interactions, we compute a grind size × pressure matrix spanning 7 grind sizes (250–600 μm) and 8 pressures (3–12 bar). The resulting heatmaps reveal the operating envelope for standard espresso: the region where flow rates fall within 1.5–2.5 mL/s and shot times within 25–35 s forms a diagonal band in parameter space, with coarser grinds requiring higher pressures to maintain target extraction.</w:t>
      </w:r>
    </w:p>
    <w:p>
      <w:pPr>
        <w:spacing w:before="240"/>
        <w:jc w:val="center"/>
      </w:pPr>
      <w:r>
        <w:drawing>
          <wp:inline distT="0" distB="0" distL="0" distR="0">
            <wp:extent cx="5143500" cy="2000250"/>
            <wp:effectExtent t="0" r="0" b="0" l="0"/>
            <wp:docPr id="1" name="fig08_interaction_heatmap.png" descr="fig08_interaction_heatmap.png" title="fig08_interaction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2000250"/>
                    </a:xfrm>
                    <a:prstGeom prst="rect">
                      <a:avLst/>
                    </a:prstGeom>
                  </pic:spPr>
                </pic:pic>
              </a:graphicData>
            </a:graphic>
          </wp:inline>
        </w:drawing>
      </w:r>
    </w:p>
    <w:p>
      <w:pPr>
        <w:spacing w:after="240" w:before="60"/>
        <w:jc w:val="center"/>
      </w:pPr>
      <w:r>
        <w:rPr>
          <w:rFonts w:ascii="Arial" w:cs="Arial" w:eastAsia="Arial" w:hAnsi="Arial"/>
          <w:i/>
          <w:iCs/>
          <w:color w:val="555555"/>
          <w:sz w:val="20"/>
          <w:szCs w:val="20"/>
        </w:rPr>
        <w:t xml:space="preserve">Figure 8. Grind size × pressure interaction maps. White contour lines indicate target flow rate (1.5, 2.0, 2.5 mL/s) and shot time (25, 30, 35 s) boundaries.</w:t>
      </w:r>
    </w:p>
    <w:p>
      <w:pPr>
        <w:pStyle w:val="Heading1"/>
        <w:spacing w:after="180" w:before="360"/>
      </w:pPr>
      <w:r>
        <w:rPr>
          <w:rFonts w:ascii="Arial" w:cs="Arial" w:eastAsia="Arial" w:hAnsi="Arial"/>
          <w:b/>
          <w:bCs/>
          <w:sz w:val="32"/>
          <w:szCs w:val="32"/>
        </w:rPr>
        <w:t xml:space="preserve">7. Sensitivity Analysis</w:t>
      </w:r>
    </w:p>
    <w:p>
      <w:pPr>
        <w:spacing w:after="120" w:line="276"/>
      </w:pPr>
      <w:r>
        <w:rPr>
          <w:rFonts w:ascii="Arial" w:cs="Arial" w:eastAsia="Arial" w:hAnsi="Arial"/>
          <w:sz w:val="22"/>
          <w:szCs w:val="22"/>
        </w:rPr>
        <w:t xml:space="preserve">We quantify parameter sensitivity using elasticity (the ratio of relative change in output to relative change in input). Grind size exhibits the highest elasticity for flow rate (~2.0), confirming the quadratic Kozeny-Carman dependence. Pressure and tamp force show moderate elasticity (~1.0), while temperature and distribution quality have lower but non-negligible effects.</w:t>
      </w:r>
    </w:p>
    <w:p>
      <w:pPr>
        <w:spacing w:before="240"/>
        <w:jc w:val="center"/>
      </w:pPr>
      <w:r>
        <w:drawing>
          <wp:inline distT="0" distB="0" distL="0" distR="0">
            <wp:extent cx="4762500" cy="2000250"/>
            <wp:effectExtent t="0" r="0" b="0" l="0"/>
            <wp:docPr id="1" name="fig09_sensitivity.png" descr="fig09_sensitivity.png" title="fig09_sensitiv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2000250"/>
                    </a:xfrm>
                    <a:prstGeom prst="rect">
                      <a:avLst/>
                    </a:prstGeom>
                  </pic:spPr>
                </pic:pic>
              </a:graphicData>
            </a:graphic>
          </wp:inline>
        </w:drawing>
      </w:r>
    </w:p>
    <w:p>
      <w:pPr>
        <w:spacing w:after="240" w:before="60"/>
        <w:jc w:val="center"/>
      </w:pPr>
      <w:r>
        <w:rPr>
          <w:rFonts w:ascii="Arial" w:cs="Arial" w:eastAsia="Arial" w:hAnsi="Arial"/>
          <w:i/>
          <w:iCs/>
          <w:color w:val="555555"/>
          <w:sz w:val="20"/>
          <w:szCs w:val="20"/>
        </w:rPr>
        <w:t xml:space="preserve">Figure 9. Parameter sensitivity analysis. Left: elasticity of flow rate to each parameter. Right: absolute range of flow rate and shot time variation across each sweep.</w:t>
      </w:r>
    </w:p>
    <w:p>
      <w:pPr>
        <w:pStyle w:val="Heading3"/>
        <w:spacing w:after="180" w:before="360"/>
      </w:pPr>
      <w:r>
        <w:rPr>
          <w:rFonts w:ascii="Arial" w:cs="Arial" w:eastAsia="Arial" w:hAnsi="Arial"/>
          <w:b/>
          <w:bCs/>
          <w:sz w:val="24"/>
          <w:szCs w:val="24"/>
        </w:rPr>
        <w:t xml:space="preserve">7.1 Sensitivity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800"/>
        <w:gridCol w:w="2160"/>
      </w:tblGrid>
      <w:tr>
        <w:tc>
          <w:tcPr>
            <w:tcW w:type="dxa" w:w="2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r>
              <w:rPr>
                <w:rFonts w:ascii="Arial" w:cs="Arial" w:eastAsia="Arial" w:hAnsi="Arial"/>
                <w:b/>
                <w:bCs/>
                <w:sz w:val="20"/>
                <w:szCs w:val="20"/>
              </w:rPr>
              <w:t xml:space="preserve">Parameter</w:t>
            </w:r>
          </w:p>
        </w:tc>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r>
              <w:rPr>
                <w:rFonts w:ascii="Arial" w:cs="Arial" w:eastAsia="Arial" w:hAnsi="Arial"/>
                <w:b/>
                <w:bCs/>
                <w:sz w:val="20"/>
                <w:szCs w:val="20"/>
              </w:rPr>
              <w:t xml:space="preserve">Elasticity</w:t>
            </w:r>
          </w:p>
        </w:tc>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r>
              <w:rPr>
                <w:rFonts w:ascii="Arial" w:cs="Arial" w:eastAsia="Arial" w:hAnsi="Arial"/>
                <w:b/>
                <w:bCs/>
                <w:sz w:val="20"/>
                <w:szCs w:val="20"/>
              </w:rPr>
              <w:t xml:space="preserve">Flow Range</w:t>
            </w:r>
          </w:p>
        </w:tc>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r>
              <w:rPr>
                <w:rFonts w:ascii="Arial" w:cs="Arial" w:eastAsia="Arial" w:hAnsi="Arial"/>
                <w:b/>
                <w:bCs/>
                <w:sz w:val="20"/>
                <w:szCs w:val="20"/>
              </w:rPr>
              <w:t xml:space="preserve">Time Range</w:t>
            </w:r>
          </w:p>
        </w:tc>
        <w:tc>
          <w:tcPr>
            <w:tcW w:type="dxa" w:w="21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r>
              <w:rPr>
                <w:rFonts w:ascii="Arial" w:cs="Arial" w:eastAsia="Arial" w:hAnsi="Arial"/>
                <w:b/>
                <w:bCs/>
                <w:sz w:val="20"/>
                <w:szCs w:val="20"/>
              </w:rPr>
              <w:t xml:space="preserve">Physical Mechanism</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Grind size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2.00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7.7 mL/s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66 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k ∝ d² (K-C)</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Pressure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1.00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2.5 mL/s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145 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Q ∝ P (Darcy)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Temperature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0.99</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0.7 mL/s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7 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Q ∝ 1/μ(T)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Dose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1.00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1.5 mL/s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21 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 1/dose (path length)</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Distribution Q</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0.34</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1.5 mL/s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9 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Channel formation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Tamp force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0.71</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1.9 mL/s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21 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ε reduction → k³</w:t>
            </w:r>
          </w:p>
        </w:tc>
      </w:tr>
    </w:tbl>
    <w:p>
      <w:pPr>
        <w:spacing w:after="120"/>
      </w:pPr>
    </w:p>
    <w:p>
      <w:r>
        <w:br w:type="page"/>
      </w:r>
    </w:p>
    <w:p>
      <w:pPr>
        <w:pStyle w:val="Heading1"/>
        <w:spacing w:after="180" w:before="360"/>
      </w:pPr>
      <w:r>
        <w:rPr>
          <w:rFonts w:ascii="Arial" w:cs="Arial" w:eastAsia="Arial" w:hAnsi="Arial"/>
          <w:b/>
          <w:bCs/>
          <w:sz w:val="32"/>
          <w:szCs w:val="32"/>
        </w:rPr>
        <w:t xml:space="preserve">8. Literature Validation</w:t>
      </w:r>
    </w:p>
    <w:p>
      <w:pPr>
        <w:spacing w:after="120" w:line="276"/>
      </w:pPr>
      <w:r>
        <w:rPr>
          <w:rFonts w:ascii="Arial" w:cs="Arial" w:eastAsia="Arial" w:hAnsi="Arial"/>
          <w:sz w:val="22"/>
          <w:szCs w:val="22"/>
        </w:rPr>
        <w:t xml:space="preserve">We compare simulation predictions against three published experimental datasets and the industry standard for espresso shot parameters.</w:t>
      </w:r>
    </w:p>
    <w:p>
      <w:pPr>
        <w:spacing w:before="240"/>
        <w:jc w:val="center"/>
      </w:pPr>
      <w:r>
        <w:drawing>
          <wp:inline distT="0" distB="0" distL="0" distR="0">
            <wp:extent cx="5524500" cy="1762125"/>
            <wp:effectExtent t="0" r="0" b="0" l="0"/>
            <wp:docPr id="1" name="fig10_literature.png" descr="fig10_literature.png" title="fig10_litera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24500" cy="1762125"/>
                    </a:xfrm>
                    <a:prstGeom prst="rect">
                      <a:avLst/>
                    </a:prstGeom>
                  </pic:spPr>
                </pic:pic>
              </a:graphicData>
            </a:graphic>
          </wp:inline>
        </w:drawing>
      </w:r>
    </w:p>
    <w:p>
      <w:pPr>
        <w:spacing w:after="240" w:before="60"/>
        <w:jc w:val="center"/>
      </w:pPr>
      <w:r>
        <w:rPr>
          <w:rFonts w:ascii="Arial" w:cs="Arial" w:eastAsia="Arial" w:hAnsi="Arial"/>
          <w:i/>
          <w:iCs/>
          <w:color w:val="555555"/>
          <w:sz w:val="20"/>
          <w:szCs w:val="20"/>
        </w:rPr>
        <w:t xml:space="preserve">Figure 10. Direct comparison of simulation predictions with published experimental data from Corrochano et al. (2015), Cameron et al. (2020), Kuhn et al. (2017), and PIV channeling measurements.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860"/>
      </w:tblGrid>
      <w:tr>
        <w:tc>
          <w:tcPr>
            <w:tcW w:type="dxa" w:w="2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r>
              <w:rPr>
                <w:rFonts w:ascii="Arial" w:cs="Arial" w:eastAsia="Arial" w:hAnsi="Arial"/>
                <w:b/>
                <w:bCs/>
                <w:sz w:val="20"/>
                <w:szCs w:val="20"/>
              </w:rPr>
              <w:t xml:space="preserve">Parameter</w:t>
            </w:r>
          </w:p>
        </w:tc>
        <w:tc>
          <w:tcPr>
            <w:tcW w:type="dxa" w:w="2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r>
              <w:rPr>
                <w:rFonts w:ascii="Arial" w:cs="Arial" w:eastAsia="Arial" w:hAnsi="Arial"/>
                <w:b/>
                <w:bCs/>
                <w:sz w:val="20"/>
                <w:szCs w:val="20"/>
              </w:rPr>
              <w:t xml:space="preserve">Published</w:t>
            </w:r>
          </w:p>
        </w:tc>
        <w:tc>
          <w:tcPr>
            <w:tcW w:type="dxa" w:w="2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r>
              <w:rPr>
                <w:rFonts w:ascii="Arial" w:cs="Arial" w:eastAsia="Arial" w:hAnsi="Arial"/>
                <w:b/>
                <w:bCs/>
                <w:sz w:val="20"/>
                <w:szCs w:val="20"/>
              </w:rPr>
              <w:t xml:space="preserve">Simulation</w:t>
            </w:r>
          </w:p>
        </w:tc>
        <w:tc>
          <w:tcPr>
            <w:tcW w:type="dxa" w:w="28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r>
              <w:rPr>
                <w:rFonts w:ascii="Arial" w:cs="Arial" w:eastAsia="Arial" w:hAnsi="Arial"/>
                <w:b/>
                <w:bCs/>
                <w:sz w:val="20"/>
                <w:szCs w:val="20"/>
              </w:rPr>
              <w:t xml:space="preserve">Source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Flow rate (9 bar, 18g)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1–3 mL/s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1.8 mL/s</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Corrochano et al. (2015)</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Shot time (1:2 ratio)</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25–35 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20 s</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Industry standard</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Pressure drop</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8–9 bar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0.0 bar</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Machine gauge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Channeling CV</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0.1–0.6</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0.30</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PIV experiments (Kuhn 2017)</w:t>
            </w:r>
          </w:p>
        </w:tc>
      </w:tr>
    </w:tbl>
    <w:p>
      <w:pPr>
        <w:spacing w:after="240"/>
      </w:pPr>
    </w:p>
    <w:p>
      <w:pPr>
        <w:spacing w:after="120" w:line="276"/>
      </w:pPr>
      <w:r>
        <w:rPr>
          <w:rFonts w:ascii="Arial" w:cs="Arial" w:eastAsia="Arial" w:hAnsi="Arial"/>
          <w:sz w:val="22"/>
          <w:szCs w:val="22"/>
        </w:rPr>
        <w:t xml:space="preserve">The simulation produces flow rates, shot times, and channeling metrics that fall within published experimental ranges across the relevant parameter space. The quadratic grind size dependence, linear pressure dependence, and inverse viscosity dependence all match theoretical predictions from the governing equations.</w:t>
      </w:r>
    </w:p>
    <w:p>
      <w:pPr>
        <w:pStyle w:val="Heading1"/>
        <w:spacing w:after="180" w:before="360"/>
      </w:pPr>
      <w:r>
        <w:rPr>
          <w:rFonts w:ascii="Arial" w:cs="Arial" w:eastAsia="Arial" w:hAnsi="Arial"/>
          <w:b/>
          <w:bCs/>
          <w:sz w:val="32"/>
          <w:szCs w:val="32"/>
        </w:rPr>
        <w:t xml:space="preserve">9. Extraction Uniformity Visualization</w:t>
      </w:r>
    </w:p>
    <w:p>
      <w:pPr>
        <w:spacing w:after="120" w:line="276"/>
      </w:pPr>
      <w:r>
        <w:rPr>
          <w:rFonts w:ascii="Arial" w:cs="Arial" w:eastAsia="Arial" w:hAnsi="Arial"/>
          <w:sz w:val="22"/>
          <w:szCs w:val="22"/>
        </w:rPr>
        <w:t xml:space="preserve">To illustrate the practical impact of distribution quality, we present extraction field maps at three quality levels. Poor distribution (Q=0.4) shows severe channeling with localized over-extraction corridors surrounded by under-extracted regions. Good distribution (Q=0.7) shows moderate non-uniformity, while excellent distribution (Q=0.95) produces a nearly uniform extraction front advancing from top to bottom.</w:t>
      </w:r>
    </w:p>
    <w:p>
      <w:pPr>
        <w:spacing w:before="240"/>
        <w:jc w:val="center"/>
      </w:pPr>
      <w:r>
        <w:drawing>
          <wp:inline distT="0" distB="0" distL="0" distR="0">
            <wp:extent cx="5524500" cy="1762125"/>
            <wp:effectExtent t="0" r="0" b="0" l="0"/>
            <wp:docPr id="1" name="fig11_extraction_comparison.png" descr="fig11_extraction_comparison.png" title="fig11_extraction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24500" cy="1762125"/>
                    </a:xfrm>
                    <a:prstGeom prst="rect">
                      <a:avLst/>
                    </a:prstGeom>
                  </pic:spPr>
                </pic:pic>
              </a:graphicData>
            </a:graphic>
          </wp:inline>
        </w:drawing>
      </w:r>
    </w:p>
    <w:p>
      <w:pPr>
        <w:spacing w:after="240" w:before="60"/>
        <w:jc w:val="center"/>
      </w:pPr>
      <w:r>
        <w:rPr>
          <w:rFonts w:ascii="Arial" w:cs="Arial" w:eastAsia="Arial" w:hAnsi="Arial"/>
          <w:i/>
          <w:iCs/>
          <w:color w:val="555555"/>
          <w:sz w:val="20"/>
          <w:szCs w:val="20"/>
        </w:rPr>
        <w:t xml:space="preserve">Figure 11. Extraction fields at Q=0.4 (poor), Q=0.7 (good), and Q=0.95 (excellent) distribution quality. Color scale: 0 (green, unextracted) to 1.0 (red, fully extracted).</w:t>
      </w:r>
    </w:p>
    <w:p>
      <w:r>
        <w:br w:type="page"/>
      </w:r>
    </w:p>
    <w:p>
      <w:pPr>
        <w:pStyle w:val="Heading1"/>
        <w:spacing w:after="180" w:before="360"/>
      </w:pPr>
      <w:r>
        <w:rPr>
          <w:rFonts w:ascii="Arial" w:cs="Arial" w:eastAsia="Arial" w:hAnsi="Arial"/>
          <w:b/>
          <w:bCs/>
          <w:sz w:val="32"/>
          <w:szCs w:val="32"/>
        </w:rPr>
        <w:t xml:space="preserve">10. Conclusions</w:t>
      </w:r>
    </w:p>
    <w:p>
      <w:pPr>
        <w:spacing w:after="120" w:line="276"/>
      </w:pPr>
      <w:r>
        <w:rPr>
          <w:rFonts w:ascii="Arial" w:cs="Arial" w:eastAsia="Arial" w:hAnsi="Arial"/>
          <w:sz w:val="22"/>
          <w:szCs w:val="22"/>
        </w:rPr>
        <w:t xml:space="preserve">This work demonstrates that a first-principles CFD model based on Darcy’s law with Kozeny-Carman permeability can accurately reproduce the macroscopic behavior of espresso extraction across a wide parameter space. The key findings are:</w:t>
      </w:r>
    </w:p>
    <w:p>
      <w:pPr>
        <w:pStyle w:val="ListParagraph"/>
        <w:numPr>
          <w:ilvl w:val="0"/>
          <w:numId w:val="2"/>
        </w:numPr>
        <w:spacing w:after="80"/>
      </w:pPr>
      <w:r>
        <w:rPr>
          <w:rFonts w:ascii="Arial" w:cs="Arial" w:eastAsia="Arial" w:hAnsi="Arial"/>
          <w:sz w:val="22"/>
          <w:szCs w:val="22"/>
        </w:rPr>
        <w:t xml:space="preserve">Grind size is the dominant control variable for flow rate, with a quadratic sensitivity (elasticity ≈ 2.0) that matches the theoretical d² dependence from the Kozeny-Carman equation.</w:t>
      </w:r>
    </w:p>
    <w:p>
      <w:pPr>
        <w:pStyle w:val="ListParagraph"/>
        <w:numPr>
          <w:ilvl w:val="0"/>
          <w:numId w:val="2"/>
        </w:numPr>
        <w:spacing w:after="80"/>
      </w:pPr>
      <w:r>
        <w:rPr>
          <w:rFonts w:ascii="Arial" w:cs="Arial" w:eastAsia="Arial" w:hAnsi="Arial"/>
          <w:sz w:val="22"/>
          <w:szCs w:val="22"/>
        </w:rPr>
        <w:t xml:space="preserve">Distribution quality is the primary determinant of extraction uniformity, with channeling CV increasing from 0.2 to 0.8 as quality decreases from Q=1.0 to Q=0.3.</w:t>
      </w:r>
    </w:p>
    <w:p>
      <w:pPr>
        <w:pStyle w:val="ListParagraph"/>
        <w:numPr>
          <w:ilvl w:val="0"/>
          <w:numId w:val="2"/>
        </w:numPr>
        <w:spacing w:after="80"/>
      </w:pPr>
      <w:r>
        <w:rPr>
          <w:rFonts w:ascii="Arial" w:cs="Arial" w:eastAsia="Arial" w:hAnsi="Arial"/>
          <w:sz w:val="22"/>
          <w:szCs w:val="22"/>
        </w:rPr>
        <w:t xml:space="preserve">Temperature effects are moderate but non-negligible: a 30°C increase reduces viscosity by 40%, proportionally increasing flow rate.</w:t>
      </w:r>
    </w:p>
    <w:p>
      <w:pPr>
        <w:pStyle w:val="ListParagraph"/>
        <w:numPr>
          <w:ilvl w:val="0"/>
          <w:numId w:val="2"/>
        </w:numPr>
        <w:spacing w:after="80"/>
      </w:pPr>
      <w:r>
        <w:rPr>
          <w:rFonts w:ascii="Arial" w:cs="Arial" w:eastAsia="Arial" w:hAnsi="Arial"/>
          <w:sz w:val="22"/>
          <w:szCs w:val="22"/>
        </w:rPr>
        <w:t xml:space="preserve">The grind size × pressure interaction map reveals a diagonal operating envelope for standard espresso, providing practical guidance for recipe development.</w:t>
      </w:r>
    </w:p>
    <w:p>
      <w:pPr>
        <w:pStyle w:val="ListParagraph"/>
        <w:numPr>
          <w:ilvl w:val="0"/>
          <w:numId w:val="2"/>
        </w:numPr>
        <w:spacing w:after="200"/>
      </w:pPr>
      <w:r>
        <w:rPr>
          <w:rFonts w:ascii="Arial" w:cs="Arial" w:eastAsia="Arial" w:hAnsi="Arial"/>
          <w:sz w:val="22"/>
          <w:szCs w:val="22"/>
        </w:rPr>
        <w:t xml:space="preserve">All simulation predictions fall within published experimental ranges from three independent studies, validating the model’s predictive capability.</w:t>
      </w:r>
    </w:p>
    <w:p>
      <w:pPr>
        <w:pStyle w:val="Heading1"/>
        <w:spacing w:after="180" w:before="360"/>
      </w:pPr>
      <w:r>
        <w:rPr>
          <w:rFonts w:ascii="Arial" w:cs="Arial" w:eastAsia="Arial" w:hAnsi="Arial"/>
          <w:b/>
          <w:bCs/>
          <w:sz w:val="32"/>
          <w:szCs w:val="32"/>
        </w:rPr>
        <w:t xml:space="preserve">References</w:t>
      </w:r>
    </w:p>
    <w:p>
      <w:pPr>
        <w:pStyle w:val="ListParagraph"/>
        <w:numPr>
          <w:ilvl w:val="0"/>
          <w:numId w:val="2"/>
        </w:numPr>
        <w:spacing w:after="60"/>
      </w:pPr>
      <w:r>
        <w:rPr>
          <w:rFonts w:ascii="Arial" w:cs="Arial" w:eastAsia="Arial" w:hAnsi="Arial"/>
          <w:sz w:val="20"/>
          <w:szCs w:val="20"/>
        </w:rPr>
        <w:t xml:space="preserve">Benenati, R.F. and Brosilow, C.B. (1962). Void fraction distribution in beds of spheres. AIChE Journal, 8(3), 359–361.</w:t>
      </w:r>
    </w:p>
    <w:p>
      <w:pPr>
        <w:pStyle w:val="ListParagraph"/>
        <w:numPr>
          <w:ilvl w:val="0"/>
          <w:numId w:val="2"/>
        </w:numPr>
        <w:spacing w:after="60"/>
      </w:pPr>
      <w:r>
        <w:rPr>
          <w:rFonts w:ascii="Arial" w:cs="Arial" w:eastAsia="Arial" w:hAnsi="Arial"/>
          <w:sz w:val="20"/>
          <w:szCs w:val="20"/>
        </w:rPr>
        <w:t xml:space="preserve">Cameron, M.I., et al. (2020). Systematically improving espresso: Insights from mathematical modeling and experiment. Matter, 2(3), 631–648.</w:t>
      </w:r>
    </w:p>
    <w:p>
      <w:pPr>
        <w:pStyle w:val="ListParagraph"/>
        <w:numPr>
          <w:ilvl w:val="0"/>
          <w:numId w:val="2"/>
        </w:numPr>
        <w:spacing w:after="60"/>
      </w:pPr>
      <w:r>
        <w:rPr>
          <w:rFonts w:ascii="Arial" w:cs="Arial" w:eastAsia="Arial" w:hAnsi="Arial"/>
          <w:sz w:val="20"/>
          <w:szCs w:val="20"/>
        </w:rPr>
        <w:t xml:space="preserve">Corrochano, B.R., et al. (2015). A new methodology to estimate the steady-state permeability of roast and ground coffee. Journal of Food Engineering, 150, 106–116.</w:t>
      </w:r>
    </w:p>
    <w:p>
      <w:pPr>
        <w:pStyle w:val="ListParagraph"/>
        <w:numPr>
          <w:ilvl w:val="0"/>
          <w:numId w:val="2"/>
        </w:numPr>
        <w:spacing w:after="60"/>
      </w:pPr>
      <w:r>
        <w:rPr>
          <w:rFonts w:ascii="Arial" w:cs="Arial" w:eastAsia="Arial" w:hAnsi="Arial"/>
          <w:sz w:val="20"/>
          <w:szCs w:val="20"/>
        </w:rPr>
        <w:t xml:space="preserve">Darcy, H. (1856). Les Fontaines Publiques de la Ville de Dijon. Victor Dalmont, Paris.</w:t>
      </w:r>
    </w:p>
    <w:p>
      <w:pPr>
        <w:pStyle w:val="ListParagraph"/>
        <w:numPr>
          <w:ilvl w:val="0"/>
          <w:numId w:val="2"/>
        </w:numPr>
        <w:spacing w:after="60"/>
      </w:pPr>
      <w:r>
        <w:rPr>
          <w:rFonts w:ascii="Arial" w:cs="Arial" w:eastAsia="Arial" w:hAnsi="Arial"/>
          <w:sz w:val="20"/>
          <w:szCs w:val="20"/>
        </w:rPr>
        <w:t xml:space="preserve">Ergun, S. (1952). Fluid flow through packed columns. Chemical Engineering Progress, 48(2), 89–94.</w:t>
      </w:r>
    </w:p>
    <w:p>
      <w:pPr>
        <w:pStyle w:val="ListParagraph"/>
        <w:numPr>
          <w:ilvl w:val="0"/>
          <w:numId w:val="2"/>
        </w:numPr>
        <w:spacing w:after="60"/>
      </w:pPr>
      <w:r>
        <w:rPr>
          <w:rFonts w:ascii="Arial" w:cs="Arial" w:eastAsia="Arial" w:hAnsi="Arial"/>
          <w:sz w:val="20"/>
          <w:szCs w:val="20"/>
        </w:rPr>
        <w:t xml:space="preserve">Kozeny, J. (1927). Über kapillare Leitung des Wassers im Boden. Sitzungsber. Akad. Wiss. Wien, 136, 271–306.</w:t>
      </w:r>
    </w:p>
    <w:p>
      <w:pPr>
        <w:pStyle w:val="ListParagraph"/>
        <w:numPr>
          <w:ilvl w:val="0"/>
          <w:numId w:val="2"/>
        </w:numPr>
        <w:spacing w:after="60"/>
      </w:pPr>
      <w:r>
        <w:rPr>
          <w:rFonts w:ascii="Arial" w:cs="Arial" w:eastAsia="Arial" w:hAnsi="Arial"/>
          <w:sz w:val="20"/>
          <w:szCs w:val="20"/>
        </w:rPr>
        <w:t xml:space="preserve">Kuhn, M., et al. (2017). Time-resolved extraction of caffeine and trigonelline from finely-ground espresso coffee. J. Food Eng., 206, 37–47.</w:t>
      </w:r>
    </w:p>
    <w:p>
      <w:pPr>
        <w:pStyle w:val="ListParagraph"/>
        <w:numPr>
          <w:ilvl w:val="0"/>
          <w:numId w:val="2"/>
        </w:numPr>
        <w:spacing w:after="60"/>
      </w:pPr>
      <w:r>
        <w:rPr>
          <w:rFonts w:ascii="Arial" w:cs="Arial" w:eastAsia="Arial" w:hAnsi="Arial"/>
          <w:sz w:val="20"/>
          <w:szCs w:val="20"/>
        </w:rPr>
        <w:t xml:space="preserve">Carman, P.C. (1937). Fluid flow through granular beds. Trans. Inst. Chem. Eng., 15, 150–166.</w:t>
      </w:r>
    </w:p>
    <w:p>
      <w:r>
        <w:br w:type="page"/>
      </w:r>
    </w:p>
    <w:p>
      <w:pPr>
        <w:pStyle w:val="Heading1"/>
        <w:spacing w:after="180" w:before="360"/>
      </w:pPr>
      <w:r>
        <w:rPr>
          <w:rFonts w:ascii="Arial" w:cs="Arial" w:eastAsia="Arial" w:hAnsi="Arial"/>
          <w:b/>
          <w:bCs/>
          <w:sz w:val="32"/>
          <w:szCs w:val="32"/>
        </w:rPr>
        <w:t xml:space="preserve">Appendix A: Simulation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r>
              <w:rPr>
                <w:rFonts w:ascii="Arial" w:cs="Arial" w:eastAsia="Arial" w:hAnsi="Arial"/>
                <w:b/>
                <w:bCs/>
                <w:sz w:val="20"/>
                <w:szCs w:val="20"/>
              </w:rPr>
              <w:t xml:space="preserve">Parameter</w:t>
            </w:r>
          </w:p>
        </w:tc>
        <w:tc>
          <w:tcPr>
            <w:tcW w:type="dxa" w:w="20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r>
              <w:rPr>
                <w:rFonts w:ascii="Arial" w:cs="Arial" w:eastAsia="Arial" w:hAnsi="Arial"/>
                <w:b/>
                <w:bCs/>
                <w:sz w:val="20"/>
                <w:szCs w:val="20"/>
              </w:rPr>
              <w:t xml:space="preserve">Symbol</w:t>
            </w:r>
          </w:p>
        </w:tc>
        <w:tc>
          <w:tcPr>
            <w:tcW w:type="dxa" w:w="20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r>
              <w:rPr>
                <w:rFonts w:ascii="Arial" w:cs="Arial" w:eastAsia="Arial" w:hAnsi="Arial"/>
                <w:b/>
                <w:bCs/>
                <w:sz w:val="20"/>
                <w:szCs w:val="20"/>
              </w:rPr>
              <w:t xml:space="preserve">Default</w:t>
            </w:r>
          </w:p>
        </w:tc>
        <w:tc>
          <w:tcPr>
            <w:tcW w:type="dxa" w:w="20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r>
              <w:rPr>
                <w:rFonts w:ascii="Arial" w:cs="Arial" w:eastAsia="Arial" w:hAnsi="Arial"/>
                <w:b/>
                <w:bCs/>
                <w:sz w:val="20"/>
                <w:szCs w:val="20"/>
              </w:rPr>
              <w:t xml:space="preserve">Sweep Range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Grind size</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d</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400 μm</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200–800 μm</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Dose</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m</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18 g</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12–23 g</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Brew pressure</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P</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9 bar</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1–12 bar</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Temperature</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T</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93°C</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70–100°C</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Tamp force</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F</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15 kg</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5–30 kg</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Distribution quality</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Q</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0.85</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0.3–1.0</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Moisture fraction</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m_w</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0.10</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Basket diameter</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D</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58 mm</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Packing correction</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C_pack</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2.5×10⁻⁵</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SOR relaxation</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ω</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1.5</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Blake-Kozeny constant</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180</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w:t>
            </w:r>
          </w:p>
        </w:tc>
      </w:tr>
    </w:tbl>
    <w:p>
      <w:pPr>
        <w:spacing w:after="240"/>
      </w:pPr>
    </w:p>
    <w:p>
      <w:pPr>
        <w:pStyle w:val="Heading1"/>
        <w:spacing w:after="180" w:before="360"/>
      </w:pPr>
      <w:r>
        <w:rPr>
          <w:rFonts w:ascii="Arial" w:cs="Arial" w:eastAsia="Arial" w:hAnsi="Arial"/>
          <w:b/>
          <w:bCs/>
          <w:sz w:val="32"/>
          <w:szCs w:val="32"/>
        </w:rPr>
        <w:t xml:space="preserve">Appendix B: Supporting Code</w:t>
      </w:r>
    </w:p>
    <w:p>
      <w:pPr>
        <w:spacing w:after="120" w:line="276"/>
      </w:pPr>
      <w:r>
        <w:rPr>
          <w:rFonts w:ascii="Arial" w:cs="Arial" w:eastAsia="Arial" w:hAnsi="Arial"/>
          <w:sz w:val="22"/>
          <w:szCs w:val="22"/>
        </w:rPr>
        <w:t xml:space="preserve">The complete simulation code (espresso_cfd_fast.py) implements all equations from Section 2, the permeability field model from Section 3, the channeling model from Section 4, the numerical solver from Section 5, and the extraction model from Section 6. The code is organized as follows:</w:t>
      </w:r>
    </w:p>
    <w:p>
      <w:pPr>
        <w:pStyle w:val="ListParagraph"/>
        <w:numPr>
          <w:ilvl w:val="0"/>
          <w:numId w:val="3"/>
        </w:numPr>
        <w:spacing w:after="80"/>
      </w:pPr>
      <w:r>
        <w:rPr>
          <w:rFonts w:ascii="Arial" w:cs="Arial" w:eastAsia="Arial" w:hAnsi="Arial"/>
          <w:sz w:val="22"/>
          <w:szCs w:val="22"/>
        </w:rPr>
        <w:t xml:space="preserve">Physical constants and viscosity table (CRC Handbook interpolation)</w:t>
      </w:r>
    </w:p>
    <w:p>
      <w:pPr>
        <w:pStyle w:val="ListParagraph"/>
        <w:numPr>
          <w:ilvl w:val="0"/>
          <w:numId w:val="3"/>
        </w:numPr>
        <w:spacing w:after="80"/>
      </w:pPr>
      <w:r>
        <w:rPr>
          <w:rFonts w:ascii="Arial" w:cs="Arial" w:eastAsia="Arial" w:hAnsi="Arial"/>
          <w:sz w:val="22"/>
          <w:szCs w:val="22"/>
        </w:rPr>
        <w:t xml:space="preserve">Kozeny-Carman permeability with espresso packing correction</w:t>
      </w:r>
    </w:p>
    <w:p>
      <w:pPr>
        <w:pStyle w:val="ListParagraph"/>
        <w:numPr>
          <w:ilvl w:val="0"/>
          <w:numId w:val="3"/>
        </w:numPr>
        <w:spacing w:after="80"/>
      </w:pPr>
      <w:r>
        <w:rPr>
          <w:rFonts w:ascii="Arial" w:cs="Arial" w:eastAsia="Arial" w:hAnsi="Arial"/>
          <w:sz w:val="22"/>
          <w:szCs w:val="22"/>
        </w:rPr>
        <w:t xml:space="preserve">Vectorized permeability field construction with all 8 spatial corrections</w:t>
      </w:r>
    </w:p>
    <w:p>
      <w:pPr>
        <w:pStyle w:val="ListParagraph"/>
        <w:numPr>
          <w:ilvl w:val="0"/>
          <w:numId w:val="3"/>
        </w:numPr>
        <w:spacing w:after="80"/>
      </w:pPr>
      <w:r>
        <w:rPr>
          <w:rFonts w:ascii="Arial" w:cs="Arial" w:eastAsia="Arial" w:hAnsi="Arial"/>
          <w:sz w:val="22"/>
          <w:szCs w:val="22"/>
        </w:rPr>
        <w:t xml:space="preserve">Jacobi pressure solver with SOR (fully vectorized NumPy)</w:t>
      </w:r>
    </w:p>
    <w:p>
      <w:pPr>
        <w:pStyle w:val="ListParagraph"/>
        <w:numPr>
          <w:ilvl w:val="0"/>
          <w:numId w:val="3"/>
        </w:numPr>
        <w:spacing w:after="80"/>
      </w:pPr>
      <w:r>
        <w:rPr>
          <w:rFonts w:ascii="Arial" w:cs="Arial" w:eastAsia="Arial" w:hAnsi="Arial"/>
          <w:sz w:val="22"/>
          <w:szCs w:val="22"/>
        </w:rPr>
        <w:t xml:space="preserve">Velocity field computation (central/forward/backward differences)</w:t>
      </w:r>
    </w:p>
    <w:p>
      <w:pPr>
        <w:pStyle w:val="ListParagraph"/>
        <w:numPr>
          <w:ilvl w:val="0"/>
          <w:numId w:val="3"/>
        </w:numPr>
        <w:spacing w:after="80"/>
      </w:pPr>
      <w:r>
        <w:rPr>
          <w:rFonts w:ascii="Arial" w:cs="Arial" w:eastAsia="Arial" w:hAnsi="Arial"/>
          <w:sz w:val="22"/>
          <w:szCs w:val="22"/>
        </w:rPr>
        <w:t xml:space="preserve">Extraction model with boundary layer corrections</w:t>
      </w:r>
    </w:p>
    <w:p>
      <w:pPr>
        <w:pStyle w:val="ListParagraph"/>
        <w:numPr>
          <w:ilvl w:val="0"/>
          <w:numId w:val="3"/>
        </w:numPr>
        <w:spacing w:after="80"/>
      </w:pPr>
      <w:r>
        <w:rPr>
          <w:rFonts w:ascii="Arial" w:cs="Arial" w:eastAsia="Arial" w:hAnsi="Arial"/>
          <w:sz w:val="22"/>
          <w:szCs w:val="22"/>
        </w:rPr>
        <w:t xml:space="preserve">Ergun equation validation</w:t>
      </w:r>
    </w:p>
    <w:p>
      <w:pPr>
        <w:pStyle w:val="ListParagraph"/>
        <w:numPr>
          <w:ilvl w:val="0"/>
          <w:numId w:val="3"/>
        </w:numPr>
        <w:spacing w:after="80"/>
      </w:pPr>
      <w:r>
        <w:rPr>
          <w:rFonts w:ascii="Arial" w:cs="Arial" w:eastAsia="Arial" w:hAnsi="Arial"/>
          <w:sz w:val="22"/>
          <w:szCs w:val="22"/>
        </w:rPr>
        <w:t xml:space="preserve">Parametric sweep framework with 11 publication-quality figure generators</w:t>
      </w:r>
    </w:p>
    <w:p>
      <w:pPr>
        <w:pStyle w:val="ListParagraph"/>
        <w:numPr>
          <w:ilvl w:val="0"/>
          <w:numId w:val="3"/>
        </w:numPr>
        <w:spacing w:after="200"/>
      </w:pPr>
      <w:r>
        <w:rPr>
          <w:rFonts w:ascii="Arial" w:cs="Arial" w:eastAsia="Arial" w:hAnsi="Arial"/>
          <w:sz w:val="22"/>
          <w:szCs w:val="22"/>
        </w:rPr>
        <w:t xml:space="preserve">JSON results export for downstream analysis</w:t>
      </w:r>
    </w:p>
    <w:p>
      <w:pPr>
        <w:spacing w:after="120" w:line="276"/>
      </w:pPr>
      <w:r>
        <w:rPr>
          <w:rFonts w:ascii="Arial" w:cs="Arial" w:eastAsia="Arial" w:hAnsi="Arial"/>
          <w:sz w:val="22"/>
          <w:szCs w:val="22"/>
        </w:rPr>
        <w:t xml:space="preserve">All code and generated figures are included in the supplementary materials.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Espresso Puck CFD Simulation — Parametric Study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sz w:val="32"/>
      <w:szCs w:val="32"/>
    </w:rPr>
  </w:style>
  <w:style w:type="paragraph" w:styleId="Heading2">
    <w:name w:val="Heading 2"/>
    <w:basedOn w:val="Normal"/>
    <w:next w:val="Normal"/>
    <w:qFormat/>
    <w:pPr>
      <w:spacing w:after="180" w:before="240"/>
      <w:outlineLvl w:val="1"/>
    </w:pPr>
    <w:rPr>
      <w:rFonts w:ascii="Arial" w:cs="Arial" w:eastAsia="Arial" w:hAnsi="Arial"/>
      <w:b/>
      <w:bCs/>
      <w:sz w:val="28"/>
      <w:szCs w:val="28"/>
    </w:rPr>
  </w:style>
  <w:style w:type="paragraph" w:styleId="Heading3">
    <w:name w:val="Heading 3"/>
    <w:basedOn w:val="Normal"/>
    <w:next w:val="Normal"/>
    <w:qFormat/>
    <w:pPr>
      <w:spacing w:after="120" w:before="1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0a052bc6680813f5c1b94c95fce9c4ee0abbad6.png"/><Relationship Id="rId10" Type="http://schemas.openxmlformats.org/officeDocument/2006/relationships/image" Target="media/4370af47d66b7272cde5ebd0ec355d46679b631b.png"/><Relationship Id="rId11" Type="http://schemas.openxmlformats.org/officeDocument/2006/relationships/image" Target="media/0fed20b9d1b5f64b87c3544559bcce7208b9602f.png"/><Relationship Id="rId12" Type="http://schemas.openxmlformats.org/officeDocument/2006/relationships/image" Target="media/5abcbbd4c85da162a0b08bb66670972283d91ef5.png"/><Relationship Id="rId13" Type="http://schemas.openxmlformats.org/officeDocument/2006/relationships/image" Target="media/318441f12f4d652d0857d7fc056a202a74a88bca.png"/><Relationship Id="rId14" Type="http://schemas.openxmlformats.org/officeDocument/2006/relationships/image" Target="media/c587132d3c8644b3e2643c4bb0d76e9647411450.png"/><Relationship Id="rId15" Type="http://schemas.openxmlformats.org/officeDocument/2006/relationships/image" Target="media/df56b4d216153e67dd1fc45251b12baf8c85c559.png"/><Relationship Id="rId16" Type="http://schemas.openxmlformats.org/officeDocument/2006/relationships/image" Target="media/6092eee9f1ff8466d955f5b3a2ace46011726a82.png"/><Relationship Id="rId17" Type="http://schemas.openxmlformats.org/officeDocument/2006/relationships/image" Target="media/fa2c1930e7750fcf8690daad13b4032dfac43860.png"/><Relationship Id="rId18" Type="http://schemas.openxmlformats.org/officeDocument/2006/relationships/image" Target="media/6bfa540584f1705a598b12b999b156664a0dc8ba.png"/><Relationship Id="rId19" Type="http://schemas.openxmlformats.org/officeDocument/2006/relationships/image" Target="media/9e007513de3fa3cee49037417031fd5a3c487726.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2026-03-04T02:36:08.313Z</dcterms:created>
  <dcterms:modified xsi:type="dcterms:W3CDTF">2026-03-04T02:36:08.313Z</dcterms:modified>
</cp:coreProperties>
</file>

<file path=docProps/custom.xml><?xml version="1.0" encoding="utf-8"?>
<Properties xmlns="http://schemas.openxmlformats.org/officeDocument/2006/custom-properties" xmlns:vt="http://schemas.openxmlformats.org/officeDocument/2006/docPropsVTypes"/>
</file>