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603"/>
        <w:gridCol w:w="8303"/>
      </w:tblGrid>
      <w:tr>
        <w:tc>
          <w:tcPr>
            <w:tcW w:w="11906" w:type="dxa"/>
            <w:gridSpan w:val="2"/>
            <w:shd w:val="clear" w:color="auto" w:fill="FFFFFF"/>
            <w:tcMar>
              <w:top w:w="540" w:type="dxa"/>
              <w:left w:w="660" w:type="dxa"/>
              <w:bottom w:w="540" w:type="dxa"/>
              <w:right w:w="660" w:type="dxa"/>
            </w:tcMar>
          </w:tcPr>
          <w:p>
            <w:pPr>
              <w:pStyle w:val="Title"/>
              <w:shd w:val="clear" w:color="auto" w:fill="1D3557"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pacing w:val="-7"/>
                <w:sz w:val="48"/>
                <w:szCs w:val="48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Segoe UI" w:hAnsi="Segoe UI" w:eastAsia="Microsoft YaHei" w:cs="Segoe UI"/>
                <w:b/>
                <w:bCs/>
                <w:color w:val="E63946"/>
                <w:sz w:val="21"/>
                <w:szCs w:val="21"/>
              </w:rPr>
              <w:t xml:space="preserve">Growth Product Manager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Shenzhen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alexchen.cc</w:t>
              </w:r>
            </w:hyperlink>
          </w:p>
        </w:tc>
      </w:tr>
      <w:tr>
        <w:tc>
          <w:tcPr>
            <w:tcW w:w="3603" w:type="dxa"/>
            <w:shd w:val="clear" w:color="auto" w:fill="F8F8F8"/>
            <w:tcMar>
              <w:top w:w="420" w:type="dxa"/>
              <w:left w:w="330" w:type="dxa"/>
              <w:bottom w:w="420" w:type="dxa"/>
              <w:right w:w="330" w:type="dxa"/>
            </w:tcMar>
          </w:tcPr>
          <w:p>
            <w:pPr>
              <w:pStyle w:val="Heading2"/>
              <w:keepNext/>
              <w:pBdr>
                <w:bottom w:val="single" w:sz="18" w:space="1" w:color="E63946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1D3557"/>
                <w:spacing w:val="23"/>
                <w:sz w:val="18"/>
                <w:szCs w:val="18"/>
              </w:rPr>
              <w:t xml:space="preserve">Core Skills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Growth Strategy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A/B Testing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Data Analysis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SQL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User Growth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b/>
                <w:bCs/>
                <w:color w:val="1D3557"/>
                <w:sz w:val="17"/>
                <w:szCs w:val="17"/>
              </w:rPr>
              <w:t xml:space="preserve">Product Design</w:t>
            </w:r>
          </w:p>
          <w:p>
            <w:pPr>
              <w:pStyle w:val="Heading2"/>
              <w:keepNext/>
              <w:pBdr>
                <w:bottom w:val="single" w:sz="18" w:space="1" w:color="E63946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1D3557"/>
                <w:spacing w:val="23"/>
                <w:sz w:val="18"/>
                <w:szCs w:val="18"/>
              </w:rPr>
              <w:t xml:space="preserve">Languages</w:t>
            </w:r>
          </w:p>
          <w:p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Chinese (native) / English (fluent)</w:t>
            </w:r>
          </w:p>
        </w:tc>
        <w:tc>
          <w:tcPr>
            <w:tcW w:w="8303" w:type="dxa"/>
            <w:shd w:val="clear" w:color="auto" w:fill="FFFFFF"/>
            <w:tcMar>
              <w:top w:w="420" w:type="dxa"/>
              <w:left w:w="480" w:type="dxa"/>
              <w:bottom w:w="420" w:type="dxa"/>
              <w:right w:w="480" w:type="dxa"/>
            </w:tcMar>
          </w:tcPr>
          <w:p>
            <w:pPr>
              <w:pStyle w:val="Heading2"/>
              <w:keepNext/>
              <w:pBdr>
                <w:bottom w:val="single" w:sz="18" w:space="1" w:color="E63946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1D3557"/>
                <w:spacing w:val="23"/>
                <w:sz w:val="18"/>
                <w:szCs w:val="18"/>
              </w:rPr>
              <w:t xml:space="preserve">About Me</w:t>
            </w:r>
          </w:p>
          <w:p>
            <w:r>
              <w:rPr>
                <w:rFonts w:ascii="Segoe UI" w:hAnsi="Segoe UI" w:eastAsia="Microsoft YaHei" w:cs="Segoe UI"/>
                <w:color w:val="1E1E1E"/>
                <w:sz w:val="21"/>
                <w:szCs w:val="21"/>
              </w:rPr>
              <w:t xml:space="preserve">6 years of growth product experience in SaaS and e-commerce. Strong at building and executing data-driven growth strategies, having taken a product from 50K to 800K monthly active users. Proficient with SQL and A/B experimentation frameworks.</w:t>
            </w:r>
          </w:p>
          <w:p>
            <w:pPr>
              <w:pStyle w:val="Heading2"/>
              <w:keepNext/>
              <w:pBdr>
                <w:bottom w:val="single" w:sz="18" w:space="1" w:color="E63946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1D3557"/>
                <w:spacing w:val="23"/>
                <w:sz w:val="18"/>
                <w:szCs w:val="18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1E1E1E"/>
                <w:sz w:val="23"/>
                <w:szCs w:val="23"/>
              </w:rPr>
              <w:t xml:space="preserve">Senior Growth Product Manager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2022.04 - Present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b/>
                <w:bCs/>
                <w:i/>
                <w:iCs/>
                <w:color w:val="E63946"/>
                <w:sz w:val="20"/>
                <w:szCs w:val="20"/>
              </w:rPr>
              <w:t xml:space="preserve">A leading e-commerce platform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Owned new user growth, adding 2M+ users per quarter through referral strategy and ad optimization.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Designed and iterated recommendation experiments, lifting CTR by 35%.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Built a growth dashboard tracking the full path from strategy to ROI.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1E1E1E"/>
                <w:sz w:val="23"/>
                <w:szCs w:val="23"/>
              </w:rPr>
              <w:t xml:space="preserve">Growth Product Manager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2019.06 - 2022.03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b/>
                <w:bCs/>
                <w:i/>
                <w:iCs/>
                <w:color w:val="E63946"/>
                <w:sz w:val="20"/>
                <w:szCs w:val="20"/>
              </w:rPr>
              <w:t xml:space="preserve">A SaaS startup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Built the growth function from scratch, taking the product from PMF validation to scaled growth.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Ran 50+ A/B experiments, lifting paid conversion by 180% cumulatively.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1E1E1E"/>
                <w:sz w:val="20"/>
                <w:szCs w:val="20"/>
              </w:rPr>
              <w:t xml:space="preserve">Optimized Google Ads and Meta Ads campaigns, raising ROAS from 1.2 to 3.8.</w:t>
            </w:r>
          </w:p>
          <w:p>
            <w:pPr>
              <w:pStyle w:val="Heading2"/>
              <w:keepNext/>
              <w:pBdr>
                <w:bottom w:val="single" w:sz="18" w:space="1" w:color="E63946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1D3557"/>
                <w:spacing w:val="23"/>
                <w:sz w:val="18"/>
                <w:szCs w:val="18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1E1E1E"/>
                <w:sz w:val="23"/>
                <w:szCs w:val="23"/>
              </w:rPr>
              <w:t xml:space="preserve">Business Administration · Bachelor's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6B6B6B"/>
                <w:sz w:val="18"/>
                <w:szCs w:val="18"/>
              </w:rPr>
              <w:t xml:space="preserve">2015.09 - 2019.06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b/>
                <w:bCs/>
                <w:i/>
                <w:iCs/>
                <w:color w:val="E63946"/>
                <w:sz w:val="20"/>
                <w:szCs w:val="20"/>
              </w:rPr>
              <w:t xml:space="preserve">Fudan University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cc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Bold Impact</dc:title>
  <cp:revision>1</cp:revision>
  <dcterms:created xsi:type="dcterms:W3CDTF">2026-10-14T16:36:21Z</dcterms:created>
  <dcterms:modified xsi:type="dcterms:W3CDTF">2026-10-14T16:36:21Z</dcterms:modified>
</cp:coreProperties>
</file>