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FFFFFF"/>
            <w:tcMar>
              <w:top w:w="660" w:type="dxa"/>
              <w:left w:w="840" w:type="dxa"/>
              <w:bottom w:w="480" w:type="dxa"/>
              <w:right w:w="840" w:type="dxa"/>
            </w:tcMar>
          </w:tcPr>
          <w:p>
            <w:pPr>
              <w:pStyle w:val="Title"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1B2A4A"/>
                <w:spacing w:val="30"/>
                <w:sz w:val="45"/>
                <w:szCs w:val="45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Georgia" w:hAnsi="Georgia" w:eastAsia="Microsoft YaHei" w:cs="Georgia"/>
                <w:color w:val="8B6F3F"/>
                <w:spacing w:val="15"/>
                <w:sz w:val="21"/>
                <w:szCs w:val="21"/>
              </w:rPr>
              <w:t xml:space="preserve">Vice President · Investment Banking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Beijing · Financial Street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linkedin.com/in/alexchen</w:t>
              </w:r>
            </w:hyperlink>
          </w:p>
          <w:p>
            <w:pPr>
              <w:pStyle w:val="Heading2"/>
              <w:keepNext/>
              <w:pBdr>
                <w:bottom w:val="single" w:sz="6" w:space="1" w:color="D4CFC4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1B2A4A"/>
                <w:spacing w:val="30"/>
                <w:sz w:val="18"/>
                <w:szCs w:val="18"/>
              </w:rPr>
              <w:t xml:space="preserve">Professional Summary</w:t>
            </w:r>
          </w:p>
          <w:p>
            <w:r>
              <w:rPr>
                <w:rFonts w:ascii="Georgia" w:hAnsi="Georgia" w:eastAsia="Microsoft YaHei" w:cs="Georgia"/>
                <w:color w:val="1E1E1E"/>
                <w:sz w:val="21"/>
                <w:szCs w:val="21"/>
              </w:rPr>
              <w:t xml:space="preserve">12 years of investment banking experience focused on TMT and consumer sectors. Closed 40+ M&amp;A and financing transactions totaling over RMB 80 billion. Licensed sponsor representative (CSRC) and CFA charterholder. Strong in deal structuring, valuation modeling, and regulatory communication, having served 15 A-share and Hong Kong-listed companies.</w:t>
            </w:r>
          </w:p>
          <w:p>
            <w:pPr>
              <w:pStyle w:val="Heading2"/>
              <w:keepNext/>
              <w:pBdr>
                <w:bottom w:val="single" w:sz="6" w:space="1" w:color="D4CFC4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1B2A4A"/>
                <w:spacing w:val="30"/>
                <w:sz w:val="18"/>
                <w:szCs w:val="18"/>
              </w:rPr>
              <w:t xml:space="preserve">Professional Experience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1B2A4A"/>
                <w:sz w:val="23"/>
                <w:szCs w:val="23"/>
              </w:rPr>
              <w:t xml:space="preserve">Vice President · Investment Banking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  —  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2019.07 - Present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8B6F3F"/>
                <w:sz w:val="20"/>
                <w:szCs w:val="20"/>
              </w:rPr>
              <w:t xml:space="preserve">CICC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Led eight A-share IPOs as project lead, raising over RMB 20 billion in total.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Led three cross-border M&amp;A transactions worth about USD 1.5 billion, deeply involved in negotiation and due diligence.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Served as ongoing financial advisor to five listed companies on capital markets strategy and governance.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1B2A4A"/>
                <w:sz w:val="23"/>
                <w:szCs w:val="23"/>
              </w:rPr>
              <w:t xml:space="preserve">Senior Manager · Investment Banking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  —  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2014.09 - 2019.06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8B6F3F"/>
                <w:sz w:val="20"/>
                <w:szCs w:val="20"/>
              </w:rPr>
              <w:t xml:space="preserve">CITIC Securities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Contributed to 12 equity financing transactions including IPOs, private placements, and convertible bonds.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Owned industry research and valuation modeling, writing 30+ in-depth reports.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Worked on a leading internet company Hong Kong secondary listing, raising USD 8 billion.</w:t>
            </w:r>
          </w:p>
          <w:p>
            <w:pPr>
              <w:pStyle w:val="Heading2"/>
              <w:keepNext/>
              <w:pBdr>
                <w:bottom w:val="single" w:sz="6" w:space="1" w:color="D4CFC4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1B2A4A"/>
                <w:spacing w:val="30"/>
                <w:sz w:val="18"/>
                <w:szCs w:val="18"/>
              </w:rPr>
              <w:t xml:space="preserve">Selected Transactions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STAR Market IPO for an AI chip company — RMB 5.2 billion raised, first of its kind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Cross-border acquisition of a German peer by a consumer electronics company — EUR 800 million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1E1E1E"/>
                <w:sz w:val="20"/>
                <w:szCs w:val="20"/>
              </w:rPr>
              <w:t xml:space="preserve">A-share private placement for a new energy company — RMB 6.8 billion raised, 30% oversubscribed</w:t>
            </w:r>
          </w:p>
          <w:p>
            <w:pPr>
              <w:pStyle w:val="Heading2"/>
              <w:keepNext/>
              <w:pBdr>
                <w:bottom w:val="single" w:sz="6" w:space="1" w:color="D4CFC4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1B2A4A"/>
                <w:spacing w:val="30"/>
                <w:sz w:val="18"/>
                <w:szCs w:val="18"/>
              </w:rPr>
              <w:t xml:space="preserve">Expertise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Valuation Modeling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Deal Structuring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Due Diligence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Regulatory Communication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Financial Analysis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CFA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Sponsor Representative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1B2A4A"/>
                <w:sz w:val="18"/>
                <w:szCs w:val="18"/>
                <w:shd w:val="clear" w:color="auto" w:fill="F5F2ED"/>
              </w:rPr>
              <w:t xml:space="preserve">Bilingual (Chinese/English)</w:t>
            </w:r>
          </w:p>
          <w:p>
            <w:pPr>
              <w:pStyle w:val="Heading2"/>
              <w:keepNext/>
              <w:pBdr>
                <w:bottom w:val="single" w:sz="6" w:space="1" w:color="D4CFC4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1B2A4A"/>
                <w:spacing w:val="30"/>
                <w:sz w:val="18"/>
                <w:szCs w:val="18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1B2A4A"/>
                <w:sz w:val="23"/>
                <w:szCs w:val="23"/>
              </w:rPr>
              <w:t xml:space="preserve">Finance · Master's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  —  </w:t>
            </w:r>
            <w:r>
              <w:rPr>
                <w:rFonts w:ascii="Helvetica" w:hAnsi="Helvetica" w:eastAsia="Microsoft YaHei" w:cs="Helvetica"/>
                <w:color w:val="5C5C5C"/>
                <w:sz w:val="18"/>
                <w:szCs w:val="18"/>
              </w:rPr>
              <w:t xml:space="preserve">2012.09 - 2014.06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8B6F3F"/>
                <w:sz w:val="20"/>
                <w:szCs w:val="20"/>
              </w:rPr>
              <w:t xml:space="preserve">Guanghua School of Management, Peking University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linkedin.com/in/alexche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Precision Finance</dc:title>
  <cp:revision>1</cp:revision>
  <dcterms:created xsi:type="dcterms:W3CDTF">2026-10-14T16:36:28Z</dcterms:created>
  <dcterms:modified xsi:type="dcterms:W3CDTF">2026-10-14T16:36:28Z</dcterms:modified>
</cp:coreProperties>
</file>