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190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1906"/>
      </w:tblGrid>
      <w:tr>
        <w:tc>
          <w:tcPr>
            <w:tcW w:w="11906" w:type="dxa"/>
            <w:shd w:val="clear" w:color="auto" w:fill="FFFFFF"/>
            <w:tcMar>
              <w:top w:w="690" w:type="dxa"/>
              <w:left w:w="840" w:type="dxa"/>
              <w:bottom w:w="300" w:type="dxa"/>
              <w:right w:w="840" w:type="dxa"/>
            </w:tcMar>
          </w:tcPr>
          <w:p>
            <w:pPr>
              <w:pStyle w:val="Title"/>
              <w:spacing w:after="20"/>
              <w:jc w:val="center"/>
            </w:pPr>
            <w:r>
              <w:rPr>
                <w:rFonts w:ascii="Segoe UI" w:hAnsi="Segoe UI" w:eastAsia="Microsoft YaHei" w:cs="Segoe UI"/>
                <w:b/>
                <w:bCs/>
                <w:color w:val="2C2C2C"/>
                <w:spacing w:val="15"/>
                <w:sz w:val="45"/>
                <w:szCs w:val="45"/>
              </w:rPr>
              <w:t xml:space="preserve">Alex Chen</w:t>
            </w:r>
          </w:p>
          <w:p>
            <w:pPr>
              <w:pStyle w:val="Subtitle"/>
              <w:spacing w:after="60"/>
              <w:jc w:val="center"/>
            </w:pPr>
            <w:r>
              <w:rPr>
                <w:rFonts w:ascii="Segoe UI" w:hAnsi="Segoe UI" w:eastAsia="Microsoft YaHei" w:cs="Segoe UI"/>
                <w:b/>
                <w:bCs/>
                <w:color w:val="2D6A4F"/>
                <w:sz w:val="20"/>
                <w:szCs w:val="20"/>
              </w:rPr>
              <w:t xml:space="preserve">Project Management Expert · PMP</w:t>
            </w:r>
          </w:p>
          <w:p>
            <w:pPr>
              <w:spacing w:after="40"/>
              <w:jc w:val="center"/>
            </w:pPr>
            <w:hyperlink r:id="rIdLink3">
              <w:r>
                <w:rPr>
                  <w:rFonts w:ascii="Calibri" w:hAnsi="Calibri" w:eastAsia="Calibri" w:cs="Calibri"/>
                </w:rPr>
                <w:t xml:space="preserve">alexchen@example.com</w:t>
              </w:r>
            </w:hyperlink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alibri" w:hAnsi="Calibri" w:eastAsia="Calibri" w:cs="Calibri"/>
              </w:rPr>
              <w:t xml:space="preserve">+1 (555) 123-4567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alibri" w:hAnsi="Calibri" w:eastAsia="Calibri" w:cs="Calibri"/>
              </w:rPr>
              <w:t xml:space="preserve">Shanghai</w:t>
            </w:r>
            <w:r>
              <w:rPr>
                <w:rFonts w:ascii="Calibri" w:hAnsi="Calibri" w:eastAsia="Calibri" w:cs="Calibri"/>
              </w:rPr>
              <w:t xml:space="preserve">  ·  </w:t>
            </w:r>
            <w:hyperlink r:id="rIdLink4">
              <w:r>
                <w:rPr>
                  <w:rFonts w:ascii="Calibri" w:hAnsi="Calibri" w:eastAsia="Calibri" w:cs="Calibri"/>
                </w:rPr>
                <w:t xml:space="preserve">linkedin.com/in/alexchen</w:t>
              </w:r>
            </w:hyperlink>
          </w:p>
          <w:p>
            <w:pPr>
              <w:pStyle w:val="Heading2"/>
              <w:keepNext/>
            </w:pPr>
            <w:r>
              <w:rPr>
                <w:rFonts w:ascii="Segoe UI" w:hAnsi="Segoe UI" w:eastAsia="Microsoft YaHei" w:cs="Segoe UI"/>
                <w:b/>
                <w:bCs/>
                <w:color w:val="2D6A4F"/>
                <w:sz w:val="24"/>
                <w:szCs w:val="24"/>
              </w:rPr>
              <w:t xml:space="preserve">Professional Summary</w:t>
            </w:r>
          </w:p>
          <w:p>
            <w:r>
              <w:rPr>
                <w:rFonts w:ascii="Segoe UI" w:hAnsi="Segoe UI" w:eastAsia="Microsoft YaHei" w:cs="Segoe UI"/>
                <w:color w:val="2C2C2C"/>
                <w:sz w:val="21"/>
                <w:szCs w:val="21"/>
              </w:rPr>
              <w:t xml:space="preserve">10 years of project management experience, PMP and ACP certified. Skilled at full-lifecycle management of large multinational projects, having delivered 30+ projects with total budgets over $500 million. Maintains a 95% on-time delivery rate.</w:t>
            </w:r>
          </w:p>
          <w:p>
            <w:pPr>
              <w:pStyle w:val="Heading2"/>
              <w:keepNext/>
            </w:pPr>
            <w:r>
              <w:rPr>
                <w:rFonts w:ascii="Segoe UI" w:hAnsi="Segoe UI" w:eastAsia="Microsoft YaHei" w:cs="Segoe UI"/>
                <w:b/>
                <w:bCs/>
                <w:color w:val="2D6A4F"/>
                <w:sz w:val="24"/>
                <w:szCs w:val="24"/>
              </w:rPr>
              <w:t xml:space="preserve">Project Timeline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Segoe UI" w:hAnsi="Segoe UI" w:eastAsia="Microsoft YaHei" w:cs="Segoe UI"/>
                <w:b/>
                <w:bCs/>
                <w:color w:val="2C2C2C"/>
                <w:sz w:val="23"/>
                <w:szCs w:val="23"/>
              </w:rPr>
              <w:t xml:space="preserve">Senior Project Manager</w:t>
            </w:r>
            <w:r>
              <w:rPr>
                <w:rFonts w:ascii="Segoe UI" w:hAnsi="Segoe UI" w:eastAsia="Microsoft YaHei" w:cs="Segoe UI"/>
                <w:b/>
                <w:bCs/>
                <w:color w:val="40916C"/>
                <w:sz w:val="18"/>
                <w:szCs w:val="18"/>
              </w:rPr>
              <w:t xml:space="preserve">  —  </w:t>
            </w:r>
            <w:r>
              <w:rPr>
                <w:rFonts w:ascii="Segoe UI" w:hAnsi="Segoe UI" w:eastAsia="Microsoft YaHei" w:cs="Segoe UI"/>
                <w:b/>
                <w:bCs/>
                <w:color w:val="40916C"/>
                <w:sz w:val="18"/>
                <w:szCs w:val="18"/>
              </w:rPr>
              <w:t xml:space="preserve">2021.01 - Present</w:t>
            </w:r>
          </w:p>
          <w:p>
            <w:pPr>
              <w:spacing w:after="40"/>
            </w:pPr>
            <w:r>
              <w:rPr>
                <w:rFonts w:ascii="Segoe UI" w:hAnsi="Segoe UI" w:eastAsia="Microsoft YaHei" w:cs="Segoe UI"/>
                <w:i/>
                <w:iCs/>
                <w:color w:val="8A8A8A"/>
                <w:sz w:val="20"/>
                <w:szCs w:val="20"/>
              </w:rPr>
              <w:t xml:space="preserve">A global consulting firm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2C2C2C"/>
                <w:sz w:val="20"/>
                <w:szCs w:val="20"/>
              </w:rPr>
              <w:t xml:space="preserve">Managed an APAC digital transformation program with eight parallel projects and a 40+ person team.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2C2C2C"/>
                <w:sz w:val="20"/>
                <w:szCs w:val="20"/>
              </w:rPr>
              <w:t xml:space="preserve">Cut delivery cycles by 30% through agile transformation, raising client NPS to 72.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2C2C2C"/>
                <w:sz w:val="20"/>
                <w:szCs w:val="20"/>
              </w:rPr>
              <w:t xml:space="preserve">Built a PMO best-practice library adopted by 15 offices worldwide.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Segoe UI" w:hAnsi="Segoe UI" w:eastAsia="Microsoft YaHei" w:cs="Segoe UI"/>
                <w:b/>
                <w:bCs/>
                <w:color w:val="2C2C2C"/>
                <w:sz w:val="23"/>
                <w:szCs w:val="23"/>
              </w:rPr>
              <w:t xml:space="preserve">Project Manager</w:t>
            </w:r>
            <w:r>
              <w:rPr>
                <w:rFonts w:ascii="Segoe UI" w:hAnsi="Segoe UI" w:eastAsia="Microsoft YaHei" w:cs="Segoe UI"/>
                <w:b/>
                <w:bCs/>
                <w:color w:val="40916C"/>
                <w:sz w:val="18"/>
                <w:szCs w:val="18"/>
              </w:rPr>
              <w:t xml:space="preserve">  —  </w:t>
            </w:r>
            <w:r>
              <w:rPr>
                <w:rFonts w:ascii="Segoe UI" w:hAnsi="Segoe UI" w:eastAsia="Microsoft YaHei" w:cs="Segoe UI"/>
                <w:b/>
                <w:bCs/>
                <w:color w:val="40916C"/>
                <w:sz w:val="18"/>
                <w:szCs w:val="18"/>
              </w:rPr>
              <w:t xml:space="preserve">2016.05 - 2020.12</w:t>
            </w:r>
          </w:p>
          <w:p>
            <w:pPr>
              <w:spacing w:after="40"/>
            </w:pPr>
            <w:r>
              <w:rPr>
                <w:rFonts w:ascii="Segoe UI" w:hAnsi="Segoe UI" w:eastAsia="Microsoft YaHei" w:cs="Segoe UI"/>
                <w:i/>
                <w:iCs/>
                <w:color w:val="8A8A8A"/>
                <w:sz w:val="20"/>
                <w:szCs w:val="20"/>
              </w:rPr>
              <w:t xml:space="preserve">A multinational manufacturer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2C2C2C"/>
                <w:sz w:val="20"/>
                <w:szCs w:val="20"/>
              </w:rPr>
              <w:t xml:space="preserve">Owned the global SAP S/4HANA rollout covering 12 countries and 5,000+ users.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2C2C2C"/>
                <w:sz w:val="20"/>
                <w:szCs w:val="20"/>
              </w:rPr>
              <w:t xml:space="preserve">Managed a USD 8 million budget, landing at 97% of plan.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2C2C2C"/>
                <w:sz w:val="20"/>
                <w:szCs w:val="20"/>
              </w:rPr>
              <w:t xml:space="preserve">Coordinated development teams across China and Europe, achieving 100% milestone completion.</w:t>
            </w:r>
          </w:p>
          <w:p>
            <w:pPr>
              <w:pStyle w:val="Heading2"/>
              <w:keepNext/>
            </w:pPr>
            <w:r>
              <w:rPr>
                <w:rFonts w:ascii="Segoe UI" w:hAnsi="Segoe UI" w:eastAsia="Microsoft YaHei" w:cs="Segoe UI"/>
                <w:b/>
                <w:bCs/>
                <w:color w:val="2D6A4F"/>
                <w:sz w:val="24"/>
                <w:szCs w:val="24"/>
              </w:rPr>
              <w:t xml:space="preserve">Core Competencies</w:t>
            </w:r>
          </w:p>
          <w:p>
            <w:pPr>
              <w:spacing w:after="40"/>
            </w:pPr>
            <w:r>
              <w:rPr>
                <w:rFonts w:ascii="Segoe UI" w:hAnsi="Segoe UI" w:eastAsia="Microsoft YaHei" w:cs="Segoe UI"/>
                <w:color w:val="2D6A4F"/>
                <w:sz w:val="18"/>
                <w:szCs w:val="18"/>
                <w:shd w:val="clear" w:color="auto" w:fill="D8F3DC"/>
              </w:rPr>
              <w:t xml:space="preserve">PMP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2D6A4F"/>
                <w:sz w:val="18"/>
                <w:szCs w:val="18"/>
                <w:shd w:val="clear" w:color="auto" w:fill="D8F3DC"/>
              </w:rPr>
              <w:t xml:space="preserve">Agile Management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2D6A4F"/>
                <w:sz w:val="18"/>
                <w:szCs w:val="18"/>
                <w:shd w:val="clear" w:color="auto" w:fill="D8F3DC"/>
              </w:rPr>
              <w:t xml:space="preserve">Risk Management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2D6A4F"/>
                <w:sz w:val="18"/>
                <w:szCs w:val="18"/>
                <w:shd w:val="clear" w:color="auto" w:fill="D8F3DC"/>
              </w:rPr>
              <w:t xml:space="preserve">Stakeholder Management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2D6A4F"/>
                <w:sz w:val="18"/>
                <w:szCs w:val="18"/>
                <w:shd w:val="clear" w:color="auto" w:fill="D8F3DC"/>
              </w:rPr>
              <w:t xml:space="preserve">Jira/Confluence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2D6A4F"/>
                <w:sz w:val="18"/>
                <w:szCs w:val="18"/>
                <w:shd w:val="clear" w:color="auto" w:fill="D8F3DC"/>
              </w:rPr>
              <w:t xml:space="preserve">Power BI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2D6A4F"/>
                <w:sz w:val="18"/>
                <w:szCs w:val="18"/>
                <w:shd w:val="clear" w:color="auto" w:fill="D8F3DC"/>
              </w:rPr>
              <w:t xml:space="preserve">Cross-Cultural Teams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2D6A4F"/>
                <w:sz w:val="18"/>
                <w:szCs w:val="18"/>
                <w:shd w:val="clear" w:color="auto" w:fill="D8F3DC"/>
              </w:rPr>
              <w:t xml:space="preserve">Bilingual (Chinese/English)</w:t>
            </w:r>
          </w:p>
          <w:p>
            <w:pPr>
              <w:pStyle w:val="Heading2"/>
              <w:keepNext/>
            </w:pPr>
            <w:r>
              <w:rPr>
                <w:rFonts w:ascii="Segoe UI" w:hAnsi="Segoe UI" w:eastAsia="Microsoft YaHei" w:cs="Segoe UI"/>
                <w:b/>
                <w:bCs/>
                <w:color w:val="2D6A4F"/>
                <w:sz w:val="24"/>
                <w:szCs w:val="24"/>
              </w:rPr>
              <w:t xml:space="preserve">Education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Segoe UI" w:hAnsi="Segoe UI" w:eastAsia="Microsoft YaHei" w:cs="Segoe UI"/>
                <w:b/>
                <w:bCs/>
                <w:color w:val="2C2C2C"/>
                <w:sz w:val="23"/>
                <w:szCs w:val="23"/>
              </w:rPr>
              <w:t xml:space="preserve">Business Administration · MBA</w:t>
            </w:r>
            <w:r>
              <w:rPr>
                <w:rFonts w:ascii="Segoe UI" w:hAnsi="Segoe UI" w:eastAsia="Microsoft YaHei" w:cs="Segoe UI"/>
                <w:b/>
                <w:bCs/>
                <w:color w:val="40916C"/>
                <w:sz w:val="18"/>
                <w:szCs w:val="18"/>
              </w:rPr>
              <w:t xml:space="preserve">  —  </w:t>
            </w:r>
            <w:r>
              <w:rPr>
                <w:rFonts w:ascii="Segoe UI" w:hAnsi="Segoe UI" w:eastAsia="Microsoft YaHei" w:cs="Segoe UI"/>
                <w:b/>
                <w:bCs/>
                <w:color w:val="40916C"/>
                <w:sz w:val="18"/>
                <w:szCs w:val="18"/>
              </w:rPr>
              <w:t xml:space="preserve">2014.09 - 2016.05</w:t>
            </w:r>
          </w:p>
          <w:p>
            <w:pPr>
              <w:spacing w:after="40"/>
            </w:pPr>
            <w:r>
              <w:rPr>
                <w:rFonts w:ascii="Segoe UI" w:hAnsi="Segoe UI" w:eastAsia="Microsoft YaHei" w:cs="Segoe UI"/>
                <w:i/>
                <w:iCs/>
                <w:color w:val="8A8A8A"/>
                <w:sz w:val="20"/>
                <w:szCs w:val="20"/>
              </w:rPr>
              <w:t xml:space="preserve">School of Management, Fudan University</w:t>
            </w:r>
          </w:p>
        </w:tc>
      </w:tr>
    </w:tbl>
    <w:p/>
    <w:sectPr>
      <w:pgSz w:w="11906" w:h="16838"/>
      <w:pgMar w:top="0" w:right="0" w:bottom="0" w:left="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0"/>
    </w:pPr>
  </w:style>
  <w:style w:type="paragraph" w:styleId="Subtitle">
    <w:name w:val="Subtitle"/>
    <w:basedOn w:val="Normal"/>
    <w:pPr>
      <w:spacing w:after="140"/>
    </w:p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</w:style>
  <w:style w:type="paragraph" w:styleId="Heading2">
    <w:name w:val="heading 2"/>
    <w:basedOn w:val="Normal"/>
    <w:next w:val="Normal"/>
    <w:pPr>
      <w:keepNext/>
      <w:spacing w:before="280" w:after="90"/>
      <w:outlineLvl w:val="1"/>
    </w:pPr>
  </w:style>
  <w:style w:type="paragraph" w:styleId="ListParagraph">
    <w:name w:val="List Paragraph"/>
    <w:basedOn w:val="Normal"/>
    <w:pPr>
      <w:spacing w:after="40"/>
    </w:pPr>
  </w:style>
  <w:style w:type="paragraph" w:styleId="Quote">
    <w:name w:val="Quote"/>
    <w:basedOn w:val="Normal"/>
    <w:pPr>
      <w:ind w:left="360"/>
    </w:pPr>
  </w:style>
  <w:style w:type="character" w:styleId="Hyperlink">
    <w:name w:val="Hyperlink"/>
    <w:rPr>
      <w:u w:val="single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Link3" Type="http://schemas.openxmlformats.org/officeDocument/2006/relationships/hyperlink" Target="mailto:alexchen@example.com" TargetMode="External"/><Relationship Id="rIdLink4" Type="http://schemas.openxmlformats.org/officeDocument/2006/relationships/hyperlink" Target="https://linkedin.com/in/alexchen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Resume 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 - Alex Chen | Timeline Right</dc:title>
  <cp:revision>1</cp:revision>
  <dcterms:created xsi:type="dcterms:W3CDTF">2026-10-14T16:36:32Z</dcterms:created>
  <dcterms:modified xsi:type="dcterms:W3CDTF">2026-10-14T16:36:32Z</dcterms:modified>
</cp:coreProperties>
</file>