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SA023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D' Ambience Residences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https://maps.app.goo.gl/ytro8c6N2BMxqSyN8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Apartment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RM438,000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 500,000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1,114 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Freehold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Vacant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 Bedroom 2 Bathroom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Floor: Low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Garden View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Fully Furnished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 Carparks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Maintenance Fee: RM350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Remark 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1. Full Loan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2. Corner Lot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