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SA076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 Residence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https://maps.app.goo.gl/zHkLWDh1uRN1PSQz8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RM430,000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RM450,000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840sqft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New Project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Non Bumi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 Bedroom 2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Low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City 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 Carparks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RM275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Remark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1.Free Agent Fee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2.Free Legal Fee SPA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3.Free Legal Fee LOAN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4.Free Stamp Duty Loan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5.Free 1 Time Defect Check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6.Free Fully Furnished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7.MOT &amp; MOT Registration Not Included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8.Valuation Fee Not Included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9.Foreigner can buy, need markup SPA to 500k and pay Mot 4% + state levy RM 50,000 subject for approval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