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SA104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Tropez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https://maps.app.goo.gl/inXdTcuZuZ2wJADq7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RM528,000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RM700,000+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1206sqft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Rental Income: RM1800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Tenancy Expired: 1st Dec 2026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2+1 Bedroom 2 Bathroom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Floor: Low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 Carparks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Remark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highlight w:val="white"/>
          <w:rtl w:val="0"/>
        </w:rPr>
        <w:t xml:space="preserve">1.Sell with tenancy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