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SA117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https://maps.app.goo.gl/zHkLWDh1uRN1PSQz8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RM467,410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RM530,000++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1087sqft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New Project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RM363.96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1.Free Agent Fee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2.Free Legal Fee SPA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3.Free Legal Fee LOAN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4.Free Stamp Duty Loan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5.Free 1 Time Defect Check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6.Free Partial Furnished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7.MOT &amp; MOT Registration Not Included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8.Valuation Fee Not Included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9.Foreigner can buy, need to pay state levy RM 50,000 subject for approval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