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 Sales SA139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Midori Green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Google Map: https://maps.app.goo.gl/gP69bpj47FTj2auk6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Property Type: Service Apartment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Selling Price: RM480K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Bank Value: TBC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Build Up Area: 786sqft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Sub-Sales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Freehold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International Lot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Strata Title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Tenanted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Rental Income: RM1900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Tenancy Expired: TBC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Apartment Listing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2 Bedroom 1 Bathroom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Floor: High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Garden Unblock View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Fully Furnished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1 Carparks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Maintenance Fee: TBC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