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https://maps.google.com/maps/place//data=!4m2!3m1!1s0x31da6d47b267881b:0x2dc1a8ac17b70912?entry=s&amp;sa=X&amp;ved=1t:8290&amp;ictx=111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RM620,000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1195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99Years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9th floor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1.Unit comes with 2 car parks, including 1 additional purchased lot (worth over RM20,000).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2.Owner purchased the property fully by cash — no outstanding loan involved.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3.Strata title is currently under developer’s name; name transfer process is in progress and expected to complete in approximately 2 weeks.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4.Estimated cost for name transfer: RM15,000.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5.Unit is fully renovated.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