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76" w:lineRule="auto"/>
        <w:jc w:val="center"/>
      </w:pPr>
      <w:r>
        <w:rPr>
          <w:rFonts w:ascii="Times New Roman" w:hAnsi="Times New Roman" w:eastAsia="Times New Roman"/>
          <w:b/>
          <w:i w:val="0"/>
          <w:sz w:val="36"/>
        </w:rPr>
        <w:t>ANLY 735</w:t>
      </w:r>
    </w:p>
    <w:p>
      <w:pPr>
        <w:spacing w:before="240" w:after="160" w:line="276" w:lineRule="auto"/>
        <w:jc w:val="center"/>
      </w:pPr>
      <w:r>
        <w:rPr>
          <w:rFonts w:ascii="Times New Roman" w:hAnsi="Times New Roman" w:eastAsia="Times New Roman"/>
          <w:b/>
          <w:i w:val="0"/>
          <w:sz w:val="36"/>
        </w:rPr>
        <w:t>Replication Laboratory #3</w:t>
      </w:r>
    </w:p>
    <w:p>
      <w:pPr>
        <w:spacing w:before="240" w:after="160" w:line="276" w:lineRule="auto"/>
        <w:jc w:val="center"/>
      </w:pPr>
      <w:r>
        <w:rPr>
          <w:rFonts w:ascii="Times New Roman" w:hAnsi="Times New Roman" w:eastAsia="Times New Roman"/>
          <w:b/>
          <w:i w:val="0"/>
          <w:sz w:val="36"/>
        </w:rPr>
        <w:t>When the Test Environment Changes</w:t>
      </w:r>
    </w:p>
    <w:p>
      <w:pPr>
        <w:spacing w:before="240" w:after="240" w:line="276" w:lineRule="auto"/>
        <w:jc w:val="center"/>
      </w:pPr>
      <w:r>
        <w:rPr>
          <w:rFonts w:ascii="Times New Roman" w:hAnsi="Times New Roman" w:eastAsia="Times New Roman"/>
          <w:b w:val="0"/>
          <w:i/>
          <w:sz w:val="24"/>
        </w:rPr>
        <w:t>(Arvind Natarajan)</w:t>
      </w:r>
    </w:p>
    <w:p>
      <w:pPr>
        <w:spacing w:after="80"/>
      </w:pPr>
    </w:p>
    <w:p>
      <w:pPr>
        <w:spacing w:before="120" w:after="160" w:line="276" w:lineRule="auto"/>
        <w:jc w:val="left"/>
      </w:pPr>
      <w:r>
        <w:rPr>
          <w:rFonts w:ascii="Times New Roman" w:hAnsi="Times New Roman" w:eastAsia="Times New Roman"/>
          <w:b/>
          <w:sz w:val="28"/>
        </w:rPr>
        <w:t>Replication Question</w:t>
      </w:r>
    </w:p>
    <w:p>
      <w:pPr>
        <w:spacing w:before="240" w:after="160" w:line="360" w:lineRule="auto"/>
        <w:ind w:firstLine="720"/>
        <w:jc w:val="left"/>
      </w:pPr>
      <w:r>
        <w:rPr>
          <w:rFonts w:ascii="Times New Roman" w:hAnsi="Times New Roman" w:eastAsia="Times New Roman"/>
          <w:sz w:val="24"/>
        </w:rPr>
        <w:t>What happens to the conclusions about a fixed toxicity classifier when evaluation moves from a source-like in-distribution holdout to a shifted CivilComments-WILDS test environment? The narrow claim is that generalization is conditional on the evaluation environment: a model can retain strong population-average performance while becoming substantially less reliable for particular subpopulations. The laboratory therefore asks whether the empirical conclusion about the same fitted model changes when the evaluation environment changes, not whether a different algorithm can recover any lost performance.</w:t>
      </w:r>
    </w:p>
    <w:p>
      <w:pPr>
        <w:spacing w:before="120" w:after="160" w:line="276" w:lineRule="auto"/>
        <w:jc w:val="left"/>
      </w:pPr>
      <w:r>
        <w:rPr>
          <w:rFonts w:ascii="Times New Roman" w:hAnsi="Times New Roman" w:eastAsia="Times New Roman"/>
          <w:b/>
          <w:sz w:val="28"/>
        </w:rPr>
        <w:t>Evidence Environment</w:t>
      </w:r>
    </w:p>
    <w:p>
      <w:pPr>
        <w:spacing w:before="240" w:after="160" w:line="360" w:lineRule="auto"/>
        <w:ind w:firstLine="720"/>
        <w:jc w:val="left"/>
      </w:pPr>
      <w:r>
        <w:rPr>
          <w:rFonts w:ascii="Times New Roman" w:hAnsi="Times New Roman" w:eastAsia="Times New Roman"/>
          <w:sz w:val="24"/>
        </w:rPr>
        <w:t>Because no course starter repository or supplied dataset was attached to the assignment materials available for this submission, I selected CivilComments-WILDS as a manageable benchmark that directly instantiates the Week 8 distribution-shift problem. CivilComments-WILDS contains online comments labeled for toxicity and annotated for references to eight demographic identities: male, female, LGBTQ, Christian, Muslim, other religions, Black, and White (Koh et al., 2021). The processed public mirror used in the notebook contains 267,516 training observations, 45,047 validation observations, and 132,730 test observations.</w:t>
      </w:r>
    </w:p>
    <w:p>
      <w:pPr>
        <w:spacing w:before="240" w:after="160" w:line="360" w:lineRule="auto"/>
        <w:ind w:firstLine="720"/>
        <w:jc w:val="left"/>
      </w:pPr>
      <w:r>
        <w:rPr>
          <w:rFonts w:ascii="Times New Roman" w:hAnsi="Times New Roman" w:eastAsia="Times New Roman"/>
          <w:sz w:val="24"/>
        </w:rPr>
        <w:t>The development environment is the official WILDS training split. I reserve a stratified 20% of that split as a source-like in-distribution holdout, leaving 214,012 comments for model development and 53,504 for ID evaluation. The official WILDS test split remains untouched during fitting and is treated as the shifted environment. This ID construction is not the exact CivilComments comparator reported by Koh et al. (2021); it is a course-aligned adaptation designed to reproduce the laboratory logic of one model evaluated under two environments.</w:t>
      </w:r>
    </w:p>
    <w:p>
      <w:pPr>
        <w:spacing w:before="120" w:after="160" w:line="276" w:lineRule="auto"/>
        <w:jc w:val="left"/>
      </w:pPr>
      <w:r>
        <w:rPr>
          <w:rFonts w:ascii="Times New Roman" w:hAnsi="Times New Roman" w:eastAsia="Times New Roman"/>
          <w:b/>
          <w:sz w:val="28"/>
        </w:rPr>
        <w:t>Replication Strategy and Reproducible Method</w:t>
      </w:r>
    </w:p>
    <w:p>
      <w:pPr>
        <w:spacing w:before="240" w:after="160" w:line="360" w:lineRule="auto"/>
        <w:ind w:firstLine="720"/>
        <w:jc w:val="left"/>
      </w:pPr>
      <w:r>
        <w:rPr>
          <w:rFonts w:ascii="Times New Roman" w:hAnsi="Times New Roman" w:eastAsia="Times New Roman"/>
          <w:sz w:val="24"/>
        </w:rPr>
        <w:t>Within the course replication taxonomy, this is a partial replication. It reproduces the WILDS logic of evaluating a fixed predictive system under a different test environment, but it does not reproduce the original transformer architecture, benchmark tuning protocol, or published CivilComments in-distribution comparison. The simpler model is deliberate. The representation, classifier, threshold, and evaluation code are fixed so that the evaluation environment, rather than model search, remains the experimental contrast.</w:t>
      </w:r>
    </w:p>
    <w:p>
      <w:pPr>
        <w:spacing w:before="240" w:after="160" w:line="360" w:lineRule="auto"/>
        <w:ind w:firstLine="720"/>
        <w:jc w:val="left"/>
      </w:pPr>
      <w:r>
        <w:rPr>
          <w:rFonts w:ascii="Times New Roman" w:hAnsi="Times New Roman" w:eastAsia="Times New Roman"/>
          <w:sz w:val="24"/>
        </w:rPr>
        <w:t>Comments are represented with a TF-IDF vocabulary capped at 30,000 word unigrams and bigrams, using lowercasing, Unicode accent stripping, min_df = 5, max_df = 0.98, and sublinear term frequency. The classifier is L2-regularized logistic regression with C = 1.0, the liblinear solver, max_iter = 1000, and random_state = 735. The vectorizer and classifier are fitted once on the development data. The same fitted pipeline and the same 0.50 probability threshold are then applied without retraining or retuning to both the ID holdout and the shifted test environment.</w:t>
      </w:r>
    </w:p>
    <w:p>
      <w:pPr>
        <w:spacing w:before="240" w:after="160" w:line="360" w:lineRule="auto"/>
        <w:ind w:firstLine="720"/>
        <w:jc w:val="left"/>
      </w:pPr>
      <w:r>
        <w:rPr>
          <w:rFonts w:ascii="Times New Roman" w:hAnsi="Times New Roman" w:eastAsia="Times New Roman"/>
          <w:sz w:val="24"/>
        </w:rPr>
        <w:t>The notebook records the data source, seed, split logic, preprocessing, model specification, metrics, subgroup definitions, and software versions. This makes the analytical pathway auditable and prevents the shifted results from influencing the predictive pipeline after the fact.</w:t>
      </w:r>
    </w:p>
    <w:p>
      <w:pPr>
        <w:spacing w:before="120" w:after="160" w:line="276" w:lineRule="auto"/>
        <w:jc w:val="left"/>
      </w:pPr>
      <w:r>
        <w:rPr>
          <w:rFonts w:ascii="Times New Roman" w:hAnsi="Times New Roman" w:eastAsia="Times New Roman"/>
          <w:b/>
          <w:sz w:val="28"/>
        </w:rPr>
        <w:t>ID vs. Shifted Performance</w:t>
      </w:r>
    </w:p>
    <w:p>
      <w:pPr>
        <w:spacing w:before="120" w:after="120" w:line="276" w:lineRule="auto"/>
      </w:pPr>
      <w:r>
        <w:rPr>
          <w:rFonts w:ascii="Times New Roman" w:hAnsi="Times New Roman" w:eastAsia="Times New Roman"/>
          <w:i/>
          <w:sz w:val="22"/>
        </w:rPr>
        <w:t>Table 1. Performance of the same fitted classifier across the two evaluation environments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after="40"/>
              <w:jc w:val="center"/>
            </w:pPr>
            <w:r>
              <w:rPr>
                <w:rFonts w:ascii="Times New Roman" w:hAnsi="Times New Roman" w:eastAsia="Times New Roman"/>
                <w:b/>
                <w:sz w:val="22"/>
              </w:rPr>
              <w:t>Metric</w:t>
            </w:r>
          </w:p>
        </w:tc>
        <w:tc>
          <w:tcPr>
            <w:tcW w:type="dxa" w:w="2340"/>
            <w:vAlign w:val="center"/>
          </w:tcPr>
          <w:p>
            <w:pPr>
              <w:spacing w:after="40"/>
              <w:jc w:val="center"/>
            </w:pPr>
            <w:r>
              <w:rPr>
                <w:rFonts w:ascii="Times New Roman" w:hAnsi="Times New Roman" w:eastAsia="Times New Roman"/>
                <w:b/>
                <w:sz w:val="22"/>
              </w:rPr>
              <w:t>In-Distribution</w:t>
            </w:r>
          </w:p>
        </w:tc>
        <w:tc>
          <w:tcPr>
            <w:tcW w:type="dxa" w:w="2340"/>
            <w:vAlign w:val="center"/>
          </w:tcPr>
          <w:p>
            <w:pPr>
              <w:spacing w:after="40"/>
              <w:jc w:val="center"/>
            </w:pPr>
            <w:r>
              <w:rPr>
                <w:rFonts w:ascii="Times New Roman" w:hAnsi="Times New Roman" w:eastAsia="Times New Roman"/>
                <w:b/>
                <w:sz w:val="22"/>
              </w:rPr>
              <w:t>Shifted Environment</w:t>
            </w:r>
          </w:p>
        </w:tc>
        <w:tc>
          <w:tcPr>
            <w:tcW w:type="dxa" w:w="2340"/>
            <w:vAlign w:val="center"/>
          </w:tcPr>
          <w:p>
            <w:pPr>
              <w:spacing w:after="40"/>
              <w:jc w:val="center"/>
            </w:pPr>
            <w:r>
              <w:rPr>
                <w:rFonts w:ascii="Times New Roman" w:hAnsi="Times New Roman" w:eastAsia="Times New Roman"/>
                <w:b/>
                <w:sz w:val="22"/>
              </w:rPr>
              <w:t>Change</w:t>
            </w:r>
          </w:p>
        </w:tc>
      </w:tr>
      <w:tr>
        <w:tc>
          <w:tcPr>
            <w:tcW w:type="dxa" w:w="2340"/>
            <w:vAlign w:val="center"/>
          </w:tcPr>
          <w:p>
            <w:pPr>
              <w:spacing w:after="40"/>
              <w:jc w:val="left"/>
            </w:pPr>
            <w:r>
              <w:rPr>
                <w:rFonts w:ascii="Times New Roman" w:hAnsi="Times New Roman" w:eastAsia="Times New Roman"/>
                <w:sz w:val="22"/>
              </w:rPr>
              <w:t>ROC-AUC</w:t>
            </w:r>
          </w:p>
        </w:tc>
        <w:tc>
          <w:tcPr>
            <w:tcW w:type="dxa" w:w="2340"/>
            <w:vAlign w:val="center"/>
          </w:tcPr>
          <w:p>
            <w:pPr>
              <w:spacing w:after="40"/>
              <w:jc w:val="center"/>
            </w:pPr>
            <w:r>
              <w:rPr>
                <w:rFonts w:ascii="Times New Roman" w:hAnsi="Times New Roman" w:eastAsia="Times New Roman"/>
                <w:sz w:val="22"/>
              </w:rPr>
              <w:t>0.9027</w:t>
            </w:r>
          </w:p>
        </w:tc>
        <w:tc>
          <w:tcPr>
            <w:tcW w:type="dxa" w:w="2340"/>
            <w:vAlign w:val="center"/>
          </w:tcPr>
          <w:p>
            <w:pPr>
              <w:spacing w:after="40"/>
              <w:jc w:val="center"/>
            </w:pPr>
            <w:r>
              <w:rPr>
                <w:rFonts w:ascii="Times New Roman" w:hAnsi="Times New Roman" w:eastAsia="Times New Roman"/>
                <w:sz w:val="22"/>
              </w:rPr>
              <w:t>0.9030</w:t>
            </w:r>
          </w:p>
        </w:tc>
        <w:tc>
          <w:tcPr>
            <w:tcW w:type="dxa" w:w="2340"/>
            <w:vAlign w:val="center"/>
          </w:tcPr>
          <w:p>
            <w:pPr>
              <w:spacing w:after="40"/>
              <w:jc w:val="center"/>
            </w:pPr>
            <w:r>
              <w:rPr>
                <w:rFonts w:ascii="Times New Roman" w:hAnsi="Times New Roman" w:eastAsia="Times New Roman"/>
                <w:sz w:val="22"/>
              </w:rPr>
              <w:t>+0.0003</w:t>
            </w:r>
          </w:p>
        </w:tc>
      </w:tr>
      <w:tr>
        <w:tc>
          <w:tcPr>
            <w:tcW w:type="dxa" w:w="2340"/>
            <w:vAlign w:val="center"/>
          </w:tcPr>
          <w:p>
            <w:pPr>
              <w:spacing w:after="40"/>
              <w:jc w:val="left"/>
            </w:pPr>
            <w:r>
              <w:rPr>
                <w:rFonts w:ascii="Times New Roman" w:hAnsi="Times New Roman" w:eastAsia="Times New Roman"/>
                <w:sz w:val="22"/>
              </w:rPr>
              <w:t>PR-AUC</w:t>
            </w:r>
          </w:p>
        </w:tc>
        <w:tc>
          <w:tcPr>
            <w:tcW w:type="dxa" w:w="2340"/>
            <w:vAlign w:val="center"/>
          </w:tcPr>
          <w:p>
            <w:pPr>
              <w:spacing w:after="40"/>
              <w:jc w:val="center"/>
            </w:pPr>
            <w:r>
              <w:rPr>
                <w:rFonts w:ascii="Times New Roman" w:hAnsi="Times New Roman" w:eastAsia="Times New Roman"/>
                <w:sz w:val="22"/>
              </w:rPr>
              <w:t>0.6289</w:t>
            </w:r>
          </w:p>
        </w:tc>
        <w:tc>
          <w:tcPr>
            <w:tcW w:type="dxa" w:w="2340"/>
            <w:vAlign w:val="center"/>
          </w:tcPr>
          <w:p>
            <w:pPr>
              <w:spacing w:after="40"/>
              <w:jc w:val="center"/>
            </w:pPr>
            <w:r>
              <w:rPr>
                <w:rFonts w:ascii="Times New Roman" w:hAnsi="Times New Roman" w:eastAsia="Times New Roman"/>
                <w:sz w:val="22"/>
              </w:rPr>
              <w:t>0.6302</w:t>
            </w:r>
          </w:p>
        </w:tc>
        <w:tc>
          <w:tcPr>
            <w:tcW w:type="dxa" w:w="2340"/>
            <w:vAlign w:val="center"/>
          </w:tcPr>
          <w:p>
            <w:pPr>
              <w:spacing w:after="40"/>
              <w:jc w:val="center"/>
            </w:pPr>
            <w:r>
              <w:rPr>
                <w:rFonts w:ascii="Times New Roman" w:hAnsi="Times New Roman" w:eastAsia="Times New Roman"/>
                <w:sz w:val="22"/>
              </w:rPr>
              <w:t>+0.0013</w:t>
            </w:r>
          </w:p>
        </w:tc>
      </w:tr>
      <w:tr>
        <w:tc>
          <w:tcPr>
            <w:tcW w:type="dxa" w:w="2340"/>
            <w:vAlign w:val="center"/>
          </w:tcPr>
          <w:p>
            <w:pPr>
              <w:spacing w:after="40"/>
              <w:jc w:val="left"/>
            </w:pPr>
            <w:r>
              <w:rPr>
                <w:rFonts w:ascii="Times New Roman" w:hAnsi="Times New Roman" w:eastAsia="Times New Roman"/>
                <w:sz w:val="22"/>
              </w:rPr>
              <w:t>Brier score</w:t>
            </w:r>
          </w:p>
        </w:tc>
        <w:tc>
          <w:tcPr>
            <w:tcW w:type="dxa" w:w="2340"/>
            <w:vAlign w:val="center"/>
          </w:tcPr>
          <w:p>
            <w:pPr>
              <w:spacing w:after="40"/>
              <w:jc w:val="center"/>
            </w:pPr>
            <w:r>
              <w:rPr>
                <w:rFonts w:ascii="Times New Roman" w:hAnsi="Times New Roman" w:eastAsia="Times New Roman"/>
                <w:sz w:val="22"/>
              </w:rPr>
              <w:t>0.0650</w:t>
            </w:r>
          </w:p>
        </w:tc>
        <w:tc>
          <w:tcPr>
            <w:tcW w:type="dxa" w:w="2340"/>
            <w:vAlign w:val="center"/>
          </w:tcPr>
          <w:p>
            <w:pPr>
              <w:spacing w:after="40"/>
              <w:jc w:val="center"/>
            </w:pPr>
            <w:r>
              <w:rPr>
                <w:rFonts w:ascii="Times New Roman" w:hAnsi="Times New Roman" w:eastAsia="Times New Roman"/>
                <w:sz w:val="22"/>
              </w:rPr>
              <w:t>0.0650</w:t>
            </w:r>
          </w:p>
        </w:tc>
        <w:tc>
          <w:tcPr>
            <w:tcW w:type="dxa" w:w="2340"/>
            <w:vAlign w:val="center"/>
          </w:tcPr>
          <w:p>
            <w:pPr>
              <w:spacing w:after="40"/>
              <w:jc w:val="center"/>
            </w:pPr>
            <w:r>
              <w:rPr>
                <w:rFonts w:ascii="Times New Roman" w:hAnsi="Times New Roman" w:eastAsia="Times New Roman"/>
                <w:sz w:val="22"/>
              </w:rPr>
              <w:t>0.0000</w:t>
            </w:r>
          </w:p>
        </w:tc>
      </w:tr>
      <w:tr>
        <w:tc>
          <w:tcPr>
            <w:tcW w:type="dxa" w:w="2340"/>
            <w:vAlign w:val="center"/>
          </w:tcPr>
          <w:p>
            <w:pPr>
              <w:spacing w:after="40"/>
              <w:jc w:val="left"/>
            </w:pPr>
            <w:r>
              <w:rPr>
                <w:rFonts w:ascii="Times New Roman" w:hAnsi="Times New Roman" w:eastAsia="Times New Roman"/>
                <w:sz w:val="22"/>
              </w:rPr>
              <w:t>Expected calibration error</w:t>
            </w:r>
          </w:p>
        </w:tc>
        <w:tc>
          <w:tcPr>
            <w:tcW w:type="dxa" w:w="2340"/>
            <w:vAlign w:val="center"/>
          </w:tcPr>
          <w:p>
            <w:pPr>
              <w:spacing w:after="40"/>
              <w:jc w:val="center"/>
            </w:pPr>
            <w:r>
              <w:rPr>
                <w:rFonts w:ascii="Times New Roman" w:hAnsi="Times New Roman" w:eastAsia="Times New Roman"/>
                <w:sz w:val="22"/>
              </w:rPr>
              <w:t>0.0255</w:t>
            </w:r>
          </w:p>
        </w:tc>
        <w:tc>
          <w:tcPr>
            <w:tcW w:type="dxa" w:w="2340"/>
            <w:vAlign w:val="center"/>
          </w:tcPr>
          <w:p>
            <w:pPr>
              <w:spacing w:after="40"/>
              <w:jc w:val="center"/>
            </w:pPr>
            <w:r>
              <w:rPr>
                <w:rFonts w:ascii="Times New Roman" w:hAnsi="Times New Roman" w:eastAsia="Times New Roman"/>
                <w:sz w:val="22"/>
              </w:rPr>
              <w:t>0.0265</w:t>
            </w:r>
          </w:p>
        </w:tc>
        <w:tc>
          <w:tcPr>
            <w:tcW w:type="dxa" w:w="2340"/>
            <w:vAlign w:val="center"/>
          </w:tcPr>
          <w:p>
            <w:pPr>
              <w:spacing w:after="40"/>
              <w:jc w:val="center"/>
            </w:pPr>
            <w:r>
              <w:rPr>
                <w:rFonts w:ascii="Times New Roman" w:hAnsi="Times New Roman" w:eastAsia="Times New Roman"/>
                <w:sz w:val="22"/>
              </w:rPr>
              <w:t>+0.0010</w:t>
            </w:r>
          </w:p>
        </w:tc>
      </w:tr>
      <w:tr>
        <w:tc>
          <w:tcPr>
            <w:tcW w:type="dxa" w:w="2340"/>
            <w:vAlign w:val="center"/>
          </w:tcPr>
          <w:p>
            <w:pPr>
              <w:spacing w:after="40"/>
              <w:jc w:val="left"/>
            </w:pPr>
            <w:r>
              <w:rPr>
                <w:rFonts w:ascii="Times New Roman" w:hAnsi="Times New Roman" w:eastAsia="Times New Roman"/>
                <w:sz w:val="22"/>
              </w:rPr>
              <w:t>Accuracy</w:t>
            </w:r>
          </w:p>
        </w:tc>
        <w:tc>
          <w:tcPr>
            <w:tcW w:type="dxa" w:w="2340"/>
            <w:vAlign w:val="center"/>
          </w:tcPr>
          <w:p>
            <w:pPr>
              <w:spacing w:after="40"/>
              <w:jc w:val="center"/>
            </w:pPr>
            <w:r>
              <w:rPr>
                <w:rFonts w:ascii="Times New Roman" w:hAnsi="Times New Roman" w:eastAsia="Times New Roman"/>
                <w:sz w:val="22"/>
              </w:rPr>
              <w:t>0.9124</w:t>
            </w:r>
          </w:p>
        </w:tc>
        <w:tc>
          <w:tcPr>
            <w:tcW w:type="dxa" w:w="2340"/>
            <w:vAlign w:val="center"/>
          </w:tcPr>
          <w:p>
            <w:pPr>
              <w:spacing w:after="40"/>
              <w:jc w:val="center"/>
            </w:pPr>
            <w:r>
              <w:rPr>
                <w:rFonts w:ascii="Times New Roman" w:hAnsi="Times New Roman" w:eastAsia="Times New Roman"/>
                <w:sz w:val="22"/>
              </w:rPr>
              <w:t>0.9127</w:t>
            </w:r>
          </w:p>
        </w:tc>
        <w:tc>
          <w:tcPr>
            <w:tcW w:type="dxa" w:w="2340"/>
            <w:vAlign w:val="center"/>
          </w:tcPr>
          <w:p>
            <w:pPr>
              <w:spacing w:after="40"/>
              <w:jc w:val="center"/>
            </w:pPr>
            <w:r>
              <w:rPr>
                <w:rFonts w:ascii="Times New Roman" w:hAnsi="Times New Roman" w:eastAsia="Times New Roman"/>
                <w:sz w:val="22"/>
              </w:rPr>
              <w:t>+0.0003</w:t>
            </w:r>
          </w:p>
        </w:tc>
      </w:tr>
      <w:tr>
        <w:tc>
          <w:tcPr>
            <w:tcW w:type="dxa" w:w="2340"/>
            <w:vAlign w:val="center"/>
          </w:tcPr>
          <w:p>
            <w:pPr>
              <w:spacing w:after="40"/>
              <w:jc w:val="left"/>
            </w:pPr>
            <w:r>
              <w:rPr>
                <w:rFonts w:ascii="Times New Roman" w:hAnsi="Times New Roman" w:eastAsia="Times New Roman"/>
                <w:sz w:val="22"/>
              </w:rPr>
              <w:t>Balanced accuracy</w:t>
            </w:r>
          </w:p>
        </w:tc>
        <w:tc>
          <w:tcPr>
            <w:tcW w:type="dxa" w:w="2340"/>
            <w:vAlign w:val="center"/>
          </w:tcPr>
          <w:p>
            <w:pPr>
              <w:spacing w:after="40"/>
              <w:jc w:val="center"/>
            </w:pPr>
            <w:r>
              <w:rPr>
                <w:rFonts w:ascii="Times New Roman" w:hAnsi="Times New Roman" w:eastAsia="Times New Roman"/>
                <w:sz w:val="22"/>
              </w:rPr>
              <w:t>0.6515</w:t>
            </w:r>
          </w:p>
        </w:tc>
        <w:tc>
          <w:tcPr>
            <w:tcW w:type="dxa" w:w="2340"/>
            <w:vAlign w:val="center"/>
          </w:tcPr>
          <w:p>
            <w:pPr>
              <w:spacing w:after="40"/>
              <w:jc w:val="center"/>
            </w:pPr>
            <w:r>
              <w:rPr>
                <w:rFonts w:ascii="Times New Roman" w:hAnsi="Times New Roman" w:eastAsia="Times New Roman"/>
                <w:sz w:val="22"/>
              </w:rPr>
              <w:t>0.6549</w:t>
            </w:r>
          </w:p>
        </w:tc>
        <w:tc>
          <w:tcPr>
            <w:tcW w:type="dxa" w:w="2340"/>
            <w:vAlign w:val="center"/>
          </w:tcPr>
          <w:p>
            <w:pPr>
              <w:spacing w:after="40"/>
              <w:jc w:val="center"/>
            </w:pPr>
            <w:r>
              <w:rPr>
                <w:rFonts w:ascii="Times New Roman" w:hAnsi="Times New Roman" w:eastAsia="Times New Roman"/>
                <w:sz w:val="22"/>
              </w:rPr>
              <w:t>+0.0034</w:t>
            </w:r>
          </w:p>
        </w:tc>
      </w:tr>
      <w:tr>
        <w:tc>
          <w:tcPr>
            <w:tcW w:type="dxa" w:w="2340"/>
            <w:vAlign w:val="center"/>
          </w:tcPr>
          <w:p>
            <w:pPr>
              <w:spacing w:after="40"/>
              <w:jc w:val="left"/>
            </w:pPr>
            <w:r>
              <w:rPr>
                <w:rFonts w:ascii="Times New Roman" w:hAnsi="Times New Roman" w:eastAsia="Times New Roman"/>
                <w:sz w:val="22"/>
              </w:rPr>
              <w:t>Precision</w:t>
            </w:r>
          </w:p>
        </w:tc>
        <w:tc>
          <w:tcPr>
            <w:tcW w:type="dxa" w:w="2340"/>
            <w:vAlign w:val="center"/>
          </w:tcPr>
          <w:p>
            <w:pPr>
              <w:spacing w:after="40"/>
              <w:jc w:val="center"/>
            </w:pPr>
            <w:r>
              <w:rPr>
                <w:rFonts w:ascii="Times New Roman" w:hAnsi="Times New Roman" w:eastAsia="Times New Roman"/>
                <w:sz w:val="22"/>
              </w:rPr>
              <w:t>0.7844</w:t>
            </w:r>
          </w:p>
        </w:tc>
        <w:tc>
          <w:tcPr>
            <w:tcW w:type="dxa" w:w="2340"/>
            <w:vAlign w:val="center"/>
          </w:tcPr>
          <w:p>
            <w:pPr>
              <w:spacing w:after="40"/>
              <w:jc w:val="center"/>
            </w:pPr>
            <w:r>
              <w:rPr>
                <w:rFonts w:ascii="Times New Roman" w:hAnsi="Times New Roman" w:eastAsia="Times New Roman"/>
                <w:sz w:val="22"/>
              </w:rPr>
              <w:t>0.7826</w:t>
            </w:r>
          </w:p>
        </w:tc>
        <w:tc>
          <w:tcPr>
            <w:tcW w:type="dxa" w:w="2340"/>
            <w:vAlign w:val="center"/>
          </w:tcPr>
          <w:p>
            <w:pPr>
              <w:spacing w:after="40"/>
              <w:jc w:val="center"/>
            </w:pPr>
            <w:r>
              <w:rPr>
                <w:rFonts w:ascii="Times New Roman" w:hAnsi="Times New Roman" w:eastAsia="Times New Roman"/>
                <w:sz w:val="22"/>
              </w:rPr>
              <w:t>-0.0018</w:t>
            </w:r>
          </w:p>
        </w:tc>
      </w:tr>
      <w:tr>
        <w:tc>
          <w:tcPr>
            <w:tcW w:type="dxa" w:w="2340"/>
            <w:vAlign w:val="center"/>
          </w:tcPr>
          <w:p>
            <w:pPr>
              <w:spacing w:after="40"/>
              <w:jc w:val="left"/>
            </w:pPr>
            <w:r>
              <w:rPr>
                <w:rFonts w:ascii="Times New Roman" w:hAnsi="Times New Roman" w:eastAsia="Times New Roman"/>
                <w:sz w:val="22"/>
              </w:rPr>
              <w:t>Recall</w:t>
            </w:r>
          </w:p>
        </w:tc>
        <w:tc>
          <w:tcPr>
            <w:tcW w:type="dxa" w:w="2340"/>
            <w:vAlign w:val="center"/>
          </w:tcPr>
          <w:p>
            <w:pPr>
              <w:spacing w:after="40"/>
              <w:jc w:val="center"/>
            </w:pPr>
            <w:r>
              <w:rPr>
                <w:rFonts w:ascii="Times New Roman" w:hAnsi="Times New Roman" w:eastAsia="Times New Roman"/>
                <w:sz w:val="22"/>
              </w:rPr>
              <w:t>0.3141</w:t>
            </w:r>
          </w:p>
        </w:tc>
        <w:tc>
          <w:tcPr>
            <w:tcW w:type="dxa" w:w="2340"/>
            <w:vAlign w:val="center"/>
          </w:tcPr>
          <w:p>
            <w:pPr>
              <w:spacing w:after="40"/>
              <w:jc w:val="center"/>
            </w:pPr>
            <w:r>
              <w:rPr>
                <w:rFonts w:ascii="Times New Roman" w:hAnsi="Times New Roman" w:eastAsia="Times New Roman"/>
                <w:sz w:val="22"/>
              </w:rPr>
              <w:t>0.3212</w:t>
            </w:r>
          </w:p>
        </w:tc>
        <w:tc>
          <w:tcPr>
            <w:tcW w:type="dxa" w:w="2340"/>
            <w:vAlign w:val="center"/>
          </w:tcPr>
          <w:p>
            <w:pPr>
              <w:spacing w:after="40"/>
              <w:jc w:val="center"/>
            </w:pPr>
            <w:r>
              <w:rPr>
                <w:rFonts w:ascii="Times New Roman" w:hAnsi="Times New Roman" w:eastAsia="Times New Roman"/>
                <w:sz w:val="22"/>
              </w:rPr>
              <w:t>+0.0072</w:t>
            </w:r>
          </w:p>
        </w:tc>
      </w:tr>
      <w:tr>
        <w:tc>
          <w:tcPr>
            <w:tcW w:type="dxa" w:w="2340"/>
            <w:vAlign w:val="center"/>
          </w:tcPr>
          <w:p>
            <w:pPr>
              <w:spacing w:after="40"/>
              <w:jc w:val="left"/>
            </w:pPr>
            <w:r>
              <w:rPr>
                <w:rFonts w:ascii="Times New Roman" w:hAnsi="Times New Roman" w:eastAsia="Times New Roman"/>
                <w:sz w:val="22"/>
              </w:rPr>
              <w:t>Worst-group accuracy</w:t>
            </w:r>
          </w:p>
        </w:tc>
        <w:tc>
          <w:tcPr>
            <w:tcW w:type="dxa" w:w="2340"/>
            <w:vAlign w:val="center"/>
          </w:tcPr>
          <w:p>
            <w:pPr>
              <w:spacing w:after="40"/>
              <w:jc w:val="center"/>
            </w:pPr>
            <w:r>
              <w:rPr>
                <w:rFonts w:ascii="Times New Roman" w:hAnsi="Times New Roman" w:eastAsia="Times New Roman"/>
                <w:sz w:val="22"/>
              </w:rPr>
              <w:t>0.2203</w:t>
            </w:r>
          </w:p>
        </w:tc>
        <w:tc>
          <w:tcPr>
            <w:tcW w:type="dxa" w:w="2340"/>
            <w:vAlign w:val="center"/>
          </w:tcPr>
          <w:p>
            <w:pPr>
              <w:spacing w:after="40"/>
              <w:jc w:val="center"/>
            </w:pPr>
            <w:r>
              <w:rPr>
                <w:rFonts w:ascii="Times New Roman" w:hAnsi="Times New Roman" w:eastAsia="Times New Roman"/>
                <w:sz w:val="22"/>
              </w:rPr>
              <w:t>0.2552</w:t>
            </w:r>
          </w:p>
        </w:tc>
        <w:tc>
          <w:tcPr>
            <w:tcW w:type="dxa" w:w="2340"/>
            <w:vAlign w:val="center"/>
          </w:tcPr>
          <w:p>
            <w:pPr>
              <w:spacing w:after="40"/>
              <w:jc w:val="center"/>
            </w:pPr>
            <w:r>
              <w:rPr>
                <w:rFonts w:ascii="Times New Roman" w:hAnsi="Times New Roman" w:eastAsia="Times New Roman"/>
                <w:sz w:val="22"/>
              </w:rPr>
              <w:t>+0.0348</w:t>
            </w:r>
          </w:p>
        </w:tc>
      </w:tr>
    </w:tbl>
    <w:p>
      <w:pPr>
        <w:spacing w:before="240" w:after="160" w:line="360" w:lineRule="auto"/>
        <w:ind w:firstLine="720"/>
        <w:jc w:val="left"/>
      </w:pPr>
      <w:r>
        <w:rPr>
          <w:rFonts w:ascii="Times New Roman" w:hAnsi="Times New Roman" w:eastAsia="Times New Roman"/>
          <w:sz w:val="24"/>
        </w:rPr>
        <w:t>The headline result is not a broad performance collapse. Aggregate discrimination is effectively unchanged: ROC-AUC moves from 0.9027 to 0.9030 and PR-AUC from 0.6289 to 0.6302. Overall accuracy is similarly stable, 0.9124 versus 0.9127, and the Brier score is unchanged to four decimal places. Expected calibration error worsens only slightly, from 0.0255 to 0.0265.</w:t>
      </w:r>
    </w:p>
    <w:p>
      <w:pPr>
        <w:spacing w:before="240" w:after="160" w:line="360" w:lineRule="auto"/>
        <w:ind w:firstLine="720"/>
        <w:jc w:val="left"/>
      </w:pPr>
      <w:r>
        <w:rPr>
          <w:rFonts w:ascii="Times New Roman" w:hAnsi="Times New Roman" w:eastAsia="Times New Roman"/>
          <w:sz w:val="24"/>
        </w:rPr>
        <w:t>The largest absolute movement among the conventional predictive metrics is recall, which increases by 0.0072 rather than deteriorating. Worst-group accuracy changes more, improving by 0.0348, but remains extremely low. The correct conclusion is therefore not that the shifted environment materially degrades average performance. It is that population-average performance is remarkably stable while the model remains highly uneven across meaningful subpopulations.</w:t>
      </w:r>
    </w:p>
    <w:p>
      <w:pPr>
        <w:spacing w:before="120" w:after="160" w:line="276" w:lineRule="auto"/>
        <w:jc w:val="left"/>
      </w:pPr>
      <w:r>
        <w:rPr>
          <w:rFonts w:ascii="Times New Roman" w:hAnsi="Times New Roman" w:eastAsia="Times New Roman"/>
          <w:b/>
          <w:sz w:val="28"/>
        </w:rPr>
        <w:t>Look Beneath the Average</w:t>
      </w:r>
    </w:p>
    <w:p>
      <w:pPr>
        <w:spacing w:before="240" w:after="160" w:line="360" w:lineRule="auto"/>
        <w:ind w:firstLine="720"/>
        <w:jc w:val="left"/>
      </w:pPr>
      <w:r>
        <w:rPr>
          <w:rFonts w:ascii="Times New Roman" w:hAnsi="Times New Roman" w:eastAsia="Times New Roman"/>
          <w:sz w:val="24"/>
        </w:rPr>
        <w:t>The subgroup analysis changes the interpretation of the otherwise reassuring aggregate results. The weakest identity-by-label group in both environments is the positive class among comments mentioning Christians. At the fixed 0.50 threshold, accuracy for this group is 0.2203 in the ID holdout and 0.2552 in the shifted test set. Because every observation in this subgroup is toxic, this quantity is also recall. The shifted result therefore means that the model identifies only about one quarter of toxic Christian-mention comments.</w:t>
      </w:r>
    </w:p>
    <w:p>
      <w:pPr>
        <w:spacing w:before="240" w:after="160" w:line="360" w:lineRule="auto"/>
        <w:ind w:firstLine="720"/>
        <w:jc w:val="left"/>
      </w:pPr>
      <w:r>
        <w:rPr>
          <w:rFonts w:ascii="Times New Roman" w:hAnsi="Times New Roman" w:eastAsia="Times New Roman"/>
          <w:sz w:val="24"/>
        </w:rPr>
        <w:t>Performance is not uniformly weak across identities. In the shifted environment, recall is 0.4520 for White-mention comments, 0.4370 for Black-mention comments, 0.3419 for LGBTQ-mention comments, 0.3379 for male-mention comments, 0.3249 for Muslim-mention comments, 0.3037 for other-religion mentions, and 0.3020 for female-mention comments. Subgroup changes are mixed rather than directionally uniform. For example, Black-mention accuracy falls from 0.7736 to 0.7596, while White-mention accuracy rises from 0.7854 to 0.7925. The environment shift therefore does not produce one common degradation pattern across groups.</w:t>
      </w:r>
    </w:p>
    <w:p>
      <w:pPr>
        <w:spacing w:before="240" w:after="160" w:line="360" w:lineRule="auto"/>
        <w:ind w:firstLine="720"/>
        <w:jc w:val="left"/>
      </w:pPr>
      <w:r>
        <w:rPr>
          <w:rFonts w:ascii="Times New Roman" w:hAnsi="Times New Roman" w:eastAsia="Times New Roman"/>
          <w:sz w:val="24"/>
        </w:rPr>
        <w:t>This is precisely where an average metric becomes insufficient. A shifted ROC-AUC above 0.90 and accuracy above 0.91 are both true statements, but neither reveals that the fixed decision threshold misses roughly three quarters of toxic comments in the weakest identity group. Average robustness and subgroup robustness are empirically different claims.</w:t>
      </w:r>
    </w:p>
    <w:p>
      <w:pPr>
        <w:spacing w:before="120" w:after="160" w:line="276" w:lineRule="auto"/>
        <w:jc w:val="left"/>
      </w:pPr>
      <w:r>
        <w:rPr>
          <w:rFonts w:ascii="Times New Roman" w:hAnsi="Times New Roman" w:eastAsia="Times New Roman"/>
          <w:b/>
          <w:sz w:val="28"/>
        </w:rPr>
        <w:t>Diagnose the Shift</w:t>
      </w:r>
    </w:p>
    <w:p>
      <w:pPr>
        <w:spacing w:before="240" w:after="160" w:line="360" w:lineRule="auto"/>
        <w:ind w:firstLine="720"/>
        <w:jc w:val="left"/>
      </w:pPr>
      <w:r>
        <w:rPr>
          <w:rFonts w:ascii="Times New Roman" w:hAnsi="Times New Roman" w:eastAsia="Times New Roman"/>
          <w:sz w:val="24"/>
        </w:rPr>
        <w:t>The diagnostic evidence offers little support for a simple prevalence-shift explanation. Toxicity prevalence is 11.34% in the ID holdout and 11.37% in the shifted test set. The proportion of comments mentioning at least one tracked identity changes only from 40.22% to 39.30%, while median comment length changes from 45 to 44 words. The largest identity-composition difference is for female mentions, which decline by 1.15 percentage points.</w:t>
      </w:r>
    </w:p>
    <w:p>
      <w:pPr>
        <w:spacing w:before="240" w:after="160" w:line="360" w:lineRule="auto"/>
        <w:ind w:firstLine="720"/>
        <w:jc w:val="left"/>
      </w:pPr>
      <w:r>
        <w:rPr>
          <w:rFonts w:ascii="Times New Roman" w:hAnsi="Times New Roman" w:eastAsia="Times New Roman"/>
          <w:sz w:val="24"/>
        </w:rPr>
        <w:t>Observed lexical shifts are also modest. Among the largest changes in mean TF-IDF weight, the term 'women' differs by less than 0.001 between environments, with other high-ranking changes smaller still. These summaries do not prove that the two environments are equivalent, nor can marginal feature comparisons establish whether P(Y|X) changed. They do, however, help explain why the aggregate metrics remain so stable: the evaluated environments are surprisingly similar on several observable margins.</w:t>
      </w:r>
    </w:p>
    <w:p>
      <w:pPr>
        <w:spacing w:before="240" w:after="160" w:line="360" w:lineRule="auto"/>
        <w:ind w:firstLine="720"/>
        <w:jc w:val="left"/>
      </w:pPr>
      <w:r>
        <w:rPr>
          <w:rFonts w:ascii="Times New Roman" w:hAnsi="Times New Roman" w:eastAsia="Times New Roman"/>
          <w:sz w:val="24"/>
        </w:rPr>
        <w:t>The severe subgroup weakness therefore should not be attributed causally to the shift itself. It is already present in the ID holdout and persists in the shifted environment. Lexical confounding, discourse patterns around particular identities, annotation behavior, threshold choice, or interactions among these factors could contribute. The experiment diagnoses the location of the failure, not its mechanism.</w:t>
      </w:r>
    </w:p>
    <w:p>
      <w:pPr>
        <w:spacing w:before="120" w:after="160" w:line="276" w:lineRule="auto"/>
        <w:jc w:val="left"/>
      </w:pPr>
      <w:r>
        <w:rPr>
          <w:rFonts w:ascii="Times New Roman" w:hAnsi="Times New Roman" w:eastAsia="Times New Roman"/>
          <w:b/>
          <w:sz w:val="28"/>
        </w:rPr>
        <w:t>Deployment Judgment</w:t>
      </w:r>
    </w:p>
    <w:p>
      <w:pPr>
        <w:spacing w:before="120" w:after="160" w:line="276" w:lineRule="auto"/>
        <w:jc w:val="left"/>
      </w:pPr>
      <w:r>
        <w:rPr>
          <w:rFonts w:ascii="Times New Roman" w:hAnsi="Times New Roman" w:eastAsia="Times New Roman"/>
          <w:b/>
          <w:sz w:val="24"/>
        </w:rPr>
        <w:t>Selected Judgment: REVALIDATE</w:t>
      </w:r>
    </w:p>
    <w:p>
      <w:pPr>
        <w:spacing w:before="240" w:after="160" w:line="360" w:lineRule="auto"/>
        <w:ind w:firstLine="720"/>
        <w:jc w:val="left"/>
      </w:pPr>
      <w:r>
        <w:rPr>
          <w:rFonts w:ascii="Times New Roman" w:hAnsi="Times New Roman" w:eastAsia="Times New Roman"/>
          <w:sz w:val="24"/>
        </w:rPr>
        <w:t>I would not deploy the classifier unchanged. The shifted ROC-AUC of 0.9030 and accuracy of 0.9127 demonstrate substantial aggregate predictive signal, so the evidence does not justify abandoning the model. The subgroup evidence, however, is incompatible with an unqualified deployment claim. A recall of 0.2552 for toxic Christian-mention comments means that roughly three of every four toxic comments in that subgroup are missed at the prespecified threshold.</w:t>
      </w:r>
    </w:p>
    <w:p>
      <w:pPr>
        <w:spacing w:before="240" w:after="160" w:line="360" w:lineRule="auto"/>
        <w:ind w:firstLine="720"/>
        <w:jc w:val="left"/>
      </w:pPr>
      <w:r>
        <w:rPr>
          <w:rFonts w:ascii="Times New Roman" w:hAnsi="Times New Roman" w:eastAsia="Times New Roman"/>
          <w:sz w:val="24"/>
        </w:rPr>
        <w:t>Before deployment, I would require a protected labeled target sample large enough to estimate subgroup sensitivity and calibration with useful precision, threshold analyses that quantify the tradeoff between missed toxic comments and false alarms for each identity group, and replication across multiple development splits or seeds. If the intended application extends beyond CivilComments, I would also require validation on a genuinely external comment source or later moderation period. These checks should precede any retraining or threshold adjustment.</w:t>
      </w:r>
    </w:p>
    <w:p>
      <w:pPr>
        <w:spacing w:before="120" w:after="160" w:line="276" w:lineRule="auto"/>
        <w:jc w:val="left"/>
      </w:pPr>
      <w:r>
        <w:rPr>
          <w:rFonts w:ascii="Times New Roman" w:hAnsi="Times New Roman" w:eastAsia="Times New Roman"/>
          <w:b/>
          <w:sz w:val="28"/>
        </w:rPr>
        <w:t>Replication Verdict</w:t>
      </w:r>
    </w:p>
    <w:p>
      <w:pPr>
        <w:spacing w:before="120" w:after="160" w:line="276" w:lineRule="auto"/>
        <w:jc w:val="left"/>
      </w:pPr>
      <w:r>
        <w:rPr>
          <w:rFonts w:ascii="Times New Roman" w:hAnsi="Times New Roman" w:eastAsia="Times New Roman"/>
          <w:b/>
          <w:sz w:val="24"/>
        </w:rPr>
        <w:t>Selected Verdict: Partially Reproduced</w:t>
      </w:r>
    </w:p>
    <w:p>
      <w:pPr>
        <w:spacing w:before="240" w:after="160" w:line="360" w:lineRule="auto"/>
        <w:ind w:firstLine="720"/>
        <w:jc w:val="left"/>
      </w:pPr>
      <w:r>
        <w:rPr>
          <w:rFonts w:ascii="Times New Roman" w:hAnsi="Times New Roman" w:eastAsia="Times New Roman"/>
          <w:sz w:val="24"/>
        </w:rPr>
        <w:t>The replication partially reproduces the central WILDS research idea. It reproduces the substantive warning that a strong population-average result can coexist with severe subpopulation failure. Koh et al. (2021) report 92.2% average accuracy for the CivilComments ERM benchmark but only 56.0% worst-group accuracy. My simpler lexical model reaches 91.27% overall accuracy on the shifted test set while its worst-group accuracy is only 25.52%. The absolute values are not directly comparable because the model architecture, representation, training procedure, and ID construction differ, but the structural lesson is reproduced.</w:t>
      </w:r>
    </w:p>
    <w:p>
      <w:pPr>
        <w:spacing w:before="240" w:after="160" w:line="360" w:lineRule="auto"/>
        <w:ind w:firstLine="720"/>
        <w:jc w:val="left"/>
      </w:pPr>
      <w:r>
        <w:rPr>
          <w:rFonts w:ascii="Times New Roman" w:hAnsi="Times New Roman" w:eastAsia="Times New Roman"/>
          <w:sz w:val="24"/>
        </w:rPr>
        <w:t>The verdict is not 'Reproduced' because this experiment does not recreate the original CivilComments pipeline or the broader WILDS pattern of substantial ID-to-OOD performance drops. In this experiment, aggregate ID and shifted performance are nearly indistinguishable. The replicated component is narrower: average generalization is not sufficient evidence of subgroup robustness. Calling the result 'Partially Reproduced' preserves that distinction rather than forcing agreement where the evidence does not support it.</w:t>
      </w:r>
    </w:p>
    <w:p>
      <w:pPr>
        <w:spacing w:before="120" w:after="160" w:line="276" w:lineRule="auto"/>
        <w:jc w:val="left"/>
      </w:pPr>
      <w:r>
        <w:rPr>
          <w:rFonts w:ascii="Times New Roman" w:hAnsi="Times New Roman" w:eastAsia="Times New Roman"/>
          <w:b/>
          <w:sz w:val="28"/>
        </w:rPr>
        <w:t>Limitations and Claim Boundary</w:t>
      </w:r>
    </w:p>
    <w:p>
      <w:pPr>
        <w:spacing w:before="120" w:after="160" w:line="276" w:lineRule="auto"/>
        <w:jc w:val="left"/>
      </w:pPr>
      <w:r>
        <w:rPr>
          <w:rFonts w:ascii="Times New Roman" w:hAnsi="Times New Roman" w:eastAsia="Times New Roman"/>
          <w:b/>
          <w:sz w:val="24"/>
        </w:rPr>
        <w:t>What the Evidence Supports</w:t>
      </w:r>
    </w:p>
    <w:p>
      <w:pPr>
        <w:spacing w:before="240" w:after="160" w:line="360" w:lineRule="auto"/>
        <w:ind w:firstLine="720"/>
        <w:jc w:val="left"/>
      </w:pPr>
      <w:r>
        <w:rPr>
          <w:rFonts w:ascii="Times New Roman" w:hAnsi="Times New Roman" w:eastAsia="Times New Roman"/>
          <w:sz w:val="24"/>
        </w:rPr>
        <w:t>For this CivilComments-WILDS dataset, this fixed TF-IDF logistic-regression pipeline, and these evaluation rules, aggregate discrimination, calibration, and accuracy are essentially stable when moving from a source-like ID holdout to the official shifted test environment. At the same time, both environments exhibit substantial subgroup heterogeneity, with especially poor sensitivity for toxic comments mentioning Christians. The evidence supports a bounded claim: stable average performance does not guarantee acceptable subgroup performance.</w:t>
      </w:r>
    </w:p>
    <w:p>
      <w:pPr>
        <w:spacing w:before="120" w:after="160" w:line="276" w:lineRule="auto"/>
        <w:jc w:val="left"/>
      </w:pPr>
      <w:r>
        <w:rPr>
          <w:rFonts w:ascii="Times New Roman" w:hAnsi="Times New Roman" w:eastAsia="Times New Roman"/>
          <w:b/>
          <w:sz w:val="24"/>
        </w:rPr>
        <w:t>What the Evidence Does Not Support</w:t>
      </w:r>
    </w:p>
    <w:p>
      <w:pPr>
        <w:spacing w:before="240" w:after="160" w:line="360" w:lineRule="auto"/>
        <w:ind w:firstLine="720"/>
        <w:jc w:val="left"/>
      </w:pPr>
      <w:r>
        <w:rPr>
          <w:rFonts w:ascii="Times New Roman" w:hAnsi="Times New Roman" w:eastAsia="Times New Roman"/>
          <w:sz w:val="24"/>
        </w:rPr>
        <w:t>The experiment does not establish that CivilComments contains no meaningful distribution shift, that logistic regression is generally robust to OOD data, or that demographic identity itself causes the observed subgroup error. It does not show that the same pattern would hold for another toxicity corpus, a different model family, a different decision threshold, or a future deployment population. It also does not establish that retraining would improve the failure.</w:t>
      </w:r>
    </w:p>
    <w:p>
      <w:pPr>
        <w:spacing w:before="240" w:after="160" w:line="360" w:lineRule="auto"/>
        <w:ind w:firstLine="720"/>
        <w:jc w:val="left"/>
      </w:pPr>
      <w:r>
        <w:rPr>
          <w:rFonts w:ascii="Times New Roman" w:hAnsi="Times New Roman" w:eastAsia="Times New Roman"/>
          <w:sz w:val="24"/>
        </w:rPr>
        <w:t>Two reproducibility boundaries also matter. First, the analysis uses a processed public mirror of CivilComments-WILDS rather than a version-pinned archival snapshot of the canonical WILDS package. Second, the ID comparator is a stratified holdout constructed from the official training split rather than the exact CivilComments benchmark comparator used by Koh et al. (2021). Those choices are appropriate for the laboratory's smaller-scale replication logic, but they limit direct numerical comparability with the published benchmark.</w:t>
      </w:r>
    </w:p>
    <w:p>
      <w:pPr>
        <w:spacing w:before="120" w:after="160" w:line="276" w:lineRule="auto"/>
        <w:jc w:val="left"/>
      </w:pPr>
      <w:r>
        <w:rPr>
          <w:rFonts w:ascii="Times New Roman" w:hAnsi="Times New Roman" w:eastAsia="Times New Roman"/>
          <w:b/>
          <w:sz w:val="28"/>
        </w:rPr>
        <w:t>Extension: What I Would Test Next</w:t>
      </w:r>
    </w:p>
    <w:p>
      <w:pPr>
        <w:spacing w:before="240" w:after="160" w:line="360" w:lineRule="auto"/>
        <w:ind w:firstLine="720"/>
        <w:jc w:val="left"/>
      </w:pPr>
      <w:r>
        <w:rPr>
          <w:rFonts w:ascii="Times New Roman" w:hAnsi="Times New Roman" w:eastAsia="Times New Roman"/>
          <w:sz w:val="24"/>
        </w:rPr>
        <w:t>The strongest extension would separate population-composition shift from model failure by constructing a preregistered sequence of target mixtures from untouched evaluation observations while keeping the fitted model and its predictions fixed. The prevalence of identity-by-label groups would be varied systematically, including progressively increasing the representation of the weakest toxic subgroup, while total sample size remains constant. At each mixture I would recompute precision, calibration, balanced accuracy, and worst-group recall.</w:t>
      </w:r>
    </w:p>
    <w:p>
      <w:pPr>
        <w:spacing w:before="240" w:after="160" w:line="360" w:lineRule="auto"/>
        <w:ind w:firstLine="720"/>
        <w:jc w:val="left"/>
      </w:pPr>
      <w:r>
        <w:rPr>
          <w:rFonts w:ascii="Times New Roman" w:hAnsi="Times New Roman" w:eastAsia="Times New Roman"/>
          <w:sz w:val="24"/>
        </w:rPr>
        <w:t>This would answer a transportability question that the current comparison cannot: how quickly can a classifier with stable aggregate performance become operationally unreliable as the deployment population places greater weight on a subgroup it already serves poorly? If average accuracy remains high while decision-relevant performance deteriorates as the mixture changes, the experiment would isolate a genuine composition-driven risk without changing the predictive model. If performance remains stable under substantial reweighting, the current subgroup weakness would be more localized than the worst-group statistic alone suggests.</w:t>
      </w:r>
    </w:p>
    <w:p>
      <w:pPr>
        <w:spacing w:before="120" w:after="160" w:line="276" w:lineRule="auto"/>
        <w:jc w:val="left"/>
      </w:pPr>
      <w:r>
        <w:rPr>
          <w:rFonts w:ascii="Times New Roman" w:hAnsi="Times New Roman" w:eastAsia="Times New Roman"/>
          <w:b/>
          <w:sz w:val="28"/>
        </w:rPr>
        <w:t>Session Information</w:t>
      </w:r>
    </w:p>
    <w:p>
      <w:pPr>
        <w:spacing w:before="240" w:after="160" w:line="360" w:lineRule="auto"/>
        <w:ind w:firstLine="720"/>
        <w:jc w:val="left"/>
      </w:pPr>
      <w:r>
        <w:rPr>
          <w:rFonts w:ascii="Times New Roman" w:hAnsi="Times New Roman" w:eastAsia="Times New Roman"/>
          <w:sz w:val="24"/>
        </w:rPr>
        <w:t>The executed analysis used Python 3.13.16 on Linux with NumPy 2.1.3, pandas 2.2.3, scikit-learn 1.6.1, datasets 4.8.5, and pyarrow 23.0.1. The random seed was fixed at 735. Data were loaded from the public Hugging Face mirror pietrolesci/civilcomments-wilds. The accompanying executed notebook contains the complete code and all analytical outputs used in this report.</w:t>
      </w:r>
    </w:p>
    <w:p>
      <w:pPr>
        <w:spacing w:before="120" w:after="160" w:line="276" w:lineRule="auto"/>
        <w:jc w:val="left"/>
      </w:pPr>
      <w:r>
        <w:rPr>
          <w:rFonts w:ascii="Times New Roman" w:hAnsi="Times New Roman" w:eastAsia="Times New Roman"/>
          <w:b/>
          <w:sz w:val="28"/>
        </w:rPr>
        <w:t>References</w:t>
      </w:r>
    </w:p>
    <w:p>
      <w:pPr>
        <w:spacing w:before="40" w:after="160" w:line="360" w:lineRule="auto"/>
        <w:ind w:left="720" w:hanging="720"/>
      </w:pPr>
      <w:r>
        <w:rPr>
          <w:rFonts w:ascii="Times New Roman" w:hAnsi="Times New Roman" w:eastAsia="Times New Roman"/>
          <w:sz w:val="22"/>
        </w:rPr>
        <w:t>Borkan, D., Dixon, L., Sorensen, J., Thain, N., &amp; Vasserman, L. (2019). Nuanced metrics for measuring unintended bias with real data for text classification. Companion Proceedings of The 2019 World Wide Web Conference, 491-500. https://doi.org/10.1145/3308560.3317593</w:t>
      </w:r>
    </w:p>
    <w:p>
      <w:pPr>
        <w:spacing w:before="40" w:after="160" w:line="360" w:lineRule="auto"/>
        <w:ind w:left="720" w:hanging="720"/>
      </w:pPr>
      <w:r>
        <w:rPr>
          <w:rFonts w:ascii="Times New Roman" w:hAnsi="Times New Roman" w:eastAsia="Times New Roman"/>
          <w:sz w:val="22"/>
        </w:rPr>
        <w:t>Koh, P. W., Sagawa, S., Marklund, H., Xie, S. M., Zhang, M., Balsubramani, A., Hu, W., Yasunaga, M., Phillips, R. L., Gao, I., Lee, T., David, E., Stavness, I., Guo, W., Earnshaw, B. A., Haque, I. S., Beery, S. M., Leskovec, J., Kundaje, A., ... Liang, P. (2021). WILDS: A benchmark of in-the-wild distribution shifts. Proceedings of the 38th International Conference on Machine Learning, 139, 5637-5664. https://proceedings.mlr.press/v139/koh21a.html</w:t>
      </w:r>
    </w:p>
    <w:sectPr w:rsidR="00FC693F" w:rsidRPr="0006063C"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ANLY 735 Replication Laboratory #2 - Can the Model Keep Learning?</dc:title>
  <dc:subject>Replication Laboratory #2</dc:subject>
  <dc:creator>Arvind Natarajan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