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NOA（导航辅助驾驶/领航辅助）Item Definition（相关项定义）</w:t>
      </w:r>
    </w:p>
    <w:p>
      <w:r>
        <w:t>doc_id: ITEM-NOA-001</w:t>
      </w:r>
    </w:p>
    <w:p>
      <w:r>
        <w:t>work_product_type: item-definition</w:t>
      </w:r>
    </w:p>
    <w:p>
      <w:r>
        <w:t>status: Draft, version: v0.1, last_updated: 2026-03-27</w:t>
      </w:r>
    </w:p>
    <w:p>
      <w:pPr>
        <w:pStyle w:val="Heading1"/>
      </w:pPr>
      <w:r>
        <w:t>目的（Purpose）</w:t>
      </w:r>
    </w:p>
    <w:p>
      <w:r>
        <w:t>定义 NOA 功能在项目中的功能边界、外部接口、运行场景与约束，作为后续 HARA 与 FSC 的上游输入。</w:t>
      </w:r>
    </w:p>
    <w:p>
      <w:pPr>
        <w:pStyle w:val="Heading1"/>
      </w:pPr>
      <w:r>
        <w:t>适用范围与边界（Scope and Boundary）</w:t>
      </w:r>
    </w:p>
    <w:p>
      <w:pPr>
        <w:pStyle w:val="Heading2"/>
      </w:pPr>
      <w:r>
        <w:t>系统/功能边界</w:t>
      </w:r>
    </w:p>
    <w:p>
      <w:pPr>
        <w:pStyle w:val="ListBullet"/>
      </w:pPr>
      <w:r>
        <w:t>NOA 作为 L2/L2+ 驾驶辅助（等级与法规/ODD 以项目定义为准），在限定 ODD 内提供纵向/横向辅助与变道建议/执行（若支持）</w:t>
      </w:r>
    </w:p>
    <w:p>
      <w:pPr>
        <w:pStyle w:val="ListBullet"/>
      </w:pPr>
      <w:r>
        <w:t>NOA 依赖导航/地图/定位与环境感知，输出对执行层的目标轨迹/控制请求（或对域控的策略请求，视架构而定）</w:t>
      </w:r>
    </w:p>
    <w:p>
      <w:pPr>
        <w:pStyle w:val="Heading2"/>
      </w:pPr>
      <w:r>
        <w:t>适用阶段（V 模型阶段）</w:t>
      </w:r>
    </w:p>
    <w:p>
      <w:pPr>
        <w:pStyle w:val="ListBullet"/>
      </w:pPr>
      <w:r>
        <w:t>概念</w:t>
      </w:r>
    </w:p>
    <w:p>
      <w:pPr>
        <w:pStyle w:val="Heading1"/>
      </w:pPr>
      <w:r>
        <w:t>输入与参考（Inputs and References）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输入/参考 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PRD-NOA-001</w:t>
            </w:r>
          </w:p>
        </w:tc>
        <w:tc>
          <w:tcPr>
            <w:tcW w:type="dxa" w:w="1728"/>
          </w:tcPr>
          <w:p>
            <w:r>
              <w:t>NOA 功能需求（导航领航辅助）</w:t>
            </w:r>
          </w:p>
        </w:tc>
        <w:tc>
          <w:tcPr>
            <w:tcW w:type="dxa" w:w="1728"/>
          </w:tcPr>
          <w:p>
            <w:r>
              <w:t>v0.1</w:t>
            </w:r>
          </w:p>
        </w:tc>
        <w:tc>
          <w:tcPr>
            <w:tcW w:type="dxa" w:w="1728"/>
          </w:tcPr>
          <w:p>
            <w:r>
              <w:t>产品需求文档</w:t>
            </w:r>
          </w:p>
        </w:tc>
        <w:tc>
          <w:tcPr>
            <w:tcW w:type="dxa" w:w="1728"/>
          </w:tcPr>
          <w:p>
            <w:r>
              <w:t>待提供</w:t>
            </w:r>
          </w:p>
        </w:tc>
      </w:tr>
      <w:tr>
        <w:tc>
          <w:tcPr>
            <w:tcW w:type="dxa" w:w="1728"/>
          </w:tcPr>
          <w:p>
            <w:r>
              <w:t>ODD-NOA-001</w:t>
            </w:r>
          </w:p>
        </w:tc>
        <w:tc>
          <w:tcPr>
            <w:tcW w:type="dxa" w:w="1728"/>
          </w:tcPr>
          <w:p>
            <w:r>
              <w:t>NOA ODD 定义（道路类型/速度/天气/交通规则等）</w:t>
            </w:r>
          </w:p>
        </w:tc>
        <w:tc>
          <w:tcPr>
            <w:tcW w:type="dxa" w:w="1728"/>
          </w:tcPr>
          <w:p>
            <w:r>
              <w:t>v0.1</w:t>
            </w:r>
          </w:p>
        </w:tc>
        <w:tc>
          <w:tcPr>
            <w:tcW w:type="dxa" w:w="1728"/>
          </w:tcPr>
          <w:p>
            <w:r>
              <w:t>系统需求/法规合规文档</w:t>
            </w:r>
          </w:p>
        </w:tc>
        <w:tc>
          <w:tcPr>
            <w:tcW w:type="dxa" w:w="1728"/>
          </w:tcPr>
          <w:p>
            <w:r>
              <w:t>待提供</w:t>
            </w:r>
          </w:p>
        </w:tc>
      </w:tr>
      <w:tr>
        <w:tc>
          <w:tcPr>
            <w:tcW w:type="dxa" w:w="1728"/>
          </w:tcPr>
          <w:p>
            <w:r>
              <w:t>SYS-ARCH-001</w:t>
            </w:r>
          </w:p>
        </w:tc>
        <w:tc>
          <w:tcPr>
            <w:tcW w:type="dxa" w:w="1728"/>
          </w:tcPr>
          <w:p>
            <w:r>
              <w:t>系统架构说明</w:t>
            </w:r>
          </w:p>
        </w:tc>
        <w:tc>
          <w:tcPr>
            <w:tcW w:type="dxa" w:w="1728"/>
          </w:tcPr>
          <w:p>
            <w:r>
              <w:t>v0.4</w:t>
            </w:r>
          </w:p>
        </w:tc>
        <w:tc>
          <w:tcPr>
            <w:tcW w:type="dxa" w:w="1728"/>
          </w:tcPr>
          <w:p>
            <w:r>
              <w:t>系统架构文档</w:t>
            </w:r>
          </w:p>
        </w:tc>
        <w:tc>
          <w:tcPr>
            <w:tcW w:type="dxa" w:w="1728"/>
          </w:tcPr>
          <w:p>
            <w:r>
              <w:t>草案</w:t>
            </w:r>
          </w:p>
        </w:tc>
      </w:tr>
    </w:tbl>
    <w:p>
      <w:pPr>
        <w:pStyle w:val="Heading1"/>
      </w:pPr>
      <w:r>
        <w:t>标准要求（Standard Requirements）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标准</w:t>
            </w:r>
          </w:p>
        </w:tc>
        <w:tc>
          <w:tcPr>
            <w:tcW w:type="dxa" w:w="2160"/>
          </w:tcPr>
          <w:p>
            <w:r>
              <w:t>Part/Clause</w:t>
            </w:r>
          </w:p>
        </w:tc>
        <w:tc>
          <w:tcPr>
            <w:tcW w:type="dxa" w:w="2160"/>
          </w:tcPr>
          <w:p>
            <w:r>
              <w:t>适用性说明</w:t>
            </w:r>
          </w:p>
        </w:tc>
        <w:tc>
          <w:tcPr>
            <w:tcW w:type="dxa" w:w="2160"/>
          </w:tcPr>
          <w:p>
            <w:r>
              <w:t>证据引用</w:t>
            </w:r>
          </w:p>
        </w:tc>
      </w:tr>
      <w:tr>
        <w:tc>
          <w:tcPr>
            <w:tcW w:type="dxa" w:w="2160"/>
          </w:tcPr>
          <w:p>
            <w:r>
              <w:t>ISO 26262</w:t>
            </w:r>
          </w:p>
        </w:tc>
        <w:tc>
          <w:tcPr>
            <w:tcW w:type="dxa" w:w="2160"/>
          </w:tcPr>
          <w:p>
            <w:r>
              <w:t>Part 3（Concept Phase）</w:t>
            </w:r>
          </w:p>
        </w:tc>
        <w:tc>
          <w:tcPr>
            <w:tcW w:type="dxa" w:w="2160"/>
          </w:tcPr>
          <w:p>
            <w:r>
              <w:t>Item Definition 作为 HARA 输入，需明确功能边界与场景假设</w:t>
            </w:r>
          </w:p>
        </w:tc>
        <w:tc>
          <w:tcPr>
            <w:tcW w:type="dxa" w:w="2160"/>
          </w:tcPr>
          <w:p>
            <w:r>
              <w:t>SYS-REV-NOA-ITEM-001（计划）</w:t>
            </w:r>
          </w:p>
        </w:tc>
      </w:tr>
    </w:tbl>
    <w:p>
      <w:pPr>
        <w:pStyle w:val="Heading1"/>
      </w:pPr>
      <w:r>
        <w:t>项目假设（Project Assumptions）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假设 ID</w:t>
            </w:r>
          </w:p>
        </w:tc>
        <w:tc>
          <w:tcPr>
            <w:tcW w:type="dxa" w:w="1728"/>
          </w:tcPr>
          <w:p>
            <w:r>
              <w:t>假设内容</w:t>
            </w:r>
          </w:p>
        </w:tc>
        <w:tc>
          <w:tcPr>
            <w:tcW w:type="dxa" w:w="1728"/>
          </w:tcPr>
          <w:p>
            <w:r>
              <w:t>影响范围</w:t>
            </w:r>
          </w:p>
        </w:tc>
        <w:tc>
          <w:tcPr>
            <w:tcW w:type="dxa" w:w="1728"/>
          </w:tcPr>
          <w:p>
            <w:r>
              <w:t>失效风险</w:t>
            </w:r>
          </w:p>
        </w:tc>
        <w:tc>
          <w:tcPr>
            <w:tcW w:type="dxa" w:w="1728"/>
          </w:tcPr>
          <w:p>
            <w:r>
              <w:t>验证方式</w:t>
            </w:r>
          </w:p>
        </w:tc>
      </w:tr>
      <w:tr>
        <w:tc>
          <w:tcPr>
            <w:tcW w:type="dxa" w:w="1728"/>
          </w:tcPr>
          <w:p>
            <w:r>
              <w:t>ASM-NOA-ITEM-001</w:t>
            </w:r>
          </w:p>
        </w:tc>
        <w:tc>
          <w:tcPr>
            <w:tcW w:type="dxa" w:w="1728"/>
          </w:tcPr>
          <w:p>
            <w:r>
              <w:t>NOA 的 ODD（Operational Design Domain，运行设计域）由项目明确，并能在运行时被系统识别/约束</w:t>
            </w:r>
          </w:p>
        </w:tc>
        <w:tc>
          <w:tcPr>
            <w:tcW w:type="dxa" w:w="1728"/>
          </w:tcPr>
          <w:p>
            <w:r>
              <w:t>场景边界与风险评估</w:t>
            </w:r>
          </w:p>
        </w:tc>
        <w:tc>
          <w:tcPr>
            <w:tcW w:type="dxa" w:w="1728"/>
          </w:tcPr>
          <w:p>
            <w:r>
              <w:t>ODD 超界导致不可控风险增大</w:t>
            </w:r>
          </w:p>
        </w:tc>
        <w:tc>
          <w:tcPr>
            <w:tcW w:type="dxa" w:w="1728"/>
          </w:tcPr>
          <w:p>
            <w:r>
              <w:t>ODD 文档评审 + 运行时 ODD 约束机制验证</w:t>
            </w:r>
          </w:p>
        </w:tc>
      </w:tr>
      <w:tr>
        <w:tc>
          <w:tcPr>
            <w:tcW w:type="dxa" w:w="1728"/>
          </w:tcPr>
          <w:p>
            <w:r>
              <w:t>ASM-NOA-ITEM-002</w:t>
            </w:r>
          </w:p>
        </w:tc>
        <w:tc>
          <w:tcPr>
            <w:tcW w:type="dxa" w:w="1728"/>
          </w:tcPr>
          <w:p>
            <w:r>
              <w:t>系统具备可靠的驾驶员接管/告警通路（HMI、方向盘扭矩/踏板等）</w:t>
            </w:r>
          </w:p>
        </w:tc>
        <w:tc>
          <w:tcPr>
            <w:tcW w:type="dxa" w:w="1728"/>
          </w:tcPr>
          <w:p>
            <w:r>
              <w:t>可控性（C）假设</w:t>
            </w:r>
          </w:p>
        </w:tc>
        <w:tc>
          <w:tcPr>
            <w:tcW w:type="dxa" w:w="1728"/>
          </w:tcPr>
          <w:p>
            <w:r>
              <w:t>驾驶员无法及时接管</w:t>
            </w:r>
          </w:p>
        </w:tc>
        <w:tc>
          <w:tcPr>
            <w:tcW w:type="dxa" w:w="1728"/>
          </w:tcPr>
          <w:p>
            <w:r>
              <w:t>HMI/接管路径集成测试与用户试验</w:t>
            </w:r>
          </w:p>
        </w:tc>
      </w:tr>
      <w:tr>
        <w:tc>
          <w:tcPr>
            <w:tcW w:type="dxa" w:w="1728"/>
          </w:tcPr>
          <w:p>
            <w:r>
              <w:t>ASM-NOA-ITEM-003</w:t>
            </w:r>
          </w:p>
        </w:tc>
        <w:tc>
          <w:tcPr>
            <w:tcW w:type="dxa" w:w="1728"/>
          </w:tcPr>
          <w:p>
            <w:r>
              <w:t>车道线、前车、限速、匝道/分合流等关键要素的感知与定位能力满足 NOA 最小性能需求</w:t>
            </w:r>
          </w:p>
        </w:tc>
        <w:tc>
          <w:tcPr>
            <w:tcW w:type="dxa" w:w="1728"/>
          </w:tcPr>
          <w:p>
            <w:r>
              <w:t>轨迹规划与控制请求安全性</w:t>
            </w:r>
          </w:p>
        </w:tc>
        <w:tc>
          <w:tcPr>
            <w:tcW w:type="dxa" w:w="1728"/>
          </w:tcPr>
          <w:p>
            <w:r>
              <w:t>轨迹不合理导致碰撞/越界风险</w:t>
            </w:r>
          </w:p>
        </w:tc>
        <w:tc>
          <w:tcPr>
            <w:tcW w:type="dxa" w:w="1728"/>
          </w:tcPr>
          <w:p>
            <w:r>
              <w:t>场景测试集 + 实车/仿真验证（含极端场景）</w:t>
            </w:r>
          </w:p>
        </w:tc>
      </w:tr>
    </w:tbl>
    <w:p>
      <w:pPr>
        <w:pStyle w:val="Heading1"/>
      </w:pPr>
      <w:r>
        <w:t>正文内容（Main Content）</w:t>
      </w:r>
    </w:p>
    <w:p>
      <w:pPr>
        <w:pStyle w:val="Heading2"/>
      </w:pPr>
      <w:r>
        <w:t>Item 概述</w:t>
      </w:r>
    </w:p>
    <w:p>
      <w:r>
        <w:t>Item 名称：NOA（导航辅助驾驶/领航辅助）</w:t>
      </w:r>
    </w:p>
    <w:p>
      <w:r>
        <w:t>功能目标：在限定 ODD 内，根据导航路线与环境感知输出纵向/横向辅助驾驶控制请求（或轨迹目标），并在边界条件触发时提示驾驶员接管或执行安全降级/退出。</w:t>
      </w:r>
    </w:p>
    <w:p>
      <w:r>
        <w:t>非安全目标：</w:t>
      </w:r>
    </w:p>
    <w:p>
      <w:pPr>
        <w:pStyle w:val="ListBullet"/>
      </w:pPr>
      <w:r>
        <w:t>提升路线跟随与车道保持舒适性</w:t>
      </w:r>
    </w:p>
    <w:p>
      <w:pPr>
        <w:pStyle w:val="ListBullet"/>
      </w:pPr>
      <w:r>
        <w:t>减少不必要的告警与突兀控制</w:t>
      </w:r>
    </w:p>
    <w:p>
      <w:pPr>
        <w:pStyle w:val="ListBullet"/>
      </w:pPr>
      <w:r>
        <w:t>提升通行效率（在合规前提下）</w:t>
      </w:r>
    </w:p>
    <w:p>
      <w:pPr>
        <w:pStyle w:val="Heading2"/>
      </w:pPr>
      <w:r>
        <w:t>边界与接口</w:t>
      </w:r>
    </w:p>
    <w:p>
      <w:r>
        <w:t>在范围（In Scope）：</w:t>
      </w:r>
    </w:p>
    <w:p>
      <w:pPr>
        <w:pStyle w:val="ListBullet"/>
      </w:pPr>
      <w:r>
        <w:t>导航路线与道路拓扑利用（地图/定位输入）</w:t>
      </w:r>
    </w:p>
    <w:p>
      <w:pPr>
        <w:pStyle w:val="ListBullet"/>
      </w:pPr>
      <w:r>
        <w:t>环境感知融合后的车道/目标/限速等要素使用</w:t>
      </w:r>
    </w:p>
    <w:p>
      <w:pPr>
        <w:pStyle w:val="ListBullet"/>
      </w:pPr>
      <w:r>
        <w:t>轨迹/速度规划（或策略请求）与 NOA 状态机</w:t>
      </w:r>
    </w:p>
    <w:p>
      <w:pPr>
        <w:pStyle w:val="ListBullet"/>
      </w:pPr>
      <w:r>
        <w:t>退出/降级/接管提示逻辑</w:t>
      </w:r>
    </w:p>
    <w:p>
      <w:pPr>
        <w:pStyle w:val="ListBullet"/>
      </w:pPr>
      <w:r>
        <w:t>向执行/底盘控制或域控输出控制请求/轨迹目标/状态</w:t>
      </w:r>
    </w:p>
    <w:p>
      <w:r>
        <w:t>不在范围（Out of Scope）：</w:t>
      </w:r>
    </w:p>
    <w:p>
      <w:pPr>
        <w:pStyle w:val="ListBullet"/>
      </w:pPr>
      <w:r>
        <w:t>低层执行控制闭环（转向/制动/动力执行器具体控制算法，若由底盘域负责）</w:t>
      </w:r>
    </w:p>
    <w:p>
      <w:pPr>
        <w:pStyle w:val="ListBullet"/>
      </w:pPr>
      <w:r>
        <w:t>驾驶员身份识别与舒适性娱乐功能</w:t>
      </w:r>
    </w:p>
    <w:p>
      <w:pPr>
        <w:pStyle w:val="ListBullet"/>
      </w:pPr>
      <w:r>
        <w:t>远程云控驾驶行为</w:t>
      </w:r>
    </w:p>
    <w:p>
      <w:pPr>
        <w:pStyle w:val="Heading3"/>
      </w:pPr>
      <w:r>
        <w:t>外部接口清单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IF-ID</w:t>
            </w:r>
          </w:p>
        </w:tc>
        <w:tc>
          <w:tcPr>
            <w:tcW w:type="dxa" w:w="1440"/>
          </w:tcPr>
          <w:p>
            <w:r>
              <w:t>接口对象</w:t>
            </w:r>
          </w:p>
        </w:tc>
        <w:tc>
          <w:tcPr>
            <w:tcW w:type="dxa" w:w="1440"/>
          </w:tcPr>
          <w:p>
            <w:r>
              <w:t>输入/输出</w:t>
            </w:r>
          </w:p>
        </w:tc>
        <w:tc>
          <w:tcPr>
            <w:tcW w:type="dxa" w:w="1440"/>
          </w:tcPr>
          <w:p>
            <w:r>
              <w:t>信号/消息</w:t>
            </w:r>
          </w:p>
        </w:tc>
        <w:tc>
          <w:tcPr>
            <w:tcW w:type="dxa" w:w="1440"/>
          </w:tcPr>
          <w:p>
            <w:r>
              <w:t>正常范围</w:t>
            </w:r>
          </w:p>
        </w:tc>
        <w:tc>
          <w:tcPr>
            <w:tcW w:type="dxa" w:w="1440"/>
          </w:tcPr>
          <w:p>
            <w:r>
              <w:t>异常处理</w:t>
            </w:r>
          </w:p>
        </w:tc>
      </w:tr>
      <w:tr>
        <w:tc>
          <w:tcPr>
            <w:tcW w:type="dxa" w:w="1440"/>
          </w:tcPr>
          <w:p>
            <w:r>
              <w:t>IF-NOA-001</w:t>
            </w:r>
          </w:p>
        </w:tc>
        <w:tc>
          <w:tcPr>
            <w:tcW w:type="dxa" w:w="1440"/>
          </w:tcPr>
          <w:p>
            <w:r>
              <w:t>导航/地图/定位模块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路线、道路拓扑、定位质量、限速/匝道信息（如适用）</w:t>
            </w:r>
          </w:p>
        </w:tc>
        <w:tc>
          <w:tcPr>
            <w:tcW w:type="dxa" w:w="1440"/>
          </w:tcPr>
          <w:p>
            <w:r>
              <w:t>定位与地图匹配质量满足 NOA 最小要求</w:t>
            </w:r>
          </w:p>
        </w:tc>
        <w:tc>
          <w:tcPr>
            <w:tcW w:type="dxa" w:w="1440"/>
          </w:tcPr>
          <w:p>
            <w:r>
              <w:t>定位/地图质量不足时抑制 NOA 或降级</w:t>
            </w:r>
          </w:p>
        </w:tc>
      </w:tr>
      <w:tr>
        <w:tc>
          <w:tcPr>
            <w:tcW w:type="dxa" w:w="1440"/>
          </w:tcPr>
          <w:p>
            <w:r>
              <w:t>IF-NOA-002</w:t>
            </w:r>
          </w:p>
        </w:tc>
        <w:tc>
          <w:tcPr>
            <w:tcW w:type="dxa" w:w="1440"/>
          </w:tcPr>
          <w:p>
            <w:r>
              <w:t>感知系统（摄像头/雷达/激光雷达等，按项目）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车道线/边界、目标车辆/障碍物、交通标志/限速（如适用）</w:t>
            </w:r>
          </w:p>
        </w:tc>
        <w:tc>
          <w:tcPr>
            <w:tcW w:type="dxa" w:w="1440"/>
          </w:tcPr>
          <w:p>
            <w:r>
              <w:t>输出周期与置信度满足规划需求</w:t>
            </w:r>
          </w:p>
        </w:tc>
        <w:tc>
          <w:tcPr>
            <w:tcW w:type="dxa" w:w="1440"/>
          </w:tcPr>
          <w:p>
            <w:r>
              <w:t>置信度不足时限制功能并提示驾驶员接管</w:t>
            </w:r>
          </w:p>
        </w:tc>
      </w:tr>
      <w:tr>
        <w:tc>
          <w:tcPr>
            <w:tcW w:type="dxa" w:w="1440"/>
          </w:tcPr>
          <w:p>
            <w:r>
              <w:t>IF-NOA-003</w:t>
            </w:r>
          </w:p>
        </w:tc>
        <w:tc>
          <w:tcPr>
            <w:tcW w:type="dxa" w:w="1440"/>
          </w:tcPr>
          <w:p>
            <w:r>
              <w:t>车辆状态总线（CAN/Ethernet）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车速、加速度、转角、档位、制动状态、转向灯、雨刮等</w:t>
            </w:r>
          </w:p>
        </w:tc>
        <w:tc>
          <w:tcPr>
            <w:tcW w:type="dxa" w:w="1440"/>
          </w:tcPr>
          <w:p>
            <w:r>
              <w:t>信号有效且时延满足控制链路</w:t>
            </w:r>
          </w:p>
        </w:tc>
        <w:tc>
          <w:tcPr>
            <w:tcW w:type="dxa" w:w="1440"/>
          </w:tcPr>
          <w:p>
            <w:r>
              <w:t>关键状态信号失效触发降级/退出</w:t>
            </w:r>
          </w:p>
        </w:tc>
      </w:tr>
      <w:tr>
        <w:tc>
          <w:tcPr>
            <w:tcW w:type="dxa" w:w="1440"/>
          </w:tcPr>
          <w:p>
            <w:r>
              <w:t>IF-NOA-004</w:t>
            </w:r>
          </w:p>
        </w:tc>
        <w:tc>
          <w:tcPr>
            <w:tcW w:type="dxa" w:w="1440"/>
          </w:tcPr>
          <w:p>
            <w:r>
              <w:t>执行/底盘控制或域控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轨迹目标/加速度目标/车道变更请求/功能状态与有效位</w:t>
            </w:r>
          </w:p>
        </w:tc>
        <w:tc>
          <w:tcPr>
            <w:tcW w:type="dxa" w:w="1440"/>
          </w:tcPr>
          <w:p>
            <w:r>
              <w:t>下游确认接收并执行，反馈闭环（如有）</w:t>
            </w:r>
          </w:p>
        </w:tc>
        <w:tc>
          <w:tcPr>
            <w:tcW w:type="dxa" w:w="1440"/>
          </w:tcPr>
          <w:p>
            <w:r>
              <w:t>通信超时或拒绝执行时进入安全降级并告警</w:t>
            </w:r>
          </w:p>
        </w:tc>
      </w:tr>
      <w:tr>
        <w:tc>
          <w:tcPr>
            <w:tcW w:type="dxa" w:w="1440"/>
          </w:tcPr>
          <w:p>
            <w:r>
              <w:t>IF-NOA-005</w:t>
            </w:r>
          </w:p>
        </w:tc>
        <w:tc>
          <w:tcPr>
            <w:tcW w:type="dxa" w:w="1440"/>
          </w:tcPr>
          <w:p>
            <w:r>
              <w:t>HMI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激活/可用/退出/接管告警、原因码、等级</w:t>
            </w:r>
          </w:p>
        </w:tc>
        <w:tc>
          <w:tcPr>
            <w:tcW w:type="dxa" w:w="1440"/>
          </w:tcPr>
          <w:p>
            <w:r>
              <w:t>告警通路可用且优先级正确</w:t>
            </w:r>
          </w:p>
        </w:tc>
        <w:tc>
          <w:tcPr>
            <w:tcW w:type="dxa" w:w="1440"/>
          </w:tcPr>
          <w:p>
            <w:r>
              <w:t>HMI 不可用时禁止激活或强制退出</w:t>
            </w:r>
          </w:p>
        </w:tc>
      </w:tr>
    </w:tbl>
    <w:p>
      <w:pPr>
        <w:pStyle w:val="Heading1"/>
      </w:pPr>
      <w:r>
        <w:t>可追溯性（Traceability）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条目 ID</w:t>
            </w:r>
          </w:p>
        </w:tc>
        <w:tc>
          <w:tcPr>
            <w:tcW w:type="dxa" w:w="1728"/>
          </w:tcPr>
          <w:p>
            <w:r>
              <w:t>上游输入（父级）</w:t>
            </w:r>
          </w:p>
        </w:tc>
        <w:tc>
          <w:tcPr>
            <w:tcW w:type="dxa" w:w="1728"/>
          </w:tcPr>
          <w:p>
            <w:r>
              <w:t>下游分解（子级）</w:t>
            </w:r>
          </w:p>
        </w:tc>
        <w:tc>
          <w:tcPr>
            <w:tcW w:type="dxa" w:w="1728"/>
          </w:tcPr>
          <w:p>
            <w:r>
              <w:t>验证方法</w:t>
            </w:r>
          </w:p>
        </w:tc>
        <w:tc>
          <w:tcPr>
            <w:tcW w:type="dxa" w:w="1728"/>
          </w:tcPr>
          <w:p>
            <w:r>
              <w:t>证据 ID</w:t>
            </w:r>
          </w:p>
        </w:tc>
      </w:tr>
      <w:tr>
        <w:tc>
          <w:tcPr>
            <w:tcW w:type="dxa" w:w="1728"/>
          </w:tcPr>
          <w:p>
            <w:r>
              <w:t>ITM-NOA-001</w:t>
            </w:r>
          </w:p>
        </w:tc>
        <w:tc>
          <w:tcPr>
            <w:tcW w:type="dxa" w:w="1728"/>
          </w:tcPr>
          <w:p>
            <w:r>
              <w:t>PRD-NOA-001</w:t>
            </w:r>
          </w:p>
        </w:tc>
        <w:tc>
          <w:tcPr>
            <w:tcW w:type="dxa" w:w="1728"/>
          </w:tcPr>
          <w:p>
            <w:r>
              <w:t>HARA-NOA-001（待建）/FSC-NOA-001（待建）</w:t>
            </w:r>
          </w:p>
        </w:tc>
        <w:tc>
          <w:tcPr>
            <w:tcW w:type="dxa" w:w="1728"/>
          </w:tcPr>
          <w:p>
            <w:r>
              <w:t>评审</w:t>
            </w:r>
          </w:p>
        </w:tc>
        <w:tc>
          <w:tcPr>
            <w:tcW w:type="dxa" w:w="1728"/>
          </w:tcPr>
          <w:p>
            <w:r>
              <w:t>SYS-REV-NOA-ITEM-001（计划）</w:t>
            </w:r>
          </w:p>
        </w:tc>
      </w:tr>
    </w:tbl>
    <w:p>
      <w:pPr>
        <w:pStyle w:val="Heading1"/>
      </w:pPr>
      <w:r>
        <w:t>待验证项（Open Verification Items）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OVI ID</w:t>
            </w:r>
          </w:p>
        </w:tc>
        <w:tc>
          <w:tcPr>
            <w:tcW w:type="dxa" w:w="1728"/>
          </w:tcPr>
          <w:p>
            <w:r>
              <w:t>待验证项</w:t>
            </w:r>
          </w:p>
        </w:tc>
        <w:tc>
          <w:tcPr>
            <w:tcW w:type="dxa" w:w="1728"/>
          </w:tcPr>
          <w:p>
            <w:r>
              <w:t>责任人</w:t>
            </w:r>
          </w:p>
        </w:tc>
        <w:tc>
          <w:tcPr>
            <w:tcW w:type="dxa" w:w="1728"/>
          </w:tcPr>
          <w:p>
            <w:r>
              <w:t>截止日期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OVI-NOA-ITEM-001</w:t>
            </w:r>
          </w:p>
        </w:tc>
        <w:tc>
          <w:tcPr>
            <w:tcW w:type="dxa" w:w="1728"/>
          </w:tcPr>
          <w:p>
            <w:r>
              <w:t>NOA ODD 边界与降级/退出策略是否完整覆盖（道路类型、施工区、恶劣天气等）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OVI-NOA-ITEM-002</w:t>
            </w:r>
          </w:p>
        </w:tc>
        <w:tc>
          <w:tcPr>
            <w:tcW w:type="dxa" w:w="1728"/>
          </w:tcPr>
          <w:p>
            <w:r>
              <w:t>变道功能（若支持）的触发/抑制条件、与周边车交互策略是否一致且可解释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OVI-NOA-ITEM-003</w:t>
            </w:r>
          </w:p>
        </w:tc>
        <w:tc>
          <w:tcPr>
            <w:tcW w:type="dxa" w:w="1728"/>
          </w:tcPr>
          <w:p>
            <w:r>
              <w:t>最小风险状态（MRC/MRM，若适用）与驾驶员接管失败处理策略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>
      <w:pPr>
        <w:pStyle w:val="Heading1"/>
      </w:pPr>
      <w:r>
        <w:t>评审与批准（Review and Approval）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系统安全工程师（待定）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2026-03-27</w:t>
            </w:r>
          </w:p>
        </w:tc>
      </w:tr>
      <w:tr>
        <w:tc>
          <w:tcPr>
            <w:tcW w:type="dxa" w:w="2160"/>
          </w:tcPr>
          <w:p>
            <w:r>
              <w:t>评审者</w:t>
            </w:r>
          </w:p>
        </w:tc>
        <w:tc>
          <w:tcPr>
            <w:tcW w:type="dxa" w:w="2160"/>
          </w:tcPr>
          <w:p>
            <w:r>
              <w:t>系统工程负责人（待定）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</w:tr>
      <w:tr>
        <w:tc>
          <w:tcPr>
            <w:tcW w:type="dxa" w:w="2160"/>
          </w:tcPr>
          <w:p>
            <w:r>
              <w:t>批准者</w:t>
            </w:r>
          </w:p>
        </w:tc>
        <w:tc>
          <w:tcPr>
            <w:tcW w:type="dxa" w:w="2160"/>
          </w:tcPr>
          <w:p>
            <w:r>
              <w:t>功能安全经理（待定）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</w:tr>
    </w:tbl>
    <w:p>
      <w:pPr>
        <w:pStyle w:val="Heading1"/>
      </w:pPr>
      <w:r>
        <w:t>变更记录（Change History）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变更摘要</w:t>
            </w:r>
          </w:p>
        </w:tc>
        <w:tc>
          <w:tcPr>
            <w:tcW w:type="dxa" w:w="1728"/>
          </w:tcPr>
          <w:p>
            <w:r>
              <w:t>变更原因</w:t>
            </w:r>
          </w:p>
        </w:tc>
        <w:tc>
          <w:tcPr>
            <w:tcW w:type="dxa" w:w="1728"/>
          </w:tcPr>
          <w:p>
            <w:r>
              <w:t>作者</w:t>
            </w:r>
          </w:p>
        </w:tc>
      </w:tr>
      <w:tr>
        <w:tc>
          <w:tcPr>
            <w:tcW w:type="dxa" w:w="1728"/>
          </w:tcPr>
          <w:p>
            <w:r>
              <w:t>v0.1</w:t>
            </w:r>
          </w:p>
        </w:tc>
        <w:tc>
          <w:tcPr>
            <w:tcW w:type="dxa" w:w="1728"/>
          </w:tcPr>
          <w:p>
            <w:r>
              <w:t>2026-03-27</w:t>
            </w:r>
          </w:p>
        </w:tc>
        <w:tc>
          <w:tcPr>
            <w:tcW w:type="dxa" w:w="1728"/>
          </w:tcPr>
          <w:p>
            <w:r>
              <w:t>创建 NOA Item Definition 草案</w:t>
            </w:r>
          </w:p>
        </w:tc>
        <w:tc>
          <w:tcPr>
            <w:tcW w:type="dxa" w:w="1728"/>
          </w:tcPr>
          <w:p>
            <w:r>
              <w:t>概念阶段初始化</w:t>
            </w:r>
          </w:p>
        </w:tc>
        <w:tc>
          <w:tcPr>
            <w:tcW w:type="dxa" w:w="1728"/>
          </w:tcPr>
          <w:p>
            <w:r>
              <w:t>AI Assistant</w:t>
            </w:r>
          </w:p>
        </w:tc>
      </w:tr>
    </w:tbl>
    <w:p>
      <w:pPr>
        <w:pStyle w:val="Heading1"/>
      </w:pPr>
      <w:r>
        <w:t>备注与边界声明</w:t>
      </w:r>
    </w:p>
    <w:p>
      <w:pPr>
        <w:pStyle w:val="ListBullet"/>
      </w:pPr>
      <w:r>
        <w:t>本文档为 Item Definition 草案，不构成 ASIL 等级最终结论。</w:t>
      </w:r>
    </w:p>
    <w:p>
      <w:pPr>
        <w:pStyle w:val="ListBullet"/>
      </w:pPr>
      <w:r>
        <w:t>ASIL 定级需在 HARA 中按具体 ODD 场景完成 S/E/C 评估。</w:t>
      </w:r>
    </w:p>
    <w:p>
      <w:pPr>
        <w:pStyle w:val="ListBullet"/>
      </w:pPr>
      <w:r>
        <w:t>若风险来自“无故障但性能不足/误用”情形，应补充 ISO 21448（SOTIF）并与 ISO 26262 结论分开记录。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