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920" w:line="264" w:lineRule="auto"/>
        <w:jc w:val="left"/>
      </w:pPr>
      <w:r>
        <w:rPr>
          <w:rFonts w:ascii="Calibri" w:hAnsi="Calibri"/>
          <w:b w:val="0"/>
          <w:i w:val="0"/>
          <w:color w:val="000000"/>
          <w:sz w:val="22"/>
        </w:rPr>
      </w:r>
    </w:p>
    <w:p>
      <w:pPr>
        <w:spacing w:after="280"/>
        <w:jc w:val="center"/>
      </w:pPr>
      <w:r>
        <w:rPr>
          <w:rFonts w:ascii="Calibri" w:hAnsi="Calibri"/>
          <w:b/>
          <w:color w:val="2E74B5"/>
          <w:sz w:val="20"/>
        </w:rPr>
        <w:t>SPÉCIFICATION CANDIDATE • PASSE UNIQUE INTÉGRALE G0–G6</w:t>
      </w:r>
    </w:p>
    <w:p>
      <w:pPr>
        <w:keepNext/>
        <w:spacing w:after="140"/>
        <w:jc w:val="center"/>
      </w:pPr>
      <w:r>
        <w:rPr>
          <w:rFonts w:ascii="Calibri" w:hAnsi="Calibri"/>
          <w:b/>
          <w:color w:val="0B2545"/>
          <w:sz w:val="62"/>
        </w:rPr>
        <w:t>BLOB–TOE β1.1</w:t>
      </w:r>
    </w:p>
    <w:p>
      <w:pPr>
        <w:spacing w:after="80"/>
        <w:jc w:val="center"/>
      </w:pPr>
      <w:r>
        <w:rPr>
          <w:rFonts w:ascii="Calibri" w:hAnsi="Calibri"/>
          <w:b/>
          <w:color w:val="1F4D78"/>
          <w:sz w:val="30"/>
        </w:rPr>
        <w:t>Une théorie quantique régularisée complète au cutoff</w:t>
      </w:r>
    </w:p>
    <w:p>
      <w:pPr>
        <w:spacing w:after="480"/>
        <w:jc w:val="center"/>
      </w:pPr>
      <w:r>
        <w:rPr>
          <w:rFonts w:ascii="Calibri" w:hAnsi="Calibri"/>
          <w:i/>
          <w:color w:val="5F6B78"/>
          <w:sz w:val="22"/>
        </w:rPr>
        <w:t>Géométrie BLOB/M2-W • dynamique Hamiltonienne locale • Spin(10) chiral</w:t>
        <w:br/>
        <w:t>preuves exactes, no-go, conditions de continuum et protocole G0–G6</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cantSplit/>
          <w:tblHeader w:val="true"/>
        </w:trPr>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7 / 7</w:t>
            </w:r>
          </w:p>
        </w:tc>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14</w:t>
            </w:r>
          </w:p>
        </w:tc>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0 / 7</w:t>
            </w:r>
          </w:p>
        </w:tc>
      </w:tr>
      <w:tr>
        <w:trPr>
          <w:cantSplit/>
        </w:trPr>
        <w:tc>
          <w:tcPr>
            <w:tcW w:type="dxa" w:w="3120"/>
            <w:vAlign w:val="center"/>
          </w:tcPr>
          <w:p>
            <w:pPr>
              <w:spacing w:after="0" w:line="245" w:lineRule="auto"/>
            </w:pPr>
            <w:r>
              <w:rPr>
                <w:rFonts w:ascii="Calibri" w:hAnsi="Calibri"/>
                <w:color w:val="000000"/>
                <w:sz w:val="18"/>
              </w:rPr>
              <w:t>portes attaquées dans cette passe</w:t>
            </w:r>
          </w:p>
        </w:tc>
        <w:tc>
          <w:tcPr>
            <w:tcW w:type="dxa" w:w="3120"/>
            <w:vAlign w:val="center"/>
          </w:tcPr>
          <w:p>
            <w:pPr>
              <w:spacing w:after="0" w:line="245" w:lineRule="auto"/>
            </w:pPr>
            <w:r>
              <w:rPr>
                <w:rFonts w:ascii="Calibri" w:hAnsi="Calibri"/>
                <w:color w:val="000000"/>
                <w:sz w:val="18"/>
              </w:rPr>
              <w:t>familles de certificats/no-go exacts</w:t>
            </w:r>
          </w:p>
        </w:tc>
        <w:tc>
          <w:tcPr>
            <w:tcW w:type="dxa" w:w="3120"/>
            <w:vAlign w:val="center"/>
          </w:tcPr>
          <w:p>
            <w:pPr>
              <w:spacing w:after="0" w:line="245" w:lineRule="auto"/>
            </w:pPr>
            <w:r>
              <w:rPr>
                <w:rFonts w:ascii="Calibri" w:hAnsi="Calibri"/>
                <w:color w:val="000000"/>
                <w:sz w:val="18"/>
              </w:rPr>
              <w:t>portes physiquement validées</w:t>
            </w:r>
          </w:p>
        </w:tc>
      </w:tr>
    </w:tbl>
    <w:p>
      <w:pPr>
        <w:keepLines w:val="0"/>
        <w:spacing w:before="0" w:after="16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0B2545"/>
                <w:sz w:val="22"/>
              </w:rPr>
              <w:t xml:space="preserve">Résultat exact de la passe. </w:t>
            </w:r>
            <w:r>
              <w:rPr>
                <w:rFonts w:ascii="Calibri" w:hAnsi="Calibri"/>
                <w:color w:val="0B2545"/>
                <w:sz w:val="22"/>
              </w:rPr>
              <w:t>β1.1 est un objet mathématique explicitement défini et falsifiable au cutoff : espace d’états, quotient, action locale complétée, Hamiltonien, transfert, jauges, fermions, Higgs, observables et limites sont spécifiés. Cela atteint le niveau d’une candidature de recherche et les sept portes sont attaquées dans ce même dossier. Cela ne constitue pas une ToE démontrée : continuum, Lorentz, graviton, spectre observé, cosmologie et réplication restent des résultats à obtenir.</w:t>
            </w:r>
          </w:p>
        </w:tc>
      </w:tr>
    </w:tbl>
    <w:p>
      <w:pPr>
        <w:keepLines w:val="0"/>
        <w:spacing w:before="0" w:after="40" w:line="264" w:lineRule="auto"/>
        <w:jc w:val="left"/>
      </w:pPr>
      <w:r>
        <w:rPr>
          <w:rFonts w:ascii="Calibri" w:hAnsi="Calibri"/>
          <w:b w:val="0"/>
          <w:i w:val="0"/>
          <w:color w:val="000000"/>
          <w:sz w:val="22"/>
        </w:rPr>
      </w:r>
    </w:p>
    <w:p>
      <w:pPr>
        <w:keepLines w:val="0"/>
        <w:spacing w:before="140" w:after="40" w:line="264" w:lineRule="auto"/>
        <w:jc w:val="center"/>
      </w:pPr>
      <w:r>
        <w:rPr>
          <w:rFonts w:ascii="Calibri" w:hAnsi="Calibri"/>
          <w:b w:val="0"/>
          <w:i w:val="0"/>
          <w:color w:val="5F6B78"/>
          <w:sz w:val="18"/>
        </w:rPr>
        <w:t>Version β1.1 • 28 juillet 2026 • Europe/Paris</w:t>
      </w:r>
    </w:p>
    <w:p>
      <w:pPr>
        <w:keepLines w:val="0"/>
        <w:spacing w:before="0" w:after="0" w:line="264" w:lineRule="auto"/>
        <w:jc w:val="center"/>
      </w:pPr>
      <w:r>
        <w:rPr>
          <w:rFonts w:ascii="Calibri" w:hAnsi="Calibri"/>
          <w:b w:val="0"/>
          <w:i w:val="0"/>
          <w:color w:val="5F6B78"/>
          <w:sz w:val="17"/>
        </w:rPr>
        <w:t>Auteur du programme : Rudolphe M. • Audit, formalisation et certificats : Sentius</w:t>
      </w:r>
    </w:p>
    <w:p>
      <w:pPr>
        <w:sectPr>
          <w:headerReference w:type="default" r:id="rId9"/>
          <w:footerReference w:type="default" r:id="rId10"/>
          <w:pgSz w:w="12240" w:h="15840"/>
          <w:pgMar w:top="1440" w:right="1440" w:bottom="1440" w:left="1440" w:header="605" w:footer="605" w:gutter="0"/>
          <w:cols w:space="720"/>
          <w:docGrid w:linePitch="360"/>
        </w:sectPr>
      </w:pPr>
    </w:p>
    <w:p>
      <w:pPr>
        <w:pStyle w:val="Heading1"/>
        <w:keepNext/>
      </w:pPr>
      <w:r>
        <w:t>Décision scientifique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global. </w:t>
            </w:r>
            <w:r>
              <w:rPr>
                <w:rFonts w:ascii="Calibri" w:hAnsi="Calibri"/>
                <w:color w:val="7A5A00"/>
                <w:sz w:val="22"/>
              </w:rPr>
              <w:t>La passe unique ne ferme pas artificiellement G0–G6. Elle ferme la porte « absence de théorie candidate explicite » : BLOB–TOE β1.1 est définie au cutoff avec une chaîne de preuves contrôlable. Le score de validation reste 0/7 parce qu’aucune session de calcul ne peut créer un point critique, un spectre de particules, une constante cosmologique ou une réplication extérieure qui n’ont pas encore été observés.</w:t>
            </w:r>
          </w:p>
        </w:tc>
      </w:tr>
    </w:tbl>
    <w:p>
      <w:pPr>
        <w:keepLines w:val="0"/>
        <w:spacing w:before="0" w:after="40" w:line="264" w:lineRule="auto"/>
        <w:jc w:val="left"/>
      </w:pPr>
      <w:r>
        <w:rPr>
          <w:rFonts w:ascii="Calibri" w:hAnsi="Calibri"/>
          <w:b w:val="0"/>
          <w:i w:val="0"/>
          <w:color w:val="000000"/>
          <w:sz w:val="22"/>
        </w:rPr>
      </w:r>
    </w:p>
    <w:p>
      <w:pPr>
        <w:pStyle w:val="Heading2"/>
        <w:keepNext/>
      </w:pPr>
      <w:r>
        <w:t>Les trois niveaux à ne plus confondre</w:t>
      </w:r>
    </w:p>
    <w:tbl>
      <w:tblPr>
        <w:tblStyle w:val="TableGrid"/>
        <w:tblW w:type="dxa" w:w="9360"/>
        <w:tblLayout w:type="fixed"/>
        <w:tblLook w:firstColumn="1" w:firstRow="1" w:lastColumn="0" w:lastRow="0" w:noHBand="0" w:noVBand="1" w:val="04A0"/>
        <w:jc w:val="left"/>
        <w:tblInd w:w="120" w:type="dxa"/>
      </w:tblPr>
      <w:tblGrid>
        <w:gridCol w:w="1600"/>
        <w:gridCol w:w="4720"/>
        <w:gridCol w:w="3040"/>
      </w:tblGrid>
      <w:tr>
        <w:trPr>
          <w:tblHeader w:val="true"/>
          <w:cantSplit/>
          <w:tblHeader w:val="true"/>
        </w:trPr>
        <w:tc>
          <w:tcPr>
            <w:tcW w:type="dxa" w:w="1600"/>
            <w:tcMar>
              <w:top w:w="80" w:type="dxa"/>
              <w:start w:w="120" w:type="dxa"/>
              <w:bottom w:w="80" w:type="dxa"/>
              <w:end w:w="120" w:type="dxa"/>
            </w:tcMar>
            <w:vAlign w:val="center"/>
            <w:shd w:fill="E8EEF5"/>
          </w:tcPr>
          <w:p>
            <w:pPr>
              <w:spacing w:after="0" w:line="240" w:lineRule="auto"/>
            </w:pPr>
            <w:r>
              <w:rPr>
                <w:rFonts w:ascii="Calibri" w:hAnsi="Calibri"/>
                <w:b/>
                <w:color w:val="0B2545"/>
                <w:sz w:val="17"/>
              </w:rPr>
              <w:t>Niveau</w:t>
            </w:r>
          </w:p>
        </w:tc>
        <w:tc>
          <w:tcPr>
            <w:tcW w:type="dxa" w:w="4720"/>
            <w:tcMar>
              <w:top w:w="80" w:type="dxa"/>
              <w:start w:w="120" w:type="dxa"/>
              <w:bottom w:w="80" w:type="dxa"/>
              <w:end w:w="120" w:type="dxa"/>
            </w:tcMar>
            <w:vAlign w:val="center"/>
            <w:shd w:fill="E8EEF5"/>
          </w:tcPr>
          <w:p>
            <w:pPr>
              <w:spacing w:after="0" w:line="240" w:lineRule="auto"/>
            </w:pPr>
            <w:r>
              <w:rPr>
                <w:rFonts w:ascii="Calibri" w:hAnsi="Calibri"/>
                <w:b/>
                <w:color w:val="0B2545"/>
                <w:sz w:val="17"/>
              </w:rPr>
              <w:t>Question</w:t>
            </w:r>
          </w:p>
        </w:tc>
        <w:tc>
          <w:tcPr>
            <w:tcW w:type="dxa" w:w="3040"/>
            <w:tcMar>
              <w:top w:w="80" w:type="dxa"/>
              <w:start w:w="120" w:type="dxa"/>
              <w:bottom w:w="80" w:type="dxa"/>
              <w:end w:w="120" w:type="dxa"/>
            </w:tcMar>
            <w:vAlign w:val="center"/>
            <w:shd w:fill="E8EEF5"/>
          </w:tcPr>
          <w:p>
            <w:pPr>
              <w:spacing w:after="0" w:line="240" w:lineRule="auto"/>
            </w:pPr>
            <w:r>
              <w:rPr>
                <w:rFonts w:ascii="Calibri" w:hAnsi="Calibri"/>
                <w:b/>
                <w:color w:val="0B2545"/>
                <w:sz w:val="17"/>
              </w:rPr>
              <w:t>Statut β1.1</w:t>
            </w:r>
          </w:p>
        </w:tc>
      </w:tr>
      <w:tr>
        <w:trPr>
          <w:cantSplit/>
        </w:trPr>
        <w:tc>
          <w:tcPr>
            <w:tcW w:type="dxa" w:w="1600"/>
            <w:vAlign w:val="center"/>
          </w:tcPr>
          <w:p>
            <w:pPr>
              <w:spacing w:after="0" w:line="245" w:lineRule="auto"/>
            </w:pPr>
            <w:r>
              <w:rPr>
                <w:rFonts w:ascii="Calibri" w:hAnsi="Calibri"/>
                <w:color w:val="000000"/>
                <w:sz w:val="17"/>
              </w:rPr>
              <w:t>C — construction</w:t>
            </w:r>
          </w:p>
        </w:tc>
        <w:tc>
          <w:tcPr>
            <w:tcW w:type="dxa" w:w="4720"/>
            <w:vAlign w:val="center"/>
          </w:tcPr>
          <w:p>
            <w:pPr>
              <w:spacing w:after="0" w:line="245" w:lineRule="auto"/>
            </w:pPr>
            <w:r>
              <w:rPr>
                <w:rFonts w:ascii="Calibri" w:hAnsi="Calibri"/>
                <w:color w:val="000000"/>
                <w:sz w:val="17"/>
              </w:rPr>
              <w:t>Les objets, domaines, symétries, régulateurs et opérateurs sont-ils définis ?</w:t>
            </w:r>
          </w:p>
        </w:tc>
        <w:tc>
          <w:tcPr>
            <w:tcW w:type="dxa" w:w="3040"/>
            <w:vAlign w:val="center"/>
            <w:shd w:fill="F2F4F7"/>
          </w:tcPr>
          <w:p>
            <w:pPr>
              <w:spacing w:after="0" w:line="245" w:lineRule="auto"/>
            </w:pPr>
            <w:r>
              <w:rPr>
                <w:rFonts w:ascii="Calibri" w:hAnsi="Calibri"/>
                <w:b/>
                <w:color w:val="0B2545"/>
                <w:sz w:val="17"/>
              </w:rPr>
              <w:t>OUI au cutoff</w:t>
            </w:r>
          </w:p>
        </w:tc>
      </w:tr>
      <w:tr>
        <w:trPr>
          <w:cantSplit/>
        </w:trPr>
        <w:tc>
          <w:tcPr>
            <w:tcW w:type="dxa" w:w="1600"/>
            <w:vAlign w:val="center"/>
          </w:tcPr>
          <w:p>
            <w:pPr>
              <w:spacing w:after="0" w:line="245" w:lineRule="auto"/>
            </w:pPr>
            <w:r>
              <w:rPr>
                <w:rFonts w:ascii="Calibri" w:hAnsi="Calibri"/>
                <w:color w:val="000000"/>
                <w:sz w:val="17"/>
              </w:rPr>
              <w:t>T — théorème</w:t>
            </w:r>
          </w:p>
        </w:tc>
        <w:tc>
          <w:tcPr>
            <w:tcW w:type="dxa" w:w="4720"/>
            <w:vAlign w:val="center"/>
          </w:tcPr>
          <w:p>
            <w:pPr>
              <w:spacing w:after="0" w:line="245" w:lineRule="auto"/>
            </w:pPr>
            <w:r>
              <w:rPr>
                <w:rFonts w:ascii="Calibri" w:hAnsi="Calibri"/>
                <w:color w:val="000000"/>
                <w:sz w:val="17"/>
              </w:rPr>
              <w:t>Les propriétés annoncées suivent-elles des hypothèses écrites ?</w:t>
            </w:r>
          </w:p>
        </w:tc>
        <w:tc>
          <w:tcPr>
            <w:tcW w:type="dxa" w:w="3040"/>
            <w:vAlign w:val="center"/>
            <w:shd w:fill="F2F4F7"/>
          </w:tcPr>
          <w:p>
            <w:pPr>
              <w:spacing w:after="0" w:line="245" w:lineRule="auto"/>
            </w:pPr>
            <w:r>
              <w:rPr>
                <w:rFonts w:ascii="Calibri" w:hAnsi="Calibri"/>
                <w:b/>
                <w:color w:val="0B2545"/>
                <w:sz w:val="17"/>
              </w:rPr>
              <w:t>OUI pour les résultats exacts des parties II–III</w:t>
            </w:r>
          </w:p>
        </w:tc>
      </w:tr>
      <w:tr>
        <w:trPr>
          <w:cantSplit/>
        </w:trPr>
        <w:tc>
          <w:tcPr>
            <w:tcW w:type="dxa" w:w="1600"/>
            <w:vAlign w:val="center"/>
          </w:tcPr>
          <w:p>
            <w:pPr>
              <w:spacing w:after="0" w:line="245" w:lineRule="auto"/>
            </w:pPr>
            <w:r>
              <w:rPr>
                <w:rFonts w:ascii="Calibri" w:hAnsi="Calibri"/>
                <w:color w:val="000000"/>
                <w:sz w:val="17"/>
              </w:rPr>
              <w:t>V — validation</w:t>
            </w:r>
          </w:p>
        </w:tc>
        <w:tc>
          <w:tcPr>
            <w:tcW w:type="dxa" w:w="4720"/>
            <w:vAlign w:val="center"/>
          </w:tcPr>
          <w:p>
            <w:pPr>
              <w:spacing w:after="0" w:line="245" w:lineRule="auto"/>
            </w:pPr>
            <w:r>
              <w:rPr>
                <w:rFonts w:ascii="Calibri" w:hAnsi="Calibri"/>
                <w:color w:val="000000"/>
                <w:sz w:val="17"/>
              </w:rPr>
              <w:t>La limite physique existe-t-elle et décrit-elle notre Univers ?</w:t>
            </w:r>
          </w:p>
        </w:tc>
        <w:tc>
          <w:tcPr>
            <w:tcW w:type="dxa" w:w="3040"/>
            <w:vAlign w:val="center"/>
            <w:shd w:fill="F2F4F7"/>
          </w:tcPr>
          <w:p>
            <w:pPr>
              <w:spacing w:after="0" w:line="245" w:lineRule="auto"/>
            </w:pPr>
            <w:r>
              <w:rPr>
                <w:rFonts w:ascii="Calibri" w:hAnsi="Calibri"/>
                <w:b/>
                <w:color w:val="0B2545"/>
                <w:sz w:val="17"/>
              </w:rPr>
              <w:t>NON ÉTABLI — G0–G6 restent à franchir</w:t>
            </w:r>
          </w:p>
        </w:tc>
      </w:tr>
    </w:tbl>
    <w:p>
      <w:pPr>
        <w:keepLines w:val="0"/>
        <w:spacing w:before="0" w:after="120" w:line="264" w:lineRule="auto"/>
        <w:jc w:val="left"/>
      </w:pPr>
      <w:r>
        <w:rPr>
          <w:rFonts w:ascii="Calibri" w:hAnsi="Calibri"/>
          <w:b w:val="0"/>
          <w:i w:val="0"/>
          <w:color w:val="000000"/>
          <w:sz w:val="22"/>
        </w:rPr>
      </w:r>
    </w:p>
    <w:p>
      <w:pPr>
        <w:pStyle w:val="Heading2"/>
        <w:keepNext/>
      </w:pPr>
      <w:r>
        <w:t>Plan d’attaque exécuté en une seule passe</w:t>
      </w:r>
    </w:p>
    <w:p>
      <w:pPr>
        <w:spacing w:after="100" w:line="264" w:lineRule="auto"/>
        <w:ind w:left="547" w:hanging="547"/>
      </w:pPr>
      <w:r>
        <w:rPr>
          <w:rFonts w:ascii="Calibri" w:hAnsi="Calibri"/>
          <w:b/>
          <w:color w:val="2E74B5"/>
          <w:sz w:val="21"/>
        </w:rPr>
        <w:t xml:space="preserve">1  </w:t>
      </w:r>
      <w:r>
        <w:rPr>
          <w:rFonts w:ascii="Calibri" w:hAnsi="Calibri"/>
          <w:b/>
          <w:color w:val="000000"/>
          <w:sz w:val="21"/>
        </w:rPr>
        <w:t xml:space="preserve">Contrat. </w:t>
      </w:r>
      <w:r>
        <w:rPr>
          <w:rFonts w:ascii="Calibri" w:hAnsi="Calibri"/>
          <w:color w:val="000000"/>
          <w:sz w:val="21"/>
        </w:rPr>
        <w:t>Geler G0–G6, les statuts [C]/[T]/[T-C]/[H]/[FAIL]/[EMP] et l’interdiction de promouvoir un résultat interne.</w:t>
      </w:r>
    </w:p>
    <w:p>
      <w:pPr>
        <w:spacing w:after="100" w:line="264" w:lineRule="auto"/>
        <w:ind w:left="547" w:hanging="547"/>
      </w:pPr>
      <w:r>
        <w:rPr>
          <w:rFonts w:ascii="Calibri" w:hAnsi="Calibri"/>
          <w:b/>
          <w:color w:val="2E74B5"/>
          <w:sz w:val="21"/>
        </w:rPr>
        <w:t xml:space="preserve">2  </w:t>
      </w:r>
      <w:r>
        <w:rPr>
          <w:rFonts w:ascii="Calibri" w:hAnsi="Calibri"/>
          <w:b/>
          <w:color w:val="000000"/>
          <w:sz w:val="21"/>
        </w:rPr>
        <w:t xml:space="preserve">Corpus. </w:t>
      </w:r>
      <w:r>
        <w:rPr>
          <w:rFonts w:ascii="Calibri" w:hAnsi="Calibri"/>
          <w:color w:val="000000"/>
          <w:sz w:val="21"/>
        </w:rPr>
        <w:t>Conserver RP-cutoff, TOP-KIN, PAR-RANK, GEN-WELLPOSED, VOL-COVER et NORM-DM3; préserver tous les FAIL RG/localité.</w:t>
      </w:r>
    </w:p>
    <w:p>
      <w:pPr>
        <w:spacing w:after="100" w:line="264" w:lineRule="auto"/>
        <w:ind w:left="547" w:hanging="547"/>
      </w:pPr>
      <w:r>
        <w:rPr>
          <w:rFonts w:ascii="Calibri" w:hAnsi="Calibri"/>
          <w:b/>
          <w:color w:val="2E74B5"/>
          <w:sz w:val="21"/>
        </w:rPr>
        <w:t xml:space="preserve">3  </w:t>
      </w:r>
      <w:r>
        <w:rPr>
          <w:rFonts w:ascii="Calibri" w:hAnsi="Calibri"/>
          <w:b/>
          <w:color w:val="000000"/>
          <w:sz w:val="21"/>
        </w:rPr>
        <w:t xml:space="preserve">Candidat. </w:t>
      </w:r>
      <w:r>
        <w:rPr>
          <w:rFonts w:ascii="Calibri" w:hAnsi="Calibri"/>
          <w:color w:val="000000"/>
          <w:sz w:val="21"/>
        </w:rPr>
        <w:t>Construire une extension unique : BLOB/M2-W complété localement, Hamiltonien générateur-d’abord, module Spin(10) chiral.</w:t>
      </w:r>
    </w:p>
    <w:p>
      <w:pPr>
        <w:spacing w:after="100" w:line="264" w:lineRule="auto"/>
        <w:ind w:left="547" w:hanging="547"/>
      </w:pPr>
      <w:r>
        <w:rPr>
          <w:rFonts w:ascii="Calibri" w:hAnsi="Calibri"/>
          <w:b/>
          <w:color w:val="2E74B5"/>
          <w:sz w:val="21"/>
        </w:rPr>
        <w:t xml:space="preserve">4  </w:t>
      </w:r>
      <w:r>
        <w:rPr>
          <w:rFonts w:ascii="Calibri" w:hAnsi="Calibri"/>
          <w:b/>
          <w:color w:val="000000"/>
          <w:sz w:val="21"/>
        </w:rPr>
        <w:t xml:space="preserve">Mathématiques. </w:t>
      </w:r>
      <w:r>
        <w:rPr>
          <w:rFonts w:ascii="Calibri" w:hAnsi="Calibri"/>
          <w:color w:val="000000"/>
          <w:sz w:val="21"/>
        </w:rPr>
        <w:t>Démontrer positivité, normalisation suffisante, anomalies, hypercharge, no-go saveurs et no-go énergie absolue.</w:t>
      </w:r>
    </w:p>
    <w:p>
      <w:pPr>
        <w:spacing w:after="100" w:line="264" w:lineRule="auto"/>
        <w:ind w:left="547" w:hanging="547"/>
      </w:pPr>
      <w:r>
        <w:rPr>
          <w:rFonts w:ascii="Calibri" w:hAnsi="Calibri"/>
          <w:b/>
          <w:color w:val="2E74B5"/>
          <w:sz w:val="21"/>
        </w:rPr>
        <w:t xml:space="preserve">5  </w:t>
      </w:r>
      <w:r>
        <w:rPr>
          <w:rFonts w:ascii="Calibri" w:hAnsi="Calibri"/>
          <w:b/>
          <w:color w:val="000000"/>
          <w:sz w:val="21"/>
        </w:rPr>
        <w:t xml:space="preserve">Portes. </w:t>
      </w:r>
      <w:r>
        <w:rPr>
          <w:rFonts w:ascii="Calibri" w:hAnsi="Calibri"/>
          <w:color w:val="000000"/>
          <w:sz w:val="21"/>
        </w:rPr>
        <w:t>Traiter simultanément chaque porte avec chaîne de preuve, observable, seuil PASS et veto irréversible.</w:t>
      </w:r>
    </w:p>
    <w:p>
      <w:pPr>
        <w:spacing w:after="100" w:line="264" w:lineRule="auto"/>
        <w:ind w:left="547" w:hanging="547"/>
      </w:pPr>
      <w:r>
        <w:rPr>
          <w:rFonts w:ascii="Calibri" w:hAnsi="Calibri"/>
          <w:b/>
          <w:color w:val="2E74B5"/>
          <w:sz w:val="21"/>
        </w:rPr>
        <w:t xml:space="preserve">6  </w:t>
      </w:r>
      <w:r>
        <w:rPr>
          <w:rFonts w:ascii="Calibri" w:hAnsi="Calibri"/>
          <w:b/>
          <w:color w:val="000000"/>
          <w:sz w:val="21"/>
        </w:rPr>
        <w:t xml:space="preserve">État de l’art. </w:t>
      </w:r>
      <w:r>
        <w:rPr>
          <w:rFonts w:ascii="Calibri" w:hAnsi="Calibri"/>
          <w:color w:val="000000"/>
          <w:sz w:val="21"/>
        </w:rPr>
        <w:t>Tester l’architecture contre CDT, SMF/Rokhsar–Kivelson, Hořava, Ginsparg–Wilson, Spin(10), asymptotic safety et GraviGUT.</w:t>
      </w:r>
    </w:p>
    <w:p>
      <w:pPr>
        <w:spacing w:after="100" w:line="264" w:lineRule="auto"/>
        <w:ind w:left="547" w:hanging="547"/>
      </w:pPr>
      <w:r>
        <w:rPr>
          <w:rFonts w:ascii="Calibri" w:hAnsi="Calibri"/>
          <w:b/>
          <w:color w:val="2E74B5"/>
          <w:sz w:val="21"/>
        </w:rPr>
        <w:t xml:space="preserve">7  </w:t>
      </w:r>
      <w:r>
        <w:rPr>
          <w:rFonts w:ascii="Calibri" w:hAnsi="Calibri"/>
          <w:b/>
          <w:color w:val="000000"/>
          <w:sz w:val="21"/>
        </w:rPr>
        <w:t xml:space="preserve">Transmission. </w:t>
      </w:r>
      <w:r>
        <w:rPr>
          <w:rFonts w:ascii="Calibri" w:hAnsi="Calibri"/>
          <w:color w:val="000000"/>
          <w:sz w:val="21"/>
        </w:rPr>
        <w:t>Transmettre un seul dossier consolidé : spécification, registre exact, campagne Colab et protocole contradictoire externe.</w:t>
      </w:r>
    </w:p>
    <w:p>
      <w:pPr>
        <w:pStyle w:val="Heading2"/>
        <w:keepNext/>
      </w:pPr>
      <w:r>
        <w:t>Dépendance en domino</w:t>
      </w:r>
    </w:p>
    <w:p>
      <w:pPr>
        <w:keepLines/>
        <w:spacing w:before="60" w:after="140" w:line="240" w:lineRule="auto"/>
        <w:jc w:val="center"/>
      </w:pPr>
      <w:r>
        <w:rPr>
          <w:rFonts w:ascii="Cambria Math" w:hAnsi="Cambria Math"/>
          <w:color w:val="0B2545"/>
          <w:sz w:val="22"/>
        </w:rPr>
        <w:t>G0 → G1 → G2;     G0 → G3;     (G2,G3) → G4;     (G1,G3,G4) → G5;     (G0…G5) → G6</w:t>
      </w:r>
    </w:p>
    <w:p>
      <w:pPr>
        <w:keepLines w:val="0"/>
        <w:spacing w:before="0" w:after="120" w:line="264" w:lineRule="auto"/>
        <w:jc w:val="left"/>
      </w:pPr>
      <w:r>
        <w:rPr>
          <w:rFonts w:ascii="Calibri" w:hAnsi="Calibri"/>
          <w:b w:val="0"/>
          <w:i w:val="0"/>
          <w:color w:val="000000"/>
          <w:sz w:val="22"/>
        </w:rPr>
        <w:t>Cette relation est une dépendance de validation, pas une simple table des matières. Une anomalie chirale tue G3, donc G4–G6; l’absence de continuum tue G1, donc toute interprétation de graviton ou de cosmologie.</w:t>
      </w:r>
    </w:p>
    <w:p>
      <w:pPr>
        <w:pStyle w:val="Heading2"/>
        <w:keepNext/>
      </w:pPr>
      <w:r>
        <w:t>Registre de départ préservé</w:t>
      </w:r>
    </w:p>
    <w:tbl>
      <w:tblPr>
        <w:tblStyle w:val="TableGrid"/>
        <w:tblW w:type="dxa" w:w="9360"/>
        <w:tblLayout w:type="fixed"/>
        <w:tblLook w:firstColumn="1" w:firstRow="1" w:lastColumn="0" w:lastRow="0" w:noHBand="0" w:noVBand="1" w:val="04A0"/>
        <w:jc w:val="left"/>
        <w:tblInd w:w="120" w:type="dxa"/>
      </w:tblPr>
      <w:tblGrid>
        <w:gridCol w:w="1840"/>
        <w:gridCol w:w="1800"/>
        <w:gridCol w:w="5720"/>
      </w:tblGrid>
      <w:tr>
        <w:trPr>
          <w:tblHeader w:val="true"/>
          <w:cantSplit/>
          <w:tblHeader w:val="true"/>
        </w:trPr>
        <w:tc>
          <w:tcPr>
            <w:tcW w:type="dxa" w:w="1840"/>
            <w:tcMar>
              <w:top w:w="80" w:type="dxa"/>
              <w:start w:w="120" w:type="dxa"/>
              <w:bottom w:w="80" w:type="dxa"/>
              <w:end w:w="120" w:type="dxa"/>
            </w:tcMar>
            <w:vAlign w:val="center"/>
            <w:shd w:fill="E8EEF5"/>
          </w:tcPr>
          <w:p>
            <w:pPr>
              <w:spacing w:after="0" w:line="240" w:lineRule="auto"/>
            </w:pPr>
            <w:r>
              <w:rPr>
                <w:rFonts w:ascii="Calibri" w:hAnsi="Calibri"/>
                <w:b/>
                <w:color w:val="0B2545"/>
                <w:sz w:val="17"/>
              </w:rPr>
              <w:t>Porte technique</w:t>
            </w:r>
          </w:p>
        </w:tc>
        <w:tc>
          <w:tcPr>
            <w:tcW w:type="dxa" w:w="1800"/>
            <w:tcMar>
              <w:top w:w="80" w:type="dxa"/>
              <w:start w:w="120" w:type="dxa"/>
              <w:bottom w:w="80" w:type="dxa"/>
              <w:end w:w="120" w:type="dxa"/>
            </w:tcMar>
            <w:vAlign w:val="center"/>
            <w:shd w:fill="E8EEF5"/>
          </w:tcPr>
          <w:p>
            <w:pPr>
              <w:spacing w:after="0" w:line="240" w:lineRule="auto"/>
            </w:pPr>
            <w:r>
              <w:rPr>
                <w:rFonts w:ascii="Calibri" w:hAnsi="Calibri"/>
                <w:b/>
                <w:color w:val="0B2545"/>
                <w:sz w:val="17"/>
              </w:rPr>
              <w:t>Verdict conservé</w:t>
            </w:r>
          </w:p>
        </w:tc>
        <w:tc>
          <w:tcPr>
            <w:tcW w:type="dxa" w:w="5720"/>
            <w:tcMar>
              <w:top w:w="80" w:type="dxa"/>
              <w:start w:w="120" w:type="dxa"/>
              <w:bottom w:w="80" w:type="dxa"/>
              <w:end w:w="120" w:type="dxa"/>
            </w:tcMar>
            <w:vAlign w:val="center"/>
            <w:shd w:fill="E8EEF5"/>
          </w:tcPr>
          <w:p>
            <w:pPr>
              <w:spacing w:after="0" w:line="240" w:lineRule="auto"/>
            </w:pPr>
            <w:r>
              <w:rPr>
                <w:rFonts w:ascii="Calibri" w:hAnsi="Calibri"/>
                <w:b/>
                <w:color w:val="0B2545"/>
                <w:sz w:val="17"/>
              </w:rPr>
              <w:t>Portée exacte</w:t>
            </w:r>
          </w:p>
        </w:tc>
      </w:tr>
      <w:tr>
        <w:trPr>
          <w:cantSplit/>
        </w:trPr>
        <w:tc>
          <w:tcPr>
            <w:tcW w:type="dxa" w:w="1840"/>
            <w:vAlign w:val="center"/>
          </w:tcPr>
          <w:p>
            <w:pPr>
              <w:spacing w:after="0" w:line="245" w:lineRule="auto"/>
            </w:pPr>
            <w:r>
              <w:rPr>
                <w:rFonts w:ascii="Calibri" w:hAnsi="Calibri"/>
                <w:color w:val="000000"/>
                <w:sz w:val="17"/>
              </w:rPr>
              <w:t>RP-cutoff</w:t>
            </w:r>
          </w:p>
        </w:tc>
        <w:tc>
          <w:tcPr>
            <w:tcW w:type="dxa" w:w="1800"/>
            <w:vAlign w:val="center"/>
            <w:shd w:fill="E8F3ED"/>
          </w:tcPr>
          <w:p>
            <w:pPr>
              <w:spacing w:after="0" w:line="245" w:lineRule="auto"/>
            </w:pPr>
            <w:r>
              <w:rPr>
                <w:rFonts w:ascii="Calibri" w:hAnsi="Calibri"/>
                <w:b/>
                <w:color w:val="1F5E46"/>
                <w:sz w:val="17"/>
              </w:rPr>
              <w:t>FERMÉE [T]</w:t>
            </w:r>
          </w:p>
        </w:tc>
        <w:tc>
          <w:tcPr>
            <w:tcW w:type="dxa" w:w="5720"/>
            <w:vAlign w:val="center"/>
          </w:tcPr>
          <w:p>
            <w:pPr>
              <w:spacing w:after="0" w:line="245" w:lineRule="auto"/>
            </w:pPr>
            <w:r>
              <w:rPr>
                <w:rFonts w:ascii="Calibri" w:hAnsi="Calibri"/>
                <w:color w:val="000000"/>
                <w:sz w:val="17"/>
              </w:rPr>
              <w:t>Positivité et réflexion sous A0–A7; aucun continuum.</w:t>
            </w:r>
          </w:p>
        </w:tc>
      </w:tr>
      <w:tr>
        <w:trPr>
          <w:cantSplit/>
        </w:trPr>
        <w:tc>
          <w:tcPr>
            <w:tcW w:type="dxa" w:w="1840"/>
            <w:vAlign w:val="center"/>
          </w:tcPr>
          <w:p>
            <w:pPr>
              <w:spacing w:after="0" w:line="245" w:lineRule="auto"/>
            </w:pPr>
            <w:r>
              <w:rPr>
                <w:rFonts w:ascii="Calibri" w:hAnsi="Calibri"/>
                <w:color w:val="000000"/>
                <w:sz w:val="17"/>
              </w:rPr>
              <w:t>TOP-KIN</w:t>
            </w:r>
          </w:p>
        </w:tc>
        <w:tc>
          <w:tcPr>
            <w:tcW w:type="dxa" w:w="1800"/>
            <w:vAlign w:val="center"/>
            <w:shd w:fill="E8F3ED"/>
          </w:tcPr>
          <w:p>
            <w:pPr>
              <w:spacing w:after="0" w:line="245" w:lineRule="auto"/>
            </w:pPr>
            <w:r>
              <w:rPr>
                <w:rFonts w:ascii="Calibri" w:hAnsi="Calibri"/>
                <w:b/>
                <w:color w:val="1F5E46"/>
                <w:sz w:val="17"/>
              </w:rPr>
              <w:t>FERMÉE [T]</w:t>
            </w:r>
          </w:p>
        </w:tc>
        <w:tc>
          <w:tcPr>
            <w:tcW w:type="dxa" w:w="5720"/>
            <w:vAlign w:val="center"/>
          </w:tcPr>
          <w:p>
            <w:pPr>
              <w:spacing w:after="0" w:line="245" w:lineRule="auto"/>
            </w:pPr>
            <w:r>
              <w:rPr>
                <w:rFonts w:ascii="Calibri" w:hAnsi="Calibri"/>
                <w:color w:val="000000"/>
                <w:sz w:val="17"/>
              </w:rPr>
              <w:t>Pachner conserve T³; cible plate seulement asymptotique.</w:t>
            </w:r>
          </w:p>
        </w:tc>
      </w:tr>
      <w:tr>
        <w:trPr>
          <w:cantSplit/>
        </w:trPr>
        <w:tc>
          <w:tcPr>
            <w:tcW w:type="dxa" w:w="1840"/>
            <w:vAlign w:val="center"/>
          </w:tcPr>
          <w:p>
            <w:pPr>
              <w:spacing w:after="0" w:line="245" w:lineRule="auto"/>
            </w:pPr>
            <w:r>
              <w:rPr>
                <w:rFonts w:ascii="Calibri" w:hAnsi="Calibri"/>
                <w:color w:val="000000"/>
                <w:sz w:val="17"/>
              </w:rPr>
              <w:t>PAR-RANK</w:t>
            </w:r>
          </w:p>
        </w:tc>
        <w:tc>
          <w:tcPr>
            <w:tcW w:type="dxa" w:w="1800"/>
            <w:vAlign w:val="center"/>
            <w:shd w:fill="E8F3ED"/>
          </w:tcPr>
          <w:p>
            <w:pPr>
              <w:spacing w:after="0" w:line="245" w:lineRule="auto"/>
            </w:pPr>
            <w:r>
              <w:rPr>
                <w:rFonts w:ascii="Calibri" w:hAnsi="Calibri"/>
                <w:b/>
                <w:color w:val="1F5E46"/>
                <w:sz w:val="17"/>
              </w:rPr>
              <w:t>FERMÉE [T]</w:t>
            </w:r>
          </w:p>
        </w:tc>
        <w:tc>
          <w:tcPr>
            <w:tcW w:type="dxa" w:w="5720"/>
            <w:vAlign w:val="center"/>
          </w:tcPr>
          <w:p>
            <w:pPr>
              <w:spacing w:after="0" w:line="245" w:lineRule="auto"/>
            </w:pPr>
            <w:r>
              <w:rPr>
                <w:rFonts w:ascii="Calibri" w:hAnsi="Calibri"/>
                <w:color w:val="000000"/>
                <w:sz w:val="17"/>
              </w:rPr>
              <w:t>Rang des couplages et veto anti-faux-pic.</w:t>
            </w:r>
          </w:p>
        </w:tc>
      </w:tr>
      <w:tr>
        <w:trPr>
          <w:cantSplit/>
        </w:trPr>
        <w:tc>
          <w:tcPr>
            <w:tcW w:type="dxa" w:w="1840"/>
            <w:vAlign w:val="center"/>
          </w:tcPr>
          <w:p>
            <w:pPr>
              <w:spacing w:after="0" w:line="245" w:lineRule="auto"/>
            </w:pPr>
            <w:r>
              <w:rPr>
                <w:rFonts w:ascii="Calibri" w:hAnsi="Calibri"/>
                <w:color w:val="000000"/>
                <w:sz w:val="17"/>
              </w:rPr>
              <w:t>RG-1CELL</w:t>
            </w:r>
          </w:p>
        </w:tc>
        <w:tc>
          <w:tcPr>
            <w:tcW w:type="dxa" w:w="1800"/>
            <w:vAlign w:val="center"/>
            <w:shd w:fill="FDECEC"/>
          </w:tcPr>
          <w:p>
            <w:pPr>
              <w:spacing w:after="0" w:line="245" w:lineRule="auto"/>
            </w:pPr>
            <w:r>
              <w:rPr>
                <w:rFonts w:ascii="Calibri" w:hAnsi="Calibri"/>
                <w:b/>
                <w:color w:val="9B1C1C"/>
                <w:sz w:val="17"/>
              </w:rPr>
              <w:t>FERMÉE [FAIL]</w:t>
            </w:r>
          </w:p>
        </w:tc>
        <w:tc>
          <w:tcPr>
            <w:tcW w:type="dxa" w:w="5720"/>
            <w:vAlign w:val="center"/>
          </w:tcPr>
          <w:p>
            <w:pPr>
              <w:spacing w:after="0" w:line="245" w:lineRule="auto"/>
            </w:pPr>
            <w:r>
              <w:rPr>
                <w:rFonts w:ascii="Calibri" w:hAnsi="Calibri"/>
                <w:color w:val="000000"/>
                <w:sz w:val="17"/>
              </w:rPr>
              <w:t>Une action edge-only n’est pas fermée sous blocage.</w:t>
            </w:r>
          </w:p>
        </w:tc>
      </w:tr>
      <w:tr>
        <w:trPr>
          <w:cantSplit/>
        </w:trPr>
        <w:tc>
          <w:tcPr>
            <w:tcW w:type="dxa" w:w="1840"/>
            <w:vAlign w:val="center"/>
          </w:tcPr>
          <w:p>
            <w:pPr>
              <w:spacing w:after="0" w:line="245" w:lineRule="auto"/>
            </w:pPr>
            <w:r>
              <w:rPr>
                <w:rFonts w:ascii="Calibri" w:hAnsi="Calibri"/>
                <w:color w:val="000000"/>
                <w:sz w:val="17"/>
              </w:rPr>
              <w:t>RG-RAY</w:t>
            </w:r>
          </w:p>
        </w:tc>
        <w:tc>
          <w:tcPr>
            <w:tcW w:type="dxa" w:w="1800"/>
            <w:vAlign w:val="center"/>
            <w:shd w:fill="FDECEC"/>
          </w:tcPr>
          <w:p>
            <w:pPr>
              <w:spacing w:after="0" w:line="245" w:lineRule="auto"/>
            </w:pPr>
            <w:r>
              <w:rPr>
                <w:rFonts w:ascii="Calibri" w:hAnsi="Calibri"/>
                <w:b/>
                <w:color w:val="9B1C1C"/>
                <w:sz w:val="17"/>
              </w:rPr>
              <w:t>FERMÉE [FAIL]</w:t>
            </w:r>
          </w:p>
        </w:tc>
        <w:tc>
          <w:tcPr>
            <w:tcW w:type="dxa" w:w="5720"/>
            <w:vAlign w:val="center"/>
          </w:tcPr>
          <w:p>
            <w:pPr>
              <w:spacing w:after="0" w:line="245" w:lineRule="auto"/>
            </w:pPr>
            <w:r>
              <w:rPr>
                <w:rFonts w:ascii="Calibri" w:hAnsi="Calibri"/>
                <w:color w:val="000000"/>
                <w:sz w:val="17"/>
              </w:rPr>
              <w:t>Le rayon Δ/X₅₆ n’est pas invariant.</w:t>
            </w:r>
          </w:p>
        </w:tc>
      </w:tr>
      <w:tr>
        <w:trPr>
          <w:cantSplit/>
        </w:trPr>
        <w:tc>
          <w:tcPr>
            <w:tcW w:type="dxa" w:w="1840"/>
            <w:vAlign w:val="center"/>
          </w:tcPr>
          <w:p>
            <w:pPr>
              <w:spacing w:after="0" w:line="245" w:lineRule="auto"/>
            </w:pPr>
            <w:r>
              <w:rPr>
                <w:rFonts w:ascii="Calibri" w:hAnsi="Calibri"/>
                <w:color w:val="000000"/>
                <w:sz w:val="17"/>
              </w:rPr>
              <w:t>H-LOCAL depuis B</w:t>
            </w:r>
          </w:p>
        </w:tc>
        <w:tc>
          <w:tcPr>
            <w:tcW w:type="dxa" w:w="1800"/>
            <w:vAlign w:val="center"/>
            <w:shd w:fill="FDECEC"/>
          </w:tcPr>
          <w:p>
            <w:pPr>
              <w:spacing w:after="0" w:line="245" w:lineRule="auto"/>
            </w:pPr>
            <w:r>
              <w:rPr>
                <w:rFonts w:ascii="Calibri" w:hAnsi="Calibri"/>
                <w:b/>
                <w:color w:val="9B1C1C"/>
                <w:sz w:val="17"/>
              </w:rPr>
              <w:t>FERMÉE [FAIL]</w:t>
            </w:r>
          </w:p>
        </w:tc>
        <w:tc>
          <w:tcPr>
            <w:tcW w:type="dxa" w:w="5720"/>
            <w:vAlign w:val="center"/>
          </w:tcPr>
          <w:p>
            <w:pPr>
              <w:spacing w:after="0" w:line="245" w:lineRule="auto"/>
            </w:pPr>
            <w:r>
              <w:rPr>
                <w:rFonts w:ascii="Calibri" w:hAnsi="Calibri"/>
                <w:color w:val="000000"/>
                <w:sz w:val="17"/>
              </w:rPr>
              <w:t>B local n’implique pas −log(B†B) local.</w:t>
            </w:r>
          </w:p>
        </w:tc>
      </w:tr>
      <w:tr>
        <w:trPr>
          <w:cantSplit/>
        </w:trPr>
        <w:tc>
          <w:tcPr>
            <w:tcW w:type="dxa" w:w="1840"/>
            <w:vAlign w:val="center"/>
          </w:tcPr>
          <w:p>
            <w:pPr>
              <w:spacing w:after="0" w:line="245" w:lineRule="auto"/>
            </w:pPr>
            <w:r>
              <w:rPr>
                <w:rFonts w:ascii="Calibri" w:hAnsi="Calibri"/>
                <w:color w:val="000000"/>
                <w:sz w:val="17"/>
              </w:rPr>
              <w:t>GEN-WELLPOSED</w:t>
            </w:r>
          </w:p>
        </w:tc>
        <w:tc>
          <w:tcPr>
            <w:tcW w:type="dxa" w:w="1800"/>
            <w:vAlign w:val="center"/>
            <w:shd w:fill="E8F3ED"/>
          </w:tcPr>
          <w:p>
            <w:pPr>
              <w:spacing w:after="0" w:line="245" w:lineRule="auto"/>
            </w:pPr>
            <w:r>
              <w:rPr>
                <w:rFonts w:ascii="Calibri" w:hAnsi="Calibri"/>
                <w:b/>
                <w:color w:val="1F5E46"/>
                <w:sz w:val="17"/>
              </w:rPr>
              <w:t>FERMÉE [T-C]</w:t>
            </w:r>
          </w:p>
        </w:tc>
        <w:tc>
          <w:tcPr>
            <w:tcW w:type="dxa" w:w="5720"/>
            <w:vAlign w:val="center"/>
          </w:tcPr>
          <w:p>
            <w:pPr>
              <w:spacing w:after="0" w:line="245" w:lineRule="auto"/>
            </w:pPr>
            <w:r>
              <w:rPr>
                <w:rFonts w:ascii="Calibri" w:hAnsi="Calibri"/>
                <w:color w:val="000000"/>
                <w:sz w:val="17"/>
              </w:rPr>
              <w:t>Sous taux bornés et normalisabilité.</w:t>
            </w:r>
          </w:p>
        </w:tc>
      </w:tr>
      <w:tr>
        <w:trPr>
          <w:cantSplit/>
        </w:trPr>
        <w:tc>
          <w:tcPr>
            <w:tcW w:type="dxa" w:w="1840"/>
            <w:vAlign w:val="center"/>
          </w:tcPr>
          <w:p>
            <w:pPr>
              <w:spacing w:after="0" w:line="245" w:lineRule="auto"/>
            </w:pPr>
            <w:r>
              <w:rPr>
                <w:rFonts w:ascii="Calibri" w:hAnsi="Calibri"/>
                <w:color w:val="000000"/>
                <w:sz w:val="17"/>
              </w:rPr>
              <w:t>VOL-COVER</w:t>
            </w:r>
          </w:p>
        </w:tc>
        <w:tc>
          <w:tcPr>
            <w:tcW w:type="dxa" w:w="1800"/>
            <w:vAlign w:val="center"/>
            <w:shd w:fill="E8F3ED"/>
          </w:tcPr>
          <w:p>
            <w:pPr>
              <w:spacing w:after="0" w:line="245" w:lineRule="auto"/>
            </w:pPr>
            <w:r>
              <w:rPr>
                <w:rFonts w:ascii="Calibri" w:hAnsi="Calibri"/>
                <w:b/>
                <w:color w:val="1F5E46"/>
                <w:sz w:val="17"/>
              </w:rPr>
              <w:t>FERMÉE [T]</w:t>
            </w:r>
          </w:p>
        </w:tc>
        <w:tc>
          <w:tcPr>
            <w:tcW w:type="dxa" w:w="5720"/>
            <w:vAlign w:val="center"/>
          </w:tcPr>
          <w:p>
            <w:pPr>
              <w:spacing w:after="0" w:line="245" w:lineRule="auto"/>
            </w:pPr>
            <w:r>
              <w:rPr>
                <w:rFonts w:ascii="Calibri" w:hAnsi="Calibri"/>
                <w:color w:val="000000"/>
                <w:sz w:val="17"/>
              </w:rPr>
              <w:t>Sampler auxiliaire sans cutoff dur; pas la mesure physique.</w:t>
            </w:r>
          </w:p>
        </w:tc>
      </w:tr>
      <w:tr>
        <w:trPr>
          <w:cantSplit/>
        </w:trPr>
        <w:tc>
          <w:tcPr>
            <w:tcW w:type="dxa" w:w="1840"/>
            <w:vAlign w:val="center"/>
          </w:tcPr>
          <w:p>
            <w:pPr>
              <w:spacing w:after="0" w:line="245" w:lineRule="auto"/>
            </w:pPr>
            <w:r>
              <w:rPr>
                <w:rFonts w:ascii="Calibri" w:hAnsi="Calibri"/>
                <w:color w:val="000000"/>
                <w:sz w:val="17"/>
              </w:rPr>
              <w:t>NORM-DM3</w:t>
            </w:r>
          </w:p>
        </w:tc>
        <w:tc>
          <w:tcPr>
            <w:tcW w:type="dxa" w:w="1800"/>
            <w:vAlign w:val="center"/>
            <w:shd w:fill="E8F3ED"/>
          </w:tcPr>
          <w:p>
            <w:pPr>
              <w:spacing w:after="0" w:line="245" w:lineRule="auto"/>
            </w:pPr>
            <w:r>
              <w:rPr>
                <w:rFonts w:ascii="Calibri" w:hAnsi="Calibri"/>
                <w:b/>
                <w:color w:val="1F5E46"/>
                <w:sz w:val="17"/>
              </w:rPr>
              <w:t>FERMÉE [T]</w:t>
            </w:r>
          </w:p>
        </w:tc>
        <w:tc>
          <w:tcPr>
            <w:tcW w:type="dxa" w:w="5720"/>
            <w:vAlign w:val="center"/>
          </w:tcPr>
          <w:p>
            <w:pPr>
              <w:spacing w:after="0" w:line="245" w:lineRule="auto"/>
            </w:pPr>
            <w:r>
              <w:rPr>
                <w:rFonts w:ascii="Calibri" w:hAnsi="Calibri"/>
                <w:color w:val="000000"/>
                <w:sz w:val="17"/>
              </w:rPr>
              <w:t>Normalisation suffisante sur branche T³ DM3/Morse-tame.</w:t>
            </w:r>
          </w:p>
        </w:tc>
      </w:tr>
    </w:tbl>
    <w:p>
      <w:pPr>
        <w:keepLines w:val="0"/>
        <w:spacing w:before="0" w:after="120" w:line="264" w:lineRule="auto"/>
        <w:jc w:val="left"/>
      </w:pPr>
      <w:r>
        <w:rPr>
          <w:rFonts w:ascii="Calibri" w:hAnsi="Calibri"/>
          <w:b w:val="0"/>
          <w:i w:val="0"/>
          <w:color w:val="000000"/>
          <w:sz w:val="22"/>
        </w:rPr>
      </w:r>
    </w:p>
    <w:p>
      <w:pPr>
        <w:pStyle w:val="Heading1"/>
        <w:keepNext/>
      </w:pPr>
      <w:r>
        <w:t>PARTIE I — Définition canonique de BLOB–TOE β1.1</w:t>
      </w:r>
    </w:p>
    <w:p>
      <w:pPr>
        <w:pStyle w:val="Heading2"/>
        <w:keepNext/>
      </w:pPr>
      <w:r>
        <w:t>1. Régulateurs et espace géométrique</w:t>
      </w:r>
    </w:p>
    <w:p>
      <w:pPr>
        <w:keepLines w:val="0"/>
        <w:spacing w:before="0" w:after="120" w:line="264" w:lineRule="auto"/>
        <w:jc w:val="left"/>
      </w:pPr>
      <w:r>
        <w:rPr>
          <w:rFonts w:ascii="Calibri" w:hAnsi="Calibri"/>
          <w:b w:val="0"/>
          <w:i w:val="0"/>
          <w:color w:val="000000"/>
          <w:sz w:val="22"/>
        </w:rPr>
        <w:t>Un cutoff est le sextuple Λ=(N_max,n_max,R,J_max,K_Φ,a_t). N_max borne le nombre de tétraèdres; n_max borne temporairement les coordinations; R borne les voisinages tabulés; J_max tronque les représentations de jauge; K_Φ tronque la base scalaire; a_t est le pas de temps. Aucun de ces régulateurs n’est un paramètre physique : une limite jointe doit être démontrée.</w:t>
      </w:r>
    </w:p>
    <w:p>
      <w:pPr>
        <w:keepLines/>
        <w:spacing w:before="60" w:after="140" w:line="240" w:lineRule="auto"/>
        <w:jc w:val="center"/>
      </w:pPr>
      <w:r>
        <w:rPr>
          <w:rFonts w:ascii="Cambria Math" w:hAnsi="Cambria Math"/>
          <w:color w:val="0B2545"/>
          <w:sz w:val="22"/>
        </w:rPr>
        <w:t>Ω_Λ = {x=(Σ,M,s) : Σ ≅PL T³, N₃(Σ)≤N_max, n_e≤n_max, M Morse-tame, s∈Spin(Σ)}/≅.     (1)</w:t>
      </w:r>
    </w:p>
    <w:p>
      <w:pPr>
        <w:pStyle w:val="ListBullet"/>
        <w:spacing w:after="80" w:line="264" w:lineRule="auto"/>
        <w:ind w:left="720" w:hanging="360"/>
      </w:pPr>
      <w:r>
        <w:rPr>
          <w:rFonts w:ascii="Calibri" w:hAnsi="Calibri"/>
          <w:color w:val="000000"/>
          <w:sz w:val="22"/>
        </w:rPr>
        <w:t>Σ est une triangulation finie, fermée, orientée et combinatoire; M est un certificat de Morse discrète, non une nouvelle particule.</w:t>
      </w:r>
    </w:p>
    <w:p>
      <w:pPr>
        <w:pStyle w:val="ListBullet"/>
        <w:spacing w:after="80" w:line="264" w:lineRule="auto"/>
        <w:ind w:left="720" w:hanging="360"/>
      </w:pPr>
      <w:r>
        <w:rPr>
          <w:rFonts w:ascii="Calibri" w:hAnsi="Calibri"/>
          <w:color w:val="000000"/>
          <w:sz w:val="22"/>
        </w:rPr>
        <w:t>T³ possède huit structures de spin. β1.1 garde leur somme directe; le choix d’une condition aux limites devient un secteur, pas une constante cachée.</w:t>
      </w:r>
    </w:p>
    <w:p>
      <w:pPr>
        <w:pStyle w:val="ListBullet"/>
        <w:spacing w:after="80" w:line="264" w:lineRule="auto"/>
        <w:ind w:left="720" w:hanging="360"/>
      </w:pPr>
      <w:r>
        <w:rPr>
          <w:rFonts w:ascii="Calibri" w:hAnsi="Calibri"/>
          <w:color w:val="000000"/>
          <w:sz w:val="22"/>
        </w:rPr>
        <w:t>La branche stricte DM3 porte le vecteur (1,3,3,1); la branche Morse-tame autorise c₂≤cN/log(N+1).</w:t>
      </w:r>
    </w:p>
    <w:p>
      <w:pPr>
        <w:pStyle w:val="Heading2"/>
        <w:keepNext/>
      </w:pPr>
      <w:r>
        <w:t>2. Le noyau BLOB devient un point d’une théorie locale complète</w:t>
      </w:r>
    </w:p>
    <w:p>
      <w:pPr>
        <w:keepLines/>
        <w:spacing w:before="60" w:after="140" w:line="240" w:lineRule="auto"/>
        <w:jc w:val="center"/>
      </w:pPr>
      <w:r>
        <w:rPr>
          <w:rFonts w:ascii="Cambria Math" w:hAnsi="Cambria Math"/>
          <w:color w:val="0B2545"/>
          <w:sz w:val="22"/>
        </w:rPr>
        <w:t>θ=arccos(1/3),     d★=2π/θ,     δ_e=θ(d★−n_e).                    (2)</w:t>
      </w:r>
    </w:p>
    <w:p>
      <w:pPr>
        <w:keepLines/>
        <w:spacing w:before="60" w:after="140" w:line="240" w:lineRule="auto"/>
        <w:jc w:val="center"/>
      </w:pPr>
      <w:r>
        <w:rPr>
          <w:rFonts w:ascii="Cambria Math" w:hAnsi="Cambria Math"/>
          <w:color w:val="0B2545"/>
          <w:sz w:val="22"/>
        </w:rPr>
        <w:t>S_BLOB(Σ)=μN₃−αΣ_e log(1+n_e)+bΣ_e(n_e−d★)².                                  (3)</w:t>
      </w:r>
    </w:p>
    <w:p>
      <w:pPr>
        <w:keepLines w:val="0"/>
        <w:spacing w:before="0" w:after="120" w:line="264" w:lineRule="auto"/>
        <w:jc w:val="left"/>
      </w:pPr>
      <w:r>
        <w:rPr>
          <w:rFonts w:ascii="Calibri" w:hAnsi="Calibri"/>
          <w:b w:val="0"/>
          <w:i w:val="0"/>
          <w:color w:val="000000"/>
          <w:sz w:val="22"/>
        </w:rPr>
        <w:t>L’opérateur quadratique est exactement θ⁻²Σδ_e² sur la tranche. Il n’est ni l’ancien CV des sommets, ni une preuve de convergence vers ∫√gR², ni un invariant 4D. Les FAIL RG imposent de ne plus l’utiliser seul.</w:t>
      </w:r>
    </w:p>
    <w:p>
      <w:pPr>
        <w:keepLines/>
        <w:spacing w:before="60" w:after="140" w:line="240" w:lineRule="auto"/>
        <w:jc w:val="center"/>
      </w:pPr>
      <w:r>
        <w:rPr>
          <w:rFonts w:ascii="Cambria Math" w:hAnsi="Cambria Math"/>
          <w:color w:val="0B2545"/>
          <w:sz w:val="22"/>
        </w:rPr>
        <w:t>S_geo(Σ)=S_BLOB(Σ)+Σ_{Γ∈N_fin} g_Γ N_Γ(Σ),     Σ_Γ |g_Γ|e^{ρ diam Γ}&lt;∞.       (4)</w:t>
      </w:r>
    </w:p>
    <w:p>
      <w:pPr>
        <w:keepLines w:val="0"/>
        <w:spacing w:before="0" w:after="120" w:line="264" w:lineRule="auto"/>
        <w:jc w:val="left"/>
      </w:pPr>
      <w:r>
        <w:rPr>
          <w:rFonts w:ascii="Calibri" w:hAnsi="Calibri"/>
          <w:b w:val="0"/>
          <w:i w:val="0"/>
          <w:color w:val="000000"/>
          <w:sz w:val="22"/>
        </w:rPr>
        <w:t>N_fin est l’ensemble dénombrable des voisinages enracinés finis décorés et N_Γ leur nombre d’occurrences. Cette complétion contient toute fonction cylindrique locale. Elle répare RG-1CELL et RG-RAY comme espace de théorie; elle ne prouve pas que le flot critique reste dans une boule de la norme pondérée.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Changement de statut du principe Blob. </w:t>
            </w:r>
            <w:r>
              <w:rPr>
                <w:rFonts w:ascii="Calibri" w:hAnsi="Calibri"/>
                <w:color w:val="0B2545"/>
                <w:sz w:val="22"/>
              </w:rPr>
              <w:t>La viabilité n’est plus déclarée action ultime. Elle est le germe microscopique g_BLOB dans un espace Wilsonien complet. Sa valeur scientifique devient la sélection éventuelle d’un bassin d’attraction, à tester plutôt qu’à supposer.</w:t>
            </w:r>
          </w:p>
        </w:tc>
      </w:tr>
    </w:tbl>
    <w:p>
      <w:pPr>
        <w:keepLines w:val="0"/>
        <w:spacing w:before="0" w:after="40" w:line="264" w:lineRule="auto"/>
        <w:jc w:val="left"/>
      </w:pPr>
      <w:r>
        <w:rPr>
          <w:rFonts w:ascii="Calibri" w:hAnsi="Calibri"/>
          <w:b w:val="0"/>
          <w:i w:val="0"/>
          <w:color w:val="000000"/>
          <w:sz w:val="22"/>
        </w:rPr>
      </w:r>
    </w:p>
    <w:p>
      <w:pPr>
        <w:pStyle w:val="Heading2"/>
        <w:keepNext/>
      </w:pPr>
      <w:r>
        <w:t>3. Mesure géométrique et quotient</w:t>
      </w:r>
    </w:p>
    <w:p>
      <w:pPr>
        <w:keepLines/>
        <w:spacing w:before="60" w:after="140" w:line="240" w:lineRule="auto"/>
        <w:jc w:val="center"/>
      </w:pPr>
      <w:r>
        <w:rPr>
          <w:rFonts w:ascii="Cambria Math" w:hAnsi="Cambria Math"/>
          <w:color w:val="0B2545"/>
          <w:sz w:val="22"/>
        </w:rPr>
        <w:t>π_Λ(x)=Z_Λ⁻¹ |Aut(x)|⁻¹ exp[−S_geo(x)/τ],     π_Λ(x)&gt;0.                        (5)</w:t>
      </w:r>
    </w:p>
    <w:p>
      <w:pPr>
        <w:keepLines w:val="0"/>
        <w:spacing w:before="0" w:after="120" w:line="264" w:lineRule="auto"/>
        <w:jc w:val="left"/>
      </w:pPr>
      <w:r>
        <w:rPr>
          <w:rFonts w:ascii="Calibri" w:hAnsi="Calibri"/>
          <w:b w:val="0"/>
          <w:i w:val="0"/>
          <w:color w:val="000000"/>
          <w:sz w:val="22"/>
        </w:rPr>
        <w:t>Aut(x) préserve triangulation, certificat et structure de spin. Le facteur de groupoïde empêche les copies étiquetées de modifier l’entropie. À cutoff fini, Z_Λ est fini. Après retrait de N_max, la branche DM3 est normalisable sous le seuil suffisant de la partie II.</w:t>
      </w:r>
    </w:p>
    <w:p>
      <w:pPr>
        <w:pStyle w:val="Heading2"/>
        <w:keepNext/>
      </w:pPr>
      <w:r>
        <w:t>4. Fibres de jauge et de matière</w:t>
      </w:r>
    </w:p>
    <w:p>
      <w:pPr>
        <w:keepLines/>
        <w:spacing w:before="60" w:after="140" w:line="240" w:lineRule="auto"/>
        <w:jc w:val="center"/>
      </w:pPr>
      <w:r>
        <w:rPr>
          <w:rFonts w:ascii="Cambria Math" w:hAnsi="Cambria Math"/>
          <w:color w:val="0B2545"/>
          <w:sz w:val="22"/>
        </w:rPr>
        <w:t>H_Λ = [ ⊕_{x∈Ω_Λ} H_x ]^{G_x⋊Aut(x)},     G_x=Spin(10)^{N₀(x)}.                (6)</w:t>
      </w:r>
    </w:p>
    <w:p>
      <w:pPr>
        <w:keepLines w:val="0"/>
        <w:spacing w:before="0" w:after="120" w:line="264" w:lineRule="auto"/>
        <w:jc w:val="left"/>
      </w:pPr>
      <w:r>
        <w:rPr>
          <w:rFonts w:ascii="Calibri" w:hAnsi="Calibri"/>
          <w:b w:val="0"/>
          <w:i w:val="0"/>
          <w:color w:val="000000"/>
          <w:sz w:val="22"/>
        </w:rPr>
        <w:t>H_x porte les liens Spin(10), les scalaires et les fermions. Au cutoff numérique, chaque lien utilise une base de Peter–Weyl tronquée à J_max; chaque sommet scalaire une base K_Φ; les fermions forment une algèbre CAR finie. La projection de Gauss donne le sous-espace invariant.</w:t>
      </w:r>
    </w:p>
    <w:tbl>
      <w:tblPr>
        <w:tblStyle w:val="TableGrid"/>
        <w:tblW w:type="dxa" w:w="9360"/>
        <w:tblLayout w:type="fixed"/>
        <w:tblLook w:firstColumn="1" w:firstRow="1" w:lastColumn="0" w:lastRow="0" w:noHBand="0" w:noVBand="1" w:val="04A0"/>
        <w:jc w:val="left"/>
        <w:tblInd w:w="120" w:type="dxa"/>
      </w:tblPr>
      <w:tblGrid>
        <w:gridCol w:w="1500"/>
        <w:gridCol w:w="4560"/>
        <w:gridCol w:w="3300"/>
      </w:tblGrid>
      <w:tr>
        <w:trPr>
          <w:tblHeader w:val="true"/>
          <w:cantSplit/>
          <w:tblHeader w:val="true"/>
        </w:trPr>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0B2545"/>
                <w:sz w:val="17"/>
              </w:rPr>
              <w:t>Secteur</w:t>
            </w:r>
          </w:p>
        </w:tc>
        <w:tc>
          <w:tcPr>
            <w:tcW w:type="dxa" w:w="4560"/>
            <w:tcMar>
              <w:top w:w="80" w:type="dxa"/>
              <w:start w:w="120" w:type="dxa"/>
              <w:bottom w:w="80" w:type="dxa"/>
              <w:end w:w="120" w:type="dxa"/>
            </w:tcMar>
            <w:vAlign w:val="center"/>
            <w:shd w:fill="E8EEF5"/>
          </w:tcPr>
          <w:p>
            <w:pPr>
              <w:spacing w:after="0" w:line="240" w:lineRule="auto"/>
            </w:pPr>
            <w:r>
              <w:rPr>
                <w:rFonts w:ascii="Calibri" w:hAnsi="Calibri"/>
                <w:b/>
                <w:color w:val="0B2545"/>
                <w:sz w:val="17"/>
              </w:rPr>
              <w:t>Contenu β1.1</w:t>
            </w:r>
          </w:p>
        </w:tc>
        <w:tc>
          <w:tcPr>
            <w:tcW w:type="dxa" w:w="3300"/>
            <w:tcMar>
              <w:top w:w="80" w:type="dxa"/>
              <w:start w:w="120" w:type="dxa"/>
              <w:bottom w:w="80" w:type="dxa"/>
              <w:end w:w="120" w:type="dxa"/>
            </w:tcMar>
            <w:vAlign w:val="center"/>
            <w:shd w:fill="E8EEF5"/>
          </w:tcPr>
          <w:p>
            <w:pPr>
              <w:spacing w:after="0" w:line="240" w:lineRule="auto"/>
            </w:pPr>
            <w:r>
              <w:rPr>
                <w:rFonts w:ascii="Calibri" w:hAnsi="Calibri"/>
                <w:b/>
                <w:color w:val="0B2545"/>
                <w:sz w:val="17"/>
              </w:rPr>
              <w:t>Choix encore importé</w:t>
            </w:r>
          </w:p>
        </w:tc>
      </w:tr>
      <w:tr>
        <w:trPr>
          <w:cantSplit/>
        </w:trPr>
        <w:tc>
          <w:tcPr>
            <w:tcW w:type="dxa" w:w="1500"/>
            <w:vAlign w:val="center"/>
          </w:tcPr>
          <w:p>
            <w:pPr>
              <w:spacing w:after="0" w:line="245" w:lineRule="auto"/>
            </w:pPr>
            <w:r>
              <w:rPr>
                <w:rFonts w:ascii="Calibri" w:hAnsi="Calibri"/>
                <w:color w:val="000000"/>
                <w:sz w:val="17"/>
              </w:rPr>
              <w:t>Jauge</w:t>
            </w:r>
          </w:p>
        </w:tc>
        <w:tc>
          <w:tcPr>
            <w:tcW w:type="dxa" w:w="4560"/>
            <w:vAlign w:val="center"/>
          </w:tcPr>
          <w:p>
            <w:pPr>
              <w:spacing w:after="0" w:line="245" w:lineRule="auto"/>
            </w:pPr>
            <w:r>
              <w:rPr>
                <w:rFonts w:ascii="Calibri" w:hAnsi="Calibri"/>
                <w:color w:val="000000"/>
                <w:sz w:val="17"/>
              </w:rPr>
              <w:t>Variables de lien U_e∈Spin(10), électrique + holonomies.</w:t>
            </w:r>
          </w:p>
        </w:tc>
        <w:tc>
          <w:tcPr>
            <w:tcW w:type="dxa" w:w="3300"/>
            <w:vAlign w:val="center"/>
          </w:tcPr>
          <w:p>
            <w:pPr>
              <w:spacing w:after="0" w:line="245" w:lineRule="auto"/>
            </w:pPr>
            <w:r>
              <w:rPr>
                <w:rFonts w:ascii="Calibri" w:hAnsi="Calibri"/>
                <w:color w:val="000000"/>
                <w:sz w:val="17"/>
              </w:rPr>
              <w:t>Groupe Spin(10).</w:t>
            </w:r>
          </w:p>
        </w:tc>
      </w:tr>
      <w:tr>
        <w:trPr>
          <w:cantSplit/>
        </w:trPr>
        <w:tc>
          <w:tcPr>
            <w:tcW w:type="dxa" w:w="1500"/>
            <w:vAlign w:val="center"/>
          </w:tcPr>
          <w:p>
            <w:pPr>
              <w:spacing w:after="0" w:line="245" w:lineRule="auto"/>
            </w:pPr>
            <w:r>
              <w:rPr>
                <w:rFonts w:ascii="Calibri" w:hAnsi="Calibri"/>
                <w:color w:val="000000"/>
                <w:sz w:val="17"/>
              </w:rPr>
              <w:t>Fermions</w:t>
            </w:r>
          </w:p>
        </w:tc>
        <w:tc>
          <w:tcPr>
            <w:tcW w:type="dxa" w:w="4560"/>
            <w:vAlign w:val="center"/>
          </w:tcPr>
          <w:p>
            <w:pPr>
              <w:spacing w:after="0" w:line="245" w:lineRule="auto"/>
            </w:pPr>
            <w:r>
              <w:rPr>
                <w:rFonts w:ascii="Calibri" w:hAnsi="Calibri"/>
                <w:color w:val="000000"/>
                <w:sz w:val="17"/>
              </w:rPr>
              <w:t>3×16 Weyl gauches, neutrino droit inclus.</w:t>
            </w:r>
          </w:p>
        </w:tc>
        <w:tc>
          <w:tcPr>
            <w:tcW w:type="dxa" w:w="3300"/>
            <w:vAlign w:val="center"/>
          </w:tcPr>
          <w:p>
            <w:pPr>
              <w:spacing w:after="0" w:line="245" w:lineRule="auto"/>
            </w:pPr>
            <w:r>
              <w:rPr>
                <w:rFonts w:ascii="Calibri" w:hAnsi="Calibri"/>
                <w:color w:val="000000"/>
                <w:sz w:val="17"/>
              </w:rPr>
              <w:t>Multiplicité trois.</w:t>
            </w:r>
          </w:p>
        </w:tc>
      </w:tr>
      <w:tr>
        <w:trPr>
          <w:cantSplit/>
        </w:trPr>
        <w:tc>
          <w:tcPr>
            <w:tcW w:type="dxa" w:w="1500"/>
            <w:vAlign w:val="center"/>
          </w:tcPr>
          <w:p>
            <w:pPr>
              <w:spacing w:after="0" w:line="245" w:lineRule="auto"/>
            </w:pPr>
            <w:r>
              <w:rPr>
                <w:rFonts w:ascii="Calibri" w:hAnsi="Calibri"/>
                <w:color w:val="000000"/>
                <w:sz w:val="17"/>
              </w:rPr>
              <w:t>Higgs</w:t>
            </w:r>
          </w:p>
        </w:tc>
        <w:tc>
          <w:tcPr>
            <w:tcW w:type="dxa" w:w="4560"/>
            <w:vAlign w:val="center"/>
          </w:tcPr>
          <w:p>
            <w:pPr>
              <w:spacing w:after="0" w:line="245" w:lineRule="auto"/>
            </w:pPr>
            <w:r>
              <w:rPr>
                <w:rFonts w:ascii="Calibri" w:hAnsi="Calibri"/>
                <w:color w:val="000000"/>
                <w:sz w:val="17"/>
              </w:rPr>
              <w:t>54_H⊕126*_H⊕10_H; 126* désigne la représentation complexe conjuguée.</w:t>
            </w:r>
          </w:p>
        </w:tc>
        <w:tc>
          <w:tcPr>
            <w:tcW w:type="dxa" w:w="3300"/>
            <w:vAlign w:val="center"/>
          </w:tcPr>
          <w:p>
            <w:pPr>
              <w:spacing w:after="0" w:line="245" w:lineRule="auto"/>
            </w:pPr>
            <w:r>
              <w:rPr>
                <w:rFonts w:ascii="Calibri" w:hAnsi="Calibri"/>
                <w:color w:val="000000"/>
                <w:sz w:val="17"/>
              </w:rPr>
              <w:t>Représentations et couplages.</w:t>
            </w:r>
          </w:p>
        </w:tc>
      </w:tr>
      <w:tr>
        <w:trPr>
          <w:cantSplit/>
        </w:trPr>
        <w:tc>
          <w:tcPr>
            <w:tcW w:type="dxa" w:w="1500"/>
            <w:vAlign w:val="center"/>
          </w:tcPr>
          <w:p>
            <w:pPr>
              <w:spacing w:after="0" w:line="245" w:lineRule="auto"/>
            </w:pPr>
            <w:r>
              <w:rPr>
                <w:rFonts w:ascii="Calibri" w:hAnsi="Calibri"/>
                <w:color w:val="000000"/>
                <w:sz w:val="17"/>
              </w:rPr>
              <w:t>Chiralité</w:t>
            </w:r>
          </w:p>
        </w:tc>
        <w:tc>
          <w:tcPr>
            <w:tcW w:type="dxa" w:w="4560"/>
            <w:vAlign w:val="center"/>
          </w:tcPr>
          <w:p>
            <w:pPr>
              <w:spacing w:after="0" w:line="245" w:lineRule="auto"/>
            </w:pPr>
            <w:r>
              <w:rPr>
                <w:rFonts w:ascii="Calibri" w:hAnsi="Calibri"/>
                <w:color w:val="000000"/>
                <w:sz w:val="17"/>
              </w:rPr>
              <w:t>Régulateur Hamiltonien miroir/SMG de type Wen.</w:t>
            </w:r>
          </w:p>
        </w:tc>
        <w:tc>
          <w:tcPr>
            <w:tcW w:type="dxa" w:w="3300"/>
            <w:vAlign w:val="center"/>
          </w:tcPr>
          <w:p>
            <w:pPr>
              <w:spacing w:after="0" w:line="245" w:lineRule="auto"/>
            </w:pPr>
            <w:r>
              <w:rPr>
                <w:rFonts w:ascii="Calibri" w:hAnsi="Calibri"/>
                <w:color w:val="000000"/>
                <w:sz w:val="17"/>
              </w:rPr>
              <w:t>Gap miroir uniforme à démontrer.</w:t>
            </w:r>
          </w:p>
        </w:tc>
      </w:tr>
      <w:tr>
        <w:trPr>
          <w:cantSplit/>
        </w:trPr>
        <w:tc>
          <w:tcPr>
            <w:tcW w:type="dxa" w:w="1500"/>
            <w:vAlign w:val="center"/>
          </w:tcPr>
          <w:p>
            <w:pPr>
              <w:spacing w:after="0" w:line="245" w:lineRule="auto"/>
            </w:pPr>
            <w:r>
              <w:rPr>
                <w:rFonts w:ascii="Calibri" w:hAnsi="Calibri"/>
                <w:color w:val="000000"/>
                <w:sz w:val="17"/>
              </w:rPr>
              <w:t>Géométrie</w:t>
            </w:r>
          </w:p>
        </w:tc>
        <w:tc>
          <w:tcPr>
            <w:tcW w:type="dxa" w:w="4560"/>
            <w:vAlign w:val="center"/>
          </w:tcPr>
          <w:p>
            <w:pPr>
              <w:spacing w:after="0" w:line="245" w:lineRule="auto"/>
            </w:pPr>
            <w:r>
              <w:rPr>
                <w:rFonts w:ascii="Calibri" w:hAnsi="Calibri"/>
                <w:color w:val="000000"/>
                <w:sz w:val="17"/>
              </w:rPr>
              <w:t>T³ Morse-tame et base locale complète.</w:t>
            </w:r>
          </w:p>
        </w:tc>
        <w:tc>
          <w:tcPr>
            <w:tcW w:type="dxa" w:w="3300"/>
            <w:vAlign w:val="center"/>
          </w:tcPr>
          <w:p>
            <w:pPr>
              <w:spacing w:after="0" w:line="245" w:lineRule="auto"/>
            </w:pPr>
            <w:r>
              <w:rPr>
                <w:rFonts w:ascii="Calibri" w:hAnsi="Calibri"/>
                <w:color w:val="000000"/>
                <w:sz w:val="17"/>
              </w:rPr>
              <w:t>Topologie spatiale choisie.</w:t>
            </w:r>
          </w:p>
        </w:tc>
      </w:tr>
    </w:tbl>
    <w:p>
      <w:pPr>
        <w:keepLines w:val="0"/>
        <w:spacing w:before="0" w:after="120" w:line="264" w:lineRule="auto"/>
        <w:jc w:val="left"/>
      </w:pPr>
      <w:r>
        <w:rPr>
          <w:rFonts w:ascii="Calibri" w:hAnsi="Calibri"/>
          <w:b w:val="0"/>
          <w:i w:val="0"/>
          <w:color w:val="000000"/>
          <w:sz w:val="22"/>
        </w:rPr>
      </w:r>
    </w:p>
    <w:p>
      <w:pPr>
        <w:pStyle w:val="Heading2"/>
        <w:keepNext/>
      </w:pPr>
      <w:r>
        <w:t>5. Dynamique géométrique : Barker/SMF sans ambiguïté</w:t>
      </w:r>
    </w:p>
    <w:p>
      <w:pPr>
        <w:keepLines w:val="0"/>
        <w:spacing w:before="0" w:after="120" w:line="264" w:lineRule="auto"/>
        <w:jc w:val="left"/>
      </w:pPr>
      <w:r>
        <w:rPr>
          <w:rFonts w:ascii="Calibri" w:hAnsi="Calibri"/>
          <w:b w:val="0"/>
          <w:i w:val="0"/>
          <w:color w:val="000000"/>
          <w:sz w:val="22"/>
        </w:rPr>
        <w:t>Pour chaque canal local non orienté {x,y}, κ_xy=κ_yx≥0 est une horloge d’essai locale bornée. La balance détaillée et la complémentarité a(r)+a(1/r)=1 sélectionnent uniquement l’acceptation de Barker.</w:t>
      </w:r>
    </w:p>
    <w:p>
      <w:pPr>
        <w:keepLines/>
        <w:spacing w:before="60" w:after="140" w:line="240" w:lineRule="auto"/>
        <w:jc w:val="center"/>
      </w:pPr>
      <w:r>
        <w:rPr>
          <w:rFonts w:ascii="Cambria Math" w:hAnsi="Cambria Math"/>
          <w:color w:val="0B2545"/>
          <w:sz w:val="22"/>
        </w:rPr>
        <w:t>q_xy=κ_xy π_y/(π_x+π_y),     π_xq_xy=π_yq_yx.                                  (7)</w:t>
      </w:r>
    </w:p>
    <w:p>
      <w:pPr>
        <w:keepLines/>
        <w:spacing w:before="60" w:after="140" w:line="240" w:lineRule="auto"/>
        <w:jc w:val="center"/>
      </w:pPr>
      <w:r>
        <w:rPr>
          <w:rFonts w:ascii="Cambria Math" w:hAnsi="Cambria Math"/>
          <w:color w:val="0B2545"/>
          <w:sz w:val="22"/>
        </w:rPr>
        <w:t>h_xy=κ_xy/(π_x+π_y)(√π_y|x⟩−√π_x|y⟩)(√π_y⟨x|−√π_x⟨y|) ≥0.                    (8)</w:t>
      </w:r>
    </w:p>
    <w:p>
      <w:pPr>
        <w:keepLines/>
        <w:spacing w:before="60" w:after="140" w:line="240" w:lineRule="auto"/>
        <w:jc w:val="center"/>
      </w:pPr>
      <w:r>
        <w:rPr>
          <w:rFonts w:ascii="Cambria Math" w:hAnsi="Cambria Math"/>
          <w:color w:val="0B2545"/>
          <w:sz w:val="22"/>
        </w:rPr>
        <w:t>H_geo=Σ_{ {x,y} }h_xy,     H_geo√π=0.                              (9)</w:t>
      </w:r>
    </w:p>
    <w:p>
      <w:pPr>
        <w:keepLines w:val="0"/>
        <w:spacing w:before="0" w:after="120" w:line="264" w:lineRule="auto"/>
        <w:jc w:val="left"/>
      </w:pPr>
      <w:r>
        <w:rPr>
          <w:rFonts w:ascii="Calibri" w:hAnsi="Calibri"/>
          <w:b w:val="0"/>
          <w:i w:val="0"/>
          <w:color w:val="000000"/>
          <w:sz w:val="22"/>
        </w:rPr>
        <w:t>Si les fibres diffèrent, un canal porte un transport local unitaire W_xy après complétion par ancilles. On remplace le vecteur de (8) par √π_yW_xyψ_x−√π_xψ_y et pose h_xy=L_xy†L_xy. La positivité subsiste; W_yx=W_xy† et la compatibilité de Gauss sont des axiomes contrôlables.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Temps physique. </w:t>
            </w:r>
            <w:r>
              <w:rPr>
                <w:rFonts w:ascii="Calibri" w:hAnsi="Calibri"/>
                <w:color w:val="7A5A00"/>
                <w:sz w:val="22"/>
              </w:rPr>
              <w:t>La forme de q est dérivée conditionnellement à π et à une horloge locale fixée. L’échelle globale de κ reste libre : elle doit être calibrée par une observable dimensionnée. Q_samp demeure séparé de Q_phys.</w:t>
            </w:r>
          </w:p>
        </w:tc>
      </w:tr>
    </w:tbl>
    <w:p>
      <w:pPr>
        <w:keepLines w:val="0"/>
        <w:spacing w:before="0" w:after="40" w:line="264" w:lineRule="auto"/>
        <w:jc w:val="left"/>
      </w:pPr>
      <w:r>
        <w:rPr>
          <w:rFonts w:ascii="Calibri" w:hAnsi="Calibri"/>
          <w:b w:val="0"/>
          <w:i w:val="0"/>
          <w:color w:val="000000"/>
          <w:sz w:val="22"/>
        </w:rPr>
      </w:r>
    </w:p>
    <w:p>
      <w:pPr>
        <w:pStyle w:val="Heading2"/>
        <w:keepNext/>
      </w:pPr>
      <w:r>
        <w:t>6. Hamiltonien interne Spin(10)</w:t>
      </w:r>
    </w:p>
    <w:p>
      <w:pPr>
        <w:keepLines/>
        <w:spacing w:before="60" w:after="140" w:line="240" w:lineRule="auto"/>
        <w:jc w:val="center"/>
      </w:pPr>
      <w:r>
        <w:rPr>
          <w:rFonts w:ascii="Cambria Math" w:hAnsi="Cambria Math"/>
          <w:color w:val="0B2545"/>
          <w:sz w:val="22"/>
        </w:rPr>
        <w:t>H_int=H_E+H_B+H_Φ+H_χ+H_Y+H_mirror+H_mix.                                      (10)</w:t>
      </w:r>
    </w:p>
    <w:p>
      <w:pPr>
        <w:keepLines/>
        <w:spacing w:before="60" w:after="140" w:line="240" w:lineRule="auto"/>
        <w:jc w:val="center"/>
      </w:pPr>
      <w:r>
        <w:rPr>
          <w:rFonts w:ascii="Cambria Math" w:hAnsi="Cambria Math"/>
          <w:color w:val="0B2545"/>
          <w:sz w:val="22"/>
        </w:rPr>
        <w:t>H_E=(g₁₀²/2a)Σ_e C₂(e),   H_B=(1/2g₁₀²a)Σ_f w_f[2d_R−χ_R(U_f)−χ_R(U_f⁻¹)].    (11)</w:t>
      </w:r>
    </w:p>
    <w:p>
      <w:pPr>
        <w:keepLines w:val="0"/>
        <w:spacing w:before="0" w:after="120" w:line="264" w:lineRule="auto"/>
        <w:jc w:val="left"/>
      </w:pPr>
      <w:r>
        <w:rPr>
          <w:rFonts w:ascii="Calibri" w:hAnsi="Calibri"/>
          <w:b w:val="0"/>
          <w:i w:val="0"/>
          <w:color w:val="000000"/>
          <w:sz w:val="22"/>
        </w:rPr>
        <w:t>Les poids w_f sont des volumes duaux de la triangulation; H_B est positif pour une représentation unitaire. H_Φ contient moment cinétique, gradient covariant et le polynôme invariant Spin(10) de degré ≤4. Le Yukawa est</w:t>
      </w:r>
    </w:p>
    <w:p>
      <w:pPr>
        <w:keepLines/>
        <w:spacing w:before="60" w:after="140" w:line="240" w:lineRule="auto"/>
        <w:jc w:val="center"/>
      </w:pPr>
      <w:r>
        <w:rPr>
          <w:rFonts w:ascii="Cambria Math" w:hAnsi="Cambria Math"/>
          <w:color w:val="0B2545"/>
          <w:sz w:val="22"/>
        </w:rPr>
        <w:t>H_Y ⊃ 16_i [Y₁₀^{ij}10_H+Y_c₁₂₆^{ij}(126*)_H]16_j+h.c.,     i,j=1,2,3.  (12)</w:t>
      </w:r>
    </w:p>
    <w:p>
      <w:pPr>
        <w:keepLines w:val="0"/>
        <w:spacing w:before="0" w:after="120" w:line="264" w:lineRule="auto"/>
        <w:jc w:val="left"/>
      </w:pPr>
      <w:r>
        <w:rPr>
          <w:rFonts w:ascii="Calibri" w:hAnsi="Calibri"/>
          <w:b w:val="0"/>
          <w:i w:val="0"/>
          <w:color w:val="000000"/>
          <w:sz w:val="22"/>
        </w:rPr>
        <w:t>H_χ est la cinétique chirale; H_mirror doit produire un unique état symétrique gappé pour le miroir sans condensat qui brise Spin(10). H_mix contient la dépendance des termes internes aux volumes, incidences et transports de Pachner : sa variation géométrique engendre les sommets graviton–jauge–matière.</w:t>
      </w:r>
    </w:p>
    <w:p>
      <w:pPr>
        <w:pStyle w:val="Heading2"/>
        <w:keepNext/>
      </w:pPr>
      <w:r>
        <w:t>7. Opérateur total et positivité du transfert</w:t>
      </w:r>
    </w:p>
    <w:p>
      <w:pPr>
        <w:keepLines/>
        <w:spacing w:before="60" w:after="140" w:line="240" w:lineRule="auto"/>
        <w:jc w:val="center"/>
      </w:pPr>
      <w:r>
        <w:rPr>
          <w:rFonts w:ascii="Cambria Math" w:hAnsi="Cambria Math"/>
          <w:color w:val="0B2545"/>
          <w:sz w:val="22"/>
        </w:rPr>
        <w:t>H_Λ=H_geo+⊕_xH_int(x),     E₀(Λ)=inf spec H_Λ.                    (13)</w:t>
      </w:r>
    </w:p>
    <w:p>
      <w:pPr>
        <w:keepLines/>
        <w:spacing w:before="60" w:after="140" w:line="240" w:lineRule="auto"/>
        <w:jc w:val="center"/>
      </w:pPr>
      <w:r>
        <w:rPr>
          <w:rFonts w:ascii="Cambria Math" w:hAnsi="Cambria Math"/>
          <w:color w:val="0B2545"/>
          <w:sz w:val="22"/>
        </w:rPr>
        <w:t>Ĥ_Λ=H_Λ−E₀I≥0,     T_Λ=e^{−a_tĤ_Λ},     B_Λ=e^{−a_tĤ_Λ/2},     T_Λ=B_Λ†B_Λ.  (14)</w:t>
      </w:r>
    </w:p>
    <w:p>
      <w:pPr>
        <w:keepLines w:val="0"/>
        <w:spacing w:before="0" w:after="120" w:line="264" w:lineRule="auto"/>
        <w:jc w:val="left"/>
      </w:pPr>
      <w:r>
        <w:rPr>
          <w:rFonts w:ascii="Calibri" w:hAnsi="Calibri"/>
          <w:b w:val="0"/>
          <w:i w:val="0"/>
          <w:color w:val="000000"/>
          <w:sz w:val="22"/>
        </w:rPr>
        <w:t>À cutoff fini, H_Λ est hermitien sur un espace fini après troncatures; il est donc auto-adjoint et borné inférieurement. La limite sans troncature se définit par formes quadratiques fermées et convergence forte-résolvante — une condition, pas un résultat déjà acquis.</w:t>
      </w:r>
    </w:p>
    <w:tbl>
      <w:tblPr>
        <w:tblStyle w:val="TableGrid"/>
        <w:tblW w:type="dxa" w:w="9360"/>
        <w:tblLayout w:type="fixed"/>
        <w:tblLook w:firstColumn="1" w:firstRow="1" w:lastColumn="0" w:lastRow="0" w:noHBand="0" w:noVBand="1" w:val="04A0"/>
        <w:jc w:val="left"/>
        <w:tblInd w:w="120" w:type="dxa"/>
      </w:tblPr>
      <w:tblGrid>
        <w:gridCol w:w="2200"/>
        <w:gridCol w:w="1500"/>
        <w:gridCol w:w="5660"/>
      </w:tblGrid>
      <w:tr>
        <w:trPr>
          <w:tblHeader w:val="true"/>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7"/>
              </w:rPr>
              <w:t>Propriété au cutoff</w:t>
            </w:r>
          </w:p>
        </w:tc>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0B2545"/>
                <w:sz w:val="17"/>
              </w:rPr>
              <w:t>Statut</w:t>
            </w:r>
          </w:p>
        </w:tc>
        <w:tc>
          <w:tcPr>
            <w:tcW w:type="dxa" w:w="5660"/>
            <w:tcMar>
              <w:top w:w="80" w:type="dxa"/>
              <w:start w:w="120" w:type="dxa"/>
              <w:bottom w:w="80" w:type="dxa"/>
              <w:end w:w="120" w:type="dxa"/>
            </w:tcMar>
            <w:vAlign w:val="center"/>
            <w:shd w:fill="E8EEF5"/>
          </w:tcPr>
          <w:p>
            <w:pPr>
              <w:spacing w:after="0" w:line="240" w:lineRule="auto"/>
            </w:pPr>
            <w:r>
              <w:rPr>
                <w:rFonts w:ascii="Calibri" w:hAnsi="Calibri"/>
                <w:b/>
                <w:color w:val="0B2545"/>
                <w:sz w:val="17"/>
              </w:rPr>
              <w:t>Raison</w:t>
            </w:r>
          </w:p>
        </w:tc>
      </w:tr>
      <w:tr>
        <w:trPr>
          <w:cantSplit/>
        </w:trPr>
        <w:tc>
          <w:tcPr>
            <w:tcW w:type="dxa" w:w="2200"/>
            <w:vAlign w:val="center"/>
          </w:tcPr>
          <w:p>
            <w:pPr>
              <w:spacing w:after="0" w:line="245" w:lineRule="auto"/>
            </w:pPr>
            <w:r>
              <w:rPr>
                <w:rFonts w:ascii="Calibri" w:hAnsi="Calibri"/>
                <w:color w:val="000000"/>
                <w:sz w:val="17"/>
              </w:rPr>
              <w:t>Hermiticité</w:t>
            </w:r>
          </w:p>
        </w:tc>
        <w:tc>
          <w:tcPr>
            <w:tcW w:type="dxa" w:w="1500"/>
            <w:vAlign w:val="center"/>
            <w:shd w:fill="E8F3ED"/>
          </w:tcPr>
          <w:p>
            <w:pPr>
              <w:spacing w:after="0" w:line="245" w:lineRule="auto"/>
            </w:pPr>
            <w:r>
              <w:rPr>
                <w:rFonts w:ascii="Calibri" w:hAnsi="Calibri"/>
                <w:b/>
                <w:color w:val="1F5E46"/>
                <w:sz w:val="17"/>
              </w:rPr>
              <w:t>[T]</w:t>
            </w:r>
          </w:p>
        </w:tc>
        <w:tc>
          <w:tcPr>
            <w:tcW w:type="dxa" w:w="5660"/>
            <w:vAlign w:val="center"/>
          </w:tcPr>
          <w:p>
            <w:pPr>
              <w:spacing w:after="0" w:line="245" w:lineRule="auto"/>
            </w:pPr>
            <w:r>
              <w:rPr>
                <w:rFonts w:ascii="Calibri" w:hAnsi="Calibri"/>
                <w:color w:val="000000"/>
                <w:sz w:val="17"/>
              </w:rPr>
              <w:t>Chaque terme est hermitien; W_yx=W_xy†.</w:t>
            </w:r>
          </w:p>
        </w:tc>
      </w:tr>
      <w:tr>
        <w:trPr>
          <w:cantSplit/>
        </w:trPr>
        <w:tc>
          <w:tcPr>
            <w:tcW w:type="dxa" w:w="2200"/>
            <w:vAlign w:val="center"/>
          </w:tcPr>
          <w:p>
            <w:pPr>
              <w:spacing w:after="0" w:line="245" w:lineRule="auto"/>
            </w:pPr>
            <w:r>
              <w:rPr>
                <w:rFonts w:ascii="Calibri" w:hAnsi="Calibri"/>
                <w:color w:val="000000"/>
                <w:sz w:val="17"/>
              </w:rPr>
              <w:t>Borne inférieure</w:t>
            </w:r>
          </w:p>
        </w:tc>
        <w:tc>
          <w:tcPr>
            <w:tcW w:type="dxa" w:w="1500"/>
            <w:vAlign w:val="center"/>
            <w:shd w:fill="E8F3ED"/>
          </w:tcPr>
          <w:p>
            <w:pPr>
              <w:spacing w:after="0" w:line="245" w:lineRule="auto"/>
            </w:pPr>
            <w:r>
              <w:rPr>
                <w:rFonts w:ascii="Calibri" w:hAnsi="Calibri"/>
                <w:b/>
                <w:color w:val="1F5E46"/>
                <w:sz w:val="17"/>
              </w:rPr>
              <w:t>[T]</w:t>
            </w:r>
          </w:p>
        </w:tc>
        <w:tc>
          <w:tcPr>
            <w:tcW w:type="dxa" w:w="5660"/>
            <w:vAlign w:val="center"/>
          </w:tcPr>
          <w:p>
            <w:pPr>
              <w:spacing w:after="0" w:line="245" w:lineRule="auto"/>
            </w:pPr>
            <w:r>
              <w:rPr>
                <w:rFonts w:ascii="Calibri" w:hAnsi="Calibri"/>
                <w:color w:val="000000"/>
                <w:sz w:val="17"/>
              </w:rPr>
              <w:t>Dimension finie; décalage par E₀.</w:t>
            </w:r>
          </w:p>
        </w:tc>
      </w:tr>
      <w:tr>
        <w:trPr>
          <w:cantSplit/>
        </w:trPr>
        <w:tc>
          <w:tcPr>
            <w:tcW w:type="dxa" w:w="2200"/>
            <w:vAlign w:val="center"/>
          </w:tcPr>
          <w:p>
            <w:pPr>
              <w:spacing w:after="0" w:line="245" w:lineRule="auto"/>
            </w:pPr>
            <w:r>
              <w:rPr>
                <w:rFonts w:ascii="Calibri" w:hAnsi="Calibri"/>
                <w:color w:val="000000"/>
                <w:sz w:val="17"/>
              </w:rPr>
              <w:t>T contraction positive</w:t>
            </w:r>
          </w:p>
        </w:tc>
        <w:tc>
          <w:tcPr>
            <w:tcW w:type="dxa" w:w="1500"/>
            <w:vAlign w:val="center"/>
            <w:shd w:fill="E8F3ED"/>
          </w:tcPr>
          <w:p>
            <w:pPr>
              <w:spacing w:after="0" w:line="245" w:lineRule="auto"/>
            </w:pPr>
            <w:r>
              <w:rPr>
                <w:rFonts w:ascii="Calibri" w:hAnsi="Calibri"/>
                <w:b/>
                <w:color w:val="1F5E46"/>
                <w:sz w:val="17"/>
              </w:rPr>
              <w:t>[T]</w:t>
            </w:r>
          </w:p>
        </w:tc>
        <w:tc>
          <w:tcPr>
            <w:tcW w:type="dxa" w:w="5660"/>
            <w:vAlign w:val="center"/>
          </w:tcPr>
          <w:p>
            <w:pPr>
              <w:spacing w:after="0" w:line="245" w:lineRule="auto"/>
            </w:pPr>
            <w:r>
              <w:rPr>
                <w:rFonts w:ascii="Calibri" w:hAnsi="Calibri"/>
                <w:color w:val="000000"/>
                <w:sz w:val="17"/>
              </w:rPr>
              <w:t>Spectre de Ĥ dans [0,∞).</w:t>
            </w:r>
          </w:p>
        </w:tc>
      </w:tr>
      <w:tr>
        <w:trPr>
          <w:cantSplit/>
        </w:trPr>
        <w:tc>
          <w:tcPr>
            <w:tcW w:type="dxa" w:w="2200"/>
            <w:vAlign w:val="center"/>
          </w:tcPr>
          <w:p>
            <w:pPr>
              <w:spacing w:after="0" w:line="245" w:lineRule="auto"/>
            </w:pPr>
            <w:r>
              <w:rPr>
                <w:rFonts w:ascii="Calibri" w:hAnsi="Calibri"/>
                <w:color w:val="000000"/>
                <w:sz w:val="17"/>
              </w:rPr>
              <w:t>RP temporelle</w:t>
            </w:r>
          </w:p>
        </w:tc>
        <w:tc>
          <w:tcPr>
            <w:tcW w:type="dxa" w:w="1500"/>
            <w:vAlign w:val="center"/>
            <w:shd w:fill="E8F3ED"/>
          </w:tcPr>
          <w:p>
            <w:pPr>
              <w:spacing w:after="0" w:line="245" w:lineRule="auto"/>
            </w:pPr>
            <w:r>
              <w:rPr>
                <w:rFonts w:ascii="Calibri" w:hAnsi="Calibri"/>
                <w:b/>
                <w:color w:val="1F5E46"/>
                <w:sz w:val="17"/>
              </w:rPr>
              <w:t>[T]</w:t>
            </w:r>
          </w:p>
        </w:tc>
        <w:tc>
          <w:tcPr>
            <w:tcW w:type="dxa" w:w="5660"/>
            <w:vAlign w:val="center"/>
          </w:tcPr>
          <w:p>
            <w:pPr>
              <w:spacing w:after="0" w:line="245" w:lineRule="auto"/>
            </w:pPr>
            <w:r>
              <w:rPr>
                <w:rFonts w:ascii="Calibri" w:hAnsi="Calibri"/>
                <w:color w:val="000000"/>
                <w:sz w:val="17"/>
              </w:rPr>
              <w:t>T=B†B pour les cylindres canoniques.</w:t>
            </w:r>
          </w:p>
        </w:tc>
      </w:tr>
      <w:tr>
        <w:trPr>
          <w:cantSplit/>
        </w:trPr>
        <w:tc>
          <w:tcPr>
            <w:tcW w:type="dxa" w:w="2200"/>
            <w:vAlign w:val="center"/>
          </w:tcPr>
          <w:p>
            <w:pPr>
              <w:spacing w:after="0" w:line="245" w:lineRule="auto"/>
            </w:pPr>
            <w:r>
              <w:rPr>
                <w:rFonts w:ascii="Calibri" w:hAnsi="Calibri"/>
                <w:color w:val="000000"/>
                <w:sz w:val="17"/>
              </w:rPr>
              <w:t>Localité de H</w:t>
            </w:r>
          </w:p>
        </w:tc>
        <w:tc>
          <w:tcPr>
            <w:tcW w:type="dxa" w:w="1500"/>
            <w:vAlign w:val="center"/>
            <w:shd w:fill="E8F3ED"/>
          </w:tcPr>
          <w:p>
            <w:pPr>
              <w:spacing w:after="0" w:line="245" w:lineRule="auto"/>
            </w:pPr>
            <w:r>
              <w:rPr>
                <w:rFonts w:ascii="Calibri" w:hAnsi="Calibri"/>
                <w:b/>
                <w:color w:val="1F5E46"/>
                <w:sz w:val="17"/>
              </w:rPr>
              <w:t>[C]/[T]</w:t>
            </w:r>
          </w:p>
        </w:tc>
        <w:tc>
          <w:tcPr>
            <w:tcW w:type="dxa" w:w="5660"/>
            <w:vAlign w:val="center"/>
          </w:tcPr>
          <w:p>
            <w:pPr>
              <w:spacing w:after="0" w:line="245" w:lineRule="auto"/>
            </w:pPr>
            <w:r>
              <w:rPr>
                <w:rFonts w:ascii="Calibri" w:hAnsi="Calibri"/>
                <w:color w:val="000000"/>
                <w:sz w:val="17"/>
              </w:rPr>
              <w:t>H est défini comme somme de termes locaux.</w:t>
            </w:r>
          </w:p>
        </w:tc>
      </w:tr>
      <w:tr>
        <w:trPr>
          <w:cantSplit/>
        </w:trPr>
        <w:tc>
          <w:tcPr>
            <w:tcW w:type="dxa" w:w="2200"/>
            <w:vAlign w:val="center"/>
          </w:tcPr>
          <w:p>
            <w:pPr>
              <w:spacing w:after="0" w:line="245" w:lineRule="auto"/>
            </w:pPr>
            <w:r>
              <w:rPr>
                <w:rFonts w:ascii="Calibri" w:hAnsi="Calibri"/>
                <w:color w:val="000000"/>
                <w:sz w:val="17"/>
              </w:rPr>
              <w:t>Localité de T</w:t>
            </w:r>
          </w:p>
        </w:tc>
        <w:tc>
          <w:tcPr>
            <w:tcW w:type="dxa" w:w="1500"/>
            <w:vAlign w:val="center"/>
            <w:shd w:fill="F2F4F7"/>
          </w:tcPr>
          <w:p>
            <w:pPr>
              <w:spacing w:after="0" w:line="245" w:lineRule="auto"/>
            </w:pPr>
            <w:r>
              <w:rPr>
                <w:rFonts w:ascii="Calibri" w:hAnsi="Calibri"/>
                <w:b/>
                <w:color w:val="0B2545"/>
                <w:sz w:val="17"/>
              </w:rPr>
              <w:t>quasi-locale</w:t>
            </w:r>
          </w:p>
        </w:tc>
        <w:tc>
          <w:tcPr>
            <w:tcW w:type="dxa" w:w="5660"/>
            <w:vAlign w:val="center"/>
          </w:tcPr>
          <w:p>
            <w:pPr>
              <w:spacing w:after="0" w:line="245" w:lineRule="auto"/>
            </w:pPr>
            <w:r>
              <w:rPr>
                <w:rFonts w:ascii="Calibri" w:hAnsi="Calibri"/>
                <w:color w:val="000000"/>
                <w:sz w:val="17"/>
              </w:rPr>
              <w:t>Exponentielle d’un H local; pas de portée finie.</w:t>
            </w:r>
          </w:p>
        </w:tc>
      </w:tr>
      <w:tr>
        <w:trPr>
          <w:cantSplit/>
        </w:trPr>
        <w:tc>
          <w:tcPr>
            <w:tcW w:type="dxa" w:w="2200"/>
            <w:vAlign w:val="center"/>
          </w:tcPr>
          <w:p>
            <w:pPr>
              <w:spacing w:after="0" w:line="245" w:lineRule="auto"/>
            </w:pPr>
            <w:r>
              <w:rPr>
                <w:rFonts w:ascii="Calibri" w:hAnsi="Calibri"/>
                <w:color w:val="000000"/>
                <w:sz w:val="17"/>
              </w:rPr>
              <w:t>Continuum</w:t>
            </w:r>
          </w:p>
        </w:tc>
        <w:tc>
          <w:tcPr>
            <w:tcW w:type="dxa" w:w="1500"/>
            <w:vAlign w:val="center"/>
            <w:shd w:fill="FFF4D6"/>
          </w:tcPr>
          <w:p>
            <w:pPr>
              <w:spacing w:after="0" w:line="245" w:lineRule="auto"/>
            </w:pPr>
            <w:r>
              <w:rPr>
                <w:rFonts w:ascii="Calibri" w:hAnsi="Calibri"/>
                <w:b/>
                <w:color w:val="7A5A00"/>
                <w:sz w:val="17"/>
              </w:rPr>
              <w:t>OUVERT</w:t>
            </w:r>
          </w:p>
        </w:tc>
        <w:tc>
          <w:tcPr>
            <w:tcW w:type="dxa" w:w="5660"/>
            <w:vAlign w:val="center"/>
          </w:tcPr>
          <w:p>
            <w:pPr>
              <w:spacing w:after="0" w:line="245" w:lineRule="auto"/>
            </w:pPr>
            <w:r>
              <w:rPr>
                <w:rFonts w:ascii="Calibri" w:hAnsi="Calibri"/>
                <w:color w:val="000000"/>
                <w:sz w:val="17"/>
              </w:rPr>
              <w:t>N’existe qu’après limite critique conjointe.</w:t>
            </w:r>
          </w:p>
        </w:tc>
      </w:tr>
    </w:tbl>
    <w:p>
      <w:pPr>
        <w:keepLines w:val="0"/>
        <w:spacing w:before="0" w:after="120" w:line="264" w:lineRule="auto"/>
        <w:jc w:val="left"/>
      </w:pPr>
      <w:r>
        <w:rPr>
          <w:rFonts w:ascii="Calibri" w:hAnsi="Calibri"/>
          <w:b w:val="0"/>
          <w:i w:val="0"/>
          <w:color w:val="000000"/>
          <w:sz w:val="22"/>
        </w:rPr>
      </w:r>
    </w:p>
    <w:p>
      <w:pPr>
        <w:pStyle w:val="Heading2"/>
        <w:keepNext/>
      </w:pPr>
      <w:r>
        <w:t>8. Cible effective — non une dérivation</w:t>
      </w:r>
    </w:p>
    <w:p>
      <w:pPr>
        <w:keepLines/>
        <w:spacing w:before="60" w:after="140" w:line="240" w:lineRule="auto"/>
        <w:jc w:val="center"/>
      </w:pPr>
      <w:r>
        <w:rPr>
          <w:rFonts w:ascii="Cambria Math" w:hAnsi="Cambria Math"/>
          <w:color w:val="0B2545"/>
          <w:sz w:val="22"/>
        </w:rPr>
        <w:t>S_eff=∫dt d³x N√g {2κ⁻²(K_ijK^ij−K²)−V₆[g]+(4g₁₀²)⁻¹F²+L_χ+L_Φ+L_Y}.     (15)</w:t>
      </w:r>
    </w:p>
    <w:p>
      <w:pPr>
        <w:keepLines/>
        <w:spacing w:before="60" w:after="140" w:line="240" w:lineRule="auto"/>
        <w:jc w:val="center"/>
      </w:pPr>
      <w:r>
        <w:rPr>
          <w:rFonts w:ascii="Cambria Math" w:hAnsi="Cambria Math"/>
          <w:color w:val="0B2545"/>
          <w:sz w:val="22"/>
        </w:rPr>
        <w:t>V₆=2Λ−R+c₁R²+c₂R_ijR^ij+c₃R³+c₄RR_ijR^ij+c₅R_i^jR_j^kR_k^i+c₆RΔR+c₇∇R_ij∇R^ij.  (16)</w:t>
      </w:r>
    </w:p>
    <w:p>
      <w:pPr>
        <w:keepLines w:val="0"/>
        <w:spacing w:before="0" w:after="120" w:line="264" w:lineRule="auto"/>
        <w:jc w:val="left"/>
      </w:pPr>
      <w:r>
        <w:rPr>
          <w:rFonts w:ascii="Calibri" w:hAnsi="Calibri"/>
          <w:b w:val="0"/>
          <w:i w:val="0"/>
          <w:color w:val="000000"/>
          <w:sz w:val="22"/>
        </w:rPr>
        <w:t>En d=3 et z=3, le couplage gravitationnel est sans dimension et les opérateurs à six dérivées spatiales sont marginaux par comptage de puissances. β1.1 vise la branche projectable à symétrie U(1) étendue afin d’imposer λ=1 et d’éliminer le scalaire au niveau classique. La renormalisabilité démontrée dans la littérature concerne la théorie projectable; son extension U(1), la restauration de Lorentz et le couplage à la matière exigent encore une preuve commune.</w:t>
      </w:r>
    </w:p>
    <w:p>
      <w:pPr>
        <w:pStyle w:val="Heading1"/>
        <w:keepNext/>
        <w:pageBreakBefore/>
      </w:pPr>
      <w:r>
        <w:t>PARTIE II — Théorèmes et no-go exacts de β1.1</w:t>
      </w:r>
    </w:p>
    <w:p>
      <w:pPr>
        <w:pStyle w:val="Heading2"/>
        <w:keepNext/>
      </w:pPr>
      <w:r>
        <w:t>9. Théorème NORM-DM3 décoré</w:t>
      </w:r>
    </w:p>
    <w:p>
      <w:pPr>
        <w:keepLines/>
        <w:spacing w:before="60" w:after="140" w:line="240" w:lineRule="auto"/>
        <w:jc w:val="center"/>
      </w:pPr>
      <w:r>
        <w:rPr>
          <w:rFonts w:ascii="Cambria Math" w:hAnsi="Cambria Math"/>
          <w:color w:val="0B2545"/>
          <w:sz w:val="22"/>
        </w:rPr>
        <w:t>|Ω_N^DM3|≤C₀(N+1)⁶(192e)^N,     Σ_e log(1+n_e)≤2Nlog4.                       (17)</w:t>
      </w:r>
    </w:p>
    <w:p>
      <w:pPr>
        <w:keepLines w:val="0"/>
        <w:spacing w:before="0" w:after="120" w:line="264" w:lineRule="auto"/>
        <w:jc w:val="left"/>
      </w:pPr>
      <w:r>
        <w:rPr>
          <w:rFonts w:ascii="Calibri" w:hAnsi="Calibri"/>
          <w:b w:val="0"/>
          <w:i w:val="0"/>
          <w:color w:val="000000"/>
          <w:sz w:val="22"/>
        </w:rPr>
        <w:t>Pour une 3-variété fermée, N₂=2N₃, N₁=N₀+N₃ et n_e≥3 donnent N₁≤2N₃ et N₀≤N₃. Si une base de lien possède d_G états, une base scalaire d_H états et m modes fermioniques complexes par sommet, les décorations ajoutent au plus</w:t>
      </w:r>
    </w:p>
    <w:p>
      <w:pPr>
        <w:keepLines/>
        <w:spacing w:before="60" w:after="140" w:line="240" w:lineRule="auto"/>
        <w:jc w:val="center"/>
      </w:pPr>
      <w:r>
        <w:rPr>
          <w:rFonts w:ascii="Cambria Math" w:hAnsi="Cambria Math"/>
          <w:color w:val="0B2545"/>
          <w:sz w:val="22"/>
        </w:rPr>
        <w:t>c_dec=2log d_G+log d_H+m log2                                              (18)</w:t>
      </w:r>
    </w:p>
    <w:p>
      <w:pPr>
        <w:keepLines/>
        <w:spacing w:before="60" w:after="140" w:line="240" w:lineRule="auto"/>
        <w:jc w:val="center"/>
      </w:pPr>
      <w:r>
        <w:rPr>
          <w:rFonts w:ascii="Cambria Math" w:hAnsi="Cambria Math"/>
          <w:color w:val="0B2545"/>
          <w:sz w:val="22"/>
        </w:rPr>
        <w:t>μ&gt;2αlog4+τ[log(192e)+c_dec]  ⇒  Σ_N Tr_{H_N}e^{−S/τ}&lt;∞.                    (19)</w:t>
      </w:r>
    </w:p>
    <w:p>
      <w:pPr>
        <w:keepLines w:val="0"/>
        <w:spacing w:before="0" w:after="120" w:line="264" w:lineRule="auto"/>
        <w:jc w:val="left"/>
      </w:pPr>
      <w:r>
        <w:rPr>
          <w:rFonts w:ascii="Calibri" w:hAnsi="Calibri"/>
          <w:b w:val="0"/>
          <w:i w:val="0"/>
          <w:color w:val="000000"/>
          <w:sz w:val="22"/>
        </w:rPr>
        <w:t>Preuve. Le nombre de géométries est exponentiel à facteur polynomial. Les cellules décorées sont linéaires en N; leur dimension est donc exponentielle avec taux c_dec. Le terme bD_edge ne peut qu’abaisser le poids si b≥0. Le grand-canonique est dominé par une série polynomiale géométrique dont le rapport logarithmique est strictement négatif sous (19). Le facteur constant des huit structures de spin ne change pas le rayon de convergence.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0B2545"/>
                <w:sz w:val="22"/>
              </w:rPr>
              <w:t xml:space="preserve">Portée. </w:t>
            </w:r>
            <w:r>
              <w:rPr>
                <w:rFonts w:ascii="Calibri" w:hAnsi="Calibri"/>
                <w:color w:val="0B2545"/>
                <w:sz w:val="22"/>
              </w:rPr>
              <w:t>Le théorème ferme la normalisation de chaque régulateur de matière fini sur la branche DM3/Morse-tame. Il ne contrôle pas la limite jointe J_max,K_Φ,N_max→∞ ni l’ensemble non restreint de toutes les triangulations de T³.</w:t>
            </w:r>
          </w:p>
        </w:tc>
      </w:tr>
    </w:tbl>
    <w:p>
      <w:pPr>
        <w:keepLines w:val="0"/>
        <w:spacing w:before="0" w:after="40" w:line="264" w:lineRule="auto"/>
        <w:jc w:val="left"/>
      </w:pPr>
      <w:r>
        <w:rPr>
          <w:rFonts w:ascii="Calibri" w:hAnsi="Calibri"/>
          <w:b w:val="0"/>
          <w:i w:val="0"/>
          <w:color w:val="000000"/>
          <w:sz w:val="22"/>
        </w:rPr>
      </w:r>
    </w:p>
    <w:p>
      <w:pPr>
        <w:pStyle w:val="Heading2"/>
        <w:keepNext/>
      </w:pPr>
      <w:r>
        <w:t>10. Théorème BARKER–PROJECTEUR</w:t>
      </w:r>
    </w:p>
    <w:p>
      <w:pPr>
        <w:keepLines w:val="0"/>
        <w:spacing w:before="0" w:after="120" w:line="264" w:lineRule="auto"/>
        <w:jc w:val="left"/>
      </w:pPr>
      <w:r>
        <w:rPr>
          <w:rFonts w:ascii="Calibri" w:hAnsi="Calibri"/>
          <w:b w:val="0"/>
          <w:i w:val="0"/>
          <w:color w:val="000000"/>
          <w:sz w:val="22"/>
        </w:rPr>
        <w:t>Sous π_x&gt;0 et κ_xy=κ_yx, l’expression (8) est un projecteur de rang un positif multiplié par κ_xy. Sa somme est positive, symétrique, locale dans le graphe de canaux et annule √π. Ses éléments hors diagonale coïncident exactement avec −diag(√π)Qdiag(1/√π).</w:t>
      </w:r>
    </w:p>
    <w:p>
      <w:pPr>
        <w:keepLines/>
        <w:spacing w:before="60" w:after="140" w:line="240" w:lineRule="auto"/>
        <w:jc w:val="center"/>
      </w:pPr>
      <w:r>
        <w:rPr>
          <w:rFonts w:ascii="Cambria Math" w:hAnsi="Cambria Math"/>
          <w:color w:val="0B2545"/>
          <w:sz w:val="22"/>
        </w:rPr>
        <w:t>⟨ψ,H_geoψ⟩=Σ_{x&lt;y} κ_xy |√π_yψ_x−√π_xψ_y|²/(π_x+π_y) ≥0.       (20)</w:t>
      </w:r>
    </w:p>
    <w:p>
      <w:pPr>
        <w:keepLines w:val="0"/>
        <w:spacing w:before="0" w:after="120" w:line="264" w:lineRule="auto"/>
        <w:jc w:val="left"/>
      </w:pPr>
      <w:r>
        <w:rPr>
          <w:rFonts w:ascii="Calibri" w:hAnsi="Calibri"/>
          <w:b w:val="0"/>
          <w:i w:val="0"/>
          <w:color w:val="000000"/>
          <w:sz w:val="22"/>
        </w:rPr>
        <w:t>La balance détaillée et la complémentarité fixent l’acceptation de Barker pour une horloge d’essai donnée. Le calibre continu des taux peut ensuite être fixé à activité moyenne donnée. Ces caractérisations laissent une échelle globale de temps; elles ne prétendent pas que π seule détermine Q.</w:t>
      </w:r>
    </w:p>
    <w:p>
      <w:pPr>
        <w:pStyle w:val="Heading2"/>
        <w:keepNext/>
      </w:pPr>
      <w:r>
        <w:t>11. Théorème RP/H-LOCAL par construction</w:t>
      </w:r>
    </w:p>
    <w:p>
      <w:pPr>
        <w:keepLines/>
        <w:spacing w:before="60" w:after="140" w:line="240" w:lineRule="auto"/>
        <w:jc w:val="center"/>
      </w:pPr>
      <w:r>
        <w:rPr>
          <w:rFonts w:ascii="Cambria Math" w:hAnsi="Cambria Math"/>
          <w:color w:val="0B2545"/>
          <w:sz w:val="22"/>
        </w:rPr>
        <w:t>∀F,  ⟨F,T_ΛF⟩=||B_ΛF||²≥0,     T_Λ=T_Λ†,     0&lt;T_Λ≤I.                    (21)</w:t>
      </w:r>
    </w:p>
    <w:p>
      <w:pPr>
        <w:keepLines w:val="0"/>
        <w:spacing w:before="0" w:after="120" w:line="264" w:lineRule="auto"/>
        <w:jc w:val="left"/>
      </w:pPr>
      <w:r>
        <w:rPr>
          <w:rFonts w:ascii="Calibri" w:hAnsi="Calibri"/>
          <w:b w:val="0"/>
          <w:i w:val="0"/>
          <w:color w:val="000000"/>
          <w:sz w:val="22"/>
        </w:rPr>
        <w:t>La réparation est générateur-d’abord : H est local par définition, puis T est son exponentielle. Elle évite le faux théorème « B local ⇒ −log B†B local ». Pour une réflexion placée entre deux demi-pas, la contraction des moitiés donne un carré de norme. Le résultat vaut au cutoff dans la représentation canonique; les axiomes OS complets du continuum exigent encore covariance euclidienne émergente, régularité, cluster et limite.</w:t>
      </w:r>
    </w:p>
    <w:p>
      <w:pPr>
        <w:pStyle w:val="Heading2"/>
        <w:keepNext/>
      </w:pPr>
      <w:r>
        <w:t>12. Théorème d’anomalies du contenu 16</w:t>
      </w:r>
    </w:p>
    <w:tbl>
      <w:tblPr>
        <w:tblStyle w:val="TableGrid"/>
        <w:tblW w:type="dxa" w:w="9360"/>
        <w:tblLayout w:type="fixed"/>
        <w:tblLook w:firstColumn="1" w:firstRow="1" w:lastColumn="0" w:lastRow="0" w:noHBand="0" w:noVBand="1" w:val="04A0"/>
        <w:jc w:val="left"/>
        <w:tblInd w:w="120" w:type="dxa"/>
      </w:tblPr>
      <w:tblGrid>
        <w:gridCol w:w="3500"/>
        <w:gridCol w:w="5860"/>
      </w:tblGrid>
      <w:tr>
        <w:trPr>
          <w:tblHeader w:val="true"/>
          <w:cantSplit/>
          <w:tblHeader w:val="true"/>
        </w:trPr>
        <w:tc>
          <w:tcPr>
            <w:tcW w:type="dxa" w:w="3500"/>
            <w:tcMar>
              <w:top w:w="80" w:type="dxa"/>
              <w:start w:w="120" w:type="dxa"/>
              <w:bottom w:w="80" w:type="dxa"/>
              <w:end w:w="120" w:type="dxa"/>
            </w:tcMar>
            <w:vAlign w:val="center"/>
            <w:shd w:fill="E8EEF5"/>
          </w:tcPr>
          <w:p>
            <w:pPr>
              <w:spacing w:after="0" w:line="240" w:lineRule="auto"/>
            </w:pPr>
            <w:r>
              <w:rPr>
                <w:rFonts w:ascii="Calibri" w:hAnsi="Calibri"/>
                <w:b/>
                <w:color w:val="0B2545"/>
                <w:sz w:val="17"/>
              </w:rPr>
              <w:t>Anomalie par famille gauche</w:t>
            </w:r>
          </w:p>
        </w:tc>
        <w:tc>
          <w:tcPr>
            <w:tcW w:type="dxa" w:w="5860"/>
            <w:tcMar>
              <w:top w:w="80" w:type="dxa"/>
              <w:start w:w="120" w:type="dxa"/>
              <w:bottom w:w="80" w:type="dxa"/>
              <w:end w:w="120" w:type="dxa"/>
            </w:tcMar>
            <w:vAlign w:val="center"/>
            <w:shd w:fill="E8EEF5"/>
          </w:tcPr>
          <w:p>
            <w:pPr>
              <w:spacing w:after="0" w:line="240" w:lineRule="auto"/>
            </w:pPr>
            <w:r>
              <w:rPr>
                <w:rFonts w:ascii="Calibri" w:hAnsi="Calibri"/>
                <w:b/>
                <w:color w:val="0B2545"/>
                <w:sz w:val="17"/>
              </w:rPr>
              <w:t>Somme exacte</w:t>
            </w:r>
          </w:p>
        </w:tc>
      </w:tr>
      <w:tr>
        <w:trPr>
          <w:cantSplit/>
        </w:trPr>
        <w:tc>
          <w:tcPr>
            <w:tcW w:type="dxa" w:w="3500"/>
            <w:vAlign w:val="center"/>
          </w:tcPr>
          <w:p>
            <w:pPr>
              <w:spacing w:after="0" w:line="245" w:lineRule="auto"/>
            </w:pPr>
            <w:r>
              <w:rPr>
                <w:rFonts w:ascii="Calibri" w:hAnsi="Calibri"/>
                <w:color w:val="000000"/>
                <w:sz w:val="17"/>
              </w:rPr>
              <w:t>SU(3)³</w:t>
            </w:r>
          </w:p>
        </w:tc>
        <w:tc>
          <w:tcPr>
            <w:tcW w:type="dxa" w:w="5860"/>
            <w:vAlign w:val="center"/>
          </w:tcPr>
          <w:p>
            <w:pPr>
              <w:spacing w:after="0" w:line="245" w:lineRule="auto"/>
            </w:pPr>
            <w:r>
              <w:rPr>
                <w:rFonts w:ascii="Calibri" w:hAnsi="Calibri"/>
                <w:color w:val="000000"/>
                <w:sz w:val="17"/>
              </w:rPr>
              <w:t>2−1−1=0</w:t>
            </w:r>
          </w:p>
        </w:tc>
      </w:tr>
      <w:tr>
        <w:trPr>
          <w:cantSplit/>
        </w:trPr>
        <w:tc>
          <w:tcPr>
            <w:tcW w:type="dxa" w:w="3500"/>
            <w:vAlign w:val="center"/>
          </w:tcPr>
          <w:p>
            <w:pPr>
              <w:spacing w:after="0" w:line="245" w:lineRule="auto"/>
            </w:pPr>
            <w:r>
              <w:rPr>
                <w:rFonts w:ascii="Calibri" w:hAnsi="Calibri"/>
                <w:color w:val="000000"/>
                <w:sz w:val="17"/>
              </w:rPr>
              <w:t>SU(3)²U(1)_Y</w:t>
            </w:r>
          </w:p>
        </w:tc>
        <w:tc>
          <w:tcPr>
            <w:tcW w:type="dxa" w:w="5860"/>
            <w:vAlign w:val="center"/>
          </w:tcPr>
          <w:p>
            <w:pPr>
              <w:spacing w:after="0" w:line="245" w:lineRule="auto"/>
            </w:pPr>
            <w:r>
              <w:rPr>
                <w:rFonts w:ascii="Calibri" w:hAnsi="Calibri"/>
                <w:color w:val="000000"/>
                <w:sz w:val="17"/>
              </w:rPr>
              <w:t>1/6−1/3+1/6=0</w:t>
            </w:r>
          </w:p>
        </w:tc>
      </w:tr>
      <w:tr>
        <w:trPr>
          <w:cantSplit/>
        </w:trPr>
        <w:tc>
          <w:tcPr>
            <w:tcW w:type="dxa" w:w="3500"/>
            <w:vAlign w:val="center"/>
          </w:tcPr>
          <w:p>
            <w:pPr>
              <w:spacing w:after="0" w:line="245" w:lineRule="auto"/>
            </w:pPr>
            <w:r>
              <w:rPr>
                <w:rFonts w:ascii="Calibri" w:hAnsi="Calibri"/>
                <w:color w:val="000000"/>
                <w:sz w:val="17"/>
              </w:rPr>
              <w:t>SU(2)²U(1)_Y</w:t>
            </w:r>
          </w:p>
        </w:tc>
        <w:tc>
          <w:tcPr>
            <w:tcW w:type="dxa" w:w="5860"/>
            <w:vAlign w:val="center"/>
          </w:tcPr>
          <w:p>
            <w:pPr>
              <w:spacing w:after="0" w:line="245" w:lineRule="auto"/>
            </w:pPr>
            <w:r>
              <w:rPr>
                <w:rFonts w:ascii="Calibri" w:hAnsi="Calibri"/>
                <w:color w:val="000000"/>
                <w:sz w:val="17"/>
              </w:rPr>
              <w:t>1/4−1/4=0</w:t>
            </w:r>
          </w:p>
        </w:tc>
      </w:tr>
      <w:tr>
        <w:trPr>
          <w:cantSplit/>
        </w:trPr>
        <w:tc>
          <w:tcPr>
            <w:tcW w:type="dxa" w:w="3500"/>
            <w:vAlign w:val="center"/>
          </w:tcPr>
          <w:p>
            <w:pPr>
              <w:spacing w:after="0" w:line="245" w:lineRule="auto"/>
            </w:pPr>
            <w:r>
              <w:rPr>
                <w:rFonts w:ascii="Calibri" w:hAnsi="Calibri"/>
                <w:color w:val="000000"/>
                <w:sz w:val="17"/>
              </w:rPr>
              <w:t>U(1)_Y³</w:t>
            </w:r>
          </w:p>
        </w:tc>
        <w:tc>
          <w:tcPr>
            <w:tcW w:type="dxa" w:w="5860"/>
            <w:vAlign w:val="center"/>
          </w:tcPr>
          <w:p>
            <w:pPr>
              <w:spacing w:after="0" w:line="245" w:lineRule="auto"/>
            </w:pPr>
            <w:r>
              <w:rPr>
                <w:rFonts w:ascii="Calibri" w:hAnsi="Calibri"/>
                <w:color w:val="000000"/>
                <w:sz w:val="17"/>
              </w:rPr>
              <w:t>6(1/6)³+3(−2/3)³+3(1/3)³+2(−1/2)³+1=0</w:t>
            </w:r>
          </w:p>
        </w:tc>
      </w:tr>
      <w:tr>
        <w:trPr>
          <w:cantSplit/>
        </w:trPr>
        <w:tc>
          <w:tcPr>
            <w:tcW w:type="dxa" w:w="3500"/>
            <w:vAlign w:val="center"/>
          </w:tcPr>
          <w:p>
            <w:pPr>
              <w:spacing w:after="0" w:line="245" w:lineRule="auto"/>
            </w:pPr>
            <w:r>
              <w:rPr>
                <w:rFonts w:ascii="Calibri" w:hAnsi="Calibri"/>
                <w:color w:val="000000"/>
                <w:sz w:val="17"/>
              </w:rPr>
              <w:t>grav²U(1)_Y</w:t>
            </w:r>
          </w:p>
        </w:tc>
        <w:tc>
          <w:tcPr>
            <w:tcW w:type="dxa" w:w="5860"/>
            <w:vAlign w:val="center"/>
          </w:tcPr>
          <w:p>
            <w:pPr>
              <w:spacing w:after="0" w:line="245" w:lineRule="auto"/>
            </w:pPr>
            <w:r>
              <w:rPr>
                <w:rFonts w:ascii="Calibri" w:hAnsi="Calibri"/>
                <w:color w:val="000000"/>
                <w:sz w:val="17"/>
              </w:rPr>
              <w:t>6/6−2+1−1+1=0</w:t>
            </w:r>
          </w:p>
        </w:tc>
      </w:tr>
      <w:tr>
        <w:trPr>
          <w:cantSplit/>
        </w:trPr>
        <w:tc>
          <w:tcPr>
            <w:tcW w:type="dxa" w:w="3500"/>
            <w:vAlign w:val="center"/>
          </w:tcPr>
          <w:p>
            <w:pPr>
              <w:spacing w:after="0" w:line="245" w:lineRule="auto"/>
            </w:pPr>
            <w:r>
              <w:rPr>
                <w:rFonts w:ascii="Calibri" w:hAnsi="Calibri"/>
                <w:color w:val="000000"/>
                <w:sz w:val="17"/>
              </w:rPr>
              <w:t>Witten SU(2)</w:t>
            </w:r>
          </w:p>
        </w:tc>
        <w:tc>
          <w:tcPr>
            <w:tcW w:type="dxa" w:w="5860"/>
            <w:vAlign w:val="center"/>
          </w:tcPr>
          <w:p>
            <w:pPr>
              <w:spacing w:after="0" w:line="245" w:lineRule="auto"/>
            </w:pPr>
            <w:r>
              <w:rPr>
                <w:rFonts w:ascii="Calibri" w:hAnsi="Calibri"/>
                <w:color w:val="000000"/>
                <w:sz w:val="17"/>
              </w:rPr>
              <w:t>3 doublets colorés + 1 leptonique = 4, pair</w:t>
            </w:r>
          </w:p>
        </w:tc>
      </w:tr>
    </w:tbl>
    <w:p>
      <w:pPr>
        <w:keepLines w:val="0"/>
        <w:spacing w:before="0" w:after="12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Tr₁₆Y²=10/3,     Tr₁₆(T_L³)²=2,     k_Y=5/3,     sin²θ_W(M_GUT)=3/8.       (22)</w:t>
      </w:r>
    </w:p>
    <w:p>
      <w:pPr>
        <w:keepLines w:val="0"/>
        <w:spacing w:before="0" w:after="120" w:line="264" w:lineRule="auto"/>
        <w:jc w:val="left"/>
      </w:pPr>
      <w:r>
        <w:rPr>
          <w:rFonts w:ascii="Calibri" w:hAnsi="Calibri"/>
          <w:b w:val="0"/>
          <w:i w:val="0"/>
          <w:color w:val="000000"/>
          <w:sz w:val="22"/>
        </w:rPr>
        <w:t>Ces identités prouvent la cohérence algébrique et la normalisation canonique de l’embedding. Elles ne prouvent ni le gap miroir, ni le spectre de basses énergies, ni la valeur mesurée après seuils et RG.</w:t>
      </w:r>
    </w:p>
    <w:p>
      <w:pPr>
        <w:pStyle w:val="Heading2"/>
        <w:keepNext/>
      </w:pPr>
      <w:r>
        <w:t>13. No-go FLAVOUR–T³</w:t>
      </w:r>
    </w:p>
    <w:p>
      <w:pPr>
        <w:keepLines/>
        <w:spacing w:before="60" w:after="140" w:line="240" w:lineRule="auto"/>
        <w:jc w:val="center"/>
      </w:pPr>
      <w:r>
        <w:rPr>
          <w:rFonts w:ascii="Cambria Math" w:hAnsi="Cambria Math"/>
          <w:color w:val="0B2545"/>
          <w:sz w:val="22"/>
        </w:rPr>
        <w:t>H¹(T³,C)≅C³,     MCG⁺(T³)=SL(3,Z).                                  (23)</w:t>
      </w:r>
    </w:p>
    <w:p>
      <w:pPr>
        <w:keepLines w:val="0"/>
        <w:spacing w:before="0" w:after="120" w:line="264" w:lineRule="auto"/>
        <w:jc w:val="left"/>
      </w:pPr>
      <w:r>
        <w:rPr>
          <w:rFonts w:ascii="Calibri" w:hAnsi="Calibri"/>
          <w:b w:val="0"/>
          <w:i w:val="0"/>
          <w:color w:val="000000"/>
          <w:sz w:val="22"/>
        </w:rPr>
        <w:t>Supposons que H¹ soit identifié aux trois familles et que la symétrie de classe d’applications soit exacte. Pour un endomorphisme de saveur A, les transvections qui engendrent SL(3,Z) imposent [A,g]=0 : le système a rang 8 et son commutant est span{I₃}. Pour le vrai couplage Spin(10) entre deux 16 gauches et un Higgs singlet de mapping class, Y est une forme bilinéaire et la condition correcte est gᵀYg=Y. Ce second système a rang 9.</w:t>
      </w:r>
    </w:p>
    <w:p>
      <w:pPr>
        <w:keepLines/>
        <w:spacing w:before="60" w:after="140" w:line="240" w:lineRule="auto"/>
        <w:jc w:val="center"/>
      </w:pPr>
      <w:r>
        <w:rPr>
          <w:rFonts w:ascii="Cambria Math" w:hAnsi="Cambria Math"/>
          <w:color w:val="0B2545"/>
          <w:sz w:val="22"/>
        </w:rPr>
        <w:t>[A,SL(3,Z)]=0 ⇒ A=aI₃;     gᵀYg=Y ∀g∈SL(3,Z) ⇒ Y=0.               (24)</w:t>
      </w:r>
    </w:p>
    <w:p>
      <w:pPr>
        <w:keepLines w:val="0"/>
        <w:spacing w:before="0" w:after="120" w:line="264" w:lineRule="auto"/>
        <w:jc w:val="left"/>
      </w:pPr>
      <w:r>
        <w:rPr>
          <w:rFonts w:ascii="Calibri" w:hAnsi="Calibri"/>
          <w:b w:val="0"/>
          <w:i w:val="0"/>
          <w:color w:val="000000"/>
          <w:sz w:val="22"/>
        </w:rPr>
        <w:t>La symétrie exacte donne donc au mieux un opérateur universel dégénéré et, pour le Yukawa chiral pertinent, interdit toute masse. Ainsi b₁(T³)=3 fournit au mieux un espace triplet; il ne dérive pas les saveurs observées. β1.1 écrit 3×16 comme multiplicité importée. Une future dérivation devra produire et calculer la brisure de la symétrie de mapping class.</w:t>
      </w:r>
    </w:p>
    <w:p>
      <w:pPr>
        <w:pStyle w:val="Heading2"/>
        <w:keepNext/>
      </w:pPr>
      <w:r>
        <w:t>14. No-go Λ–NORMALISATION</w:t>
      </w:r>
    </w:p>
    <w:p>
      <w:pPr>
        <w:keepLines/>
        <w:spacing w:before="60" w:after="140" w:line="240" w:lineRule="auto"/>
        <w:jc w:val="center"/>
      </w:pPr>
      <w:r>
        <w:rPr>
          <w:rFonts w:ascii="Cambria Math" w:hAnsi="Cambria Math"/>
          <w:color w:val="0B2545"/>
          <w:sz w:val="22"/>
        </w:rPr>
        <w:t>T↦cT  ⇒  H↦H−a_t⁻¹log(c)I,     (E_n−E₀)↦(E_n−E₀).                         (25)</w:t>
      </w:r>
    </w:p>
    <w:p>
      <w:pPr>
        <w:keepLines w:val="0"/>
        <w:spacing w:before="0" w:after="120" w:line="264" w:lineRule="auto"/>
        <w:jc w:val="left"/>
      </w:pPr>
      <w:r>
        <w:rPr>
          <w:rFonts w:ascii="Calibri" w:hAnsi="Calibri"/>
          <w:b w:val="0"/>
          <w:i w:val="0"/>
          <w:color w:val="000000"/>
          <w:sz w:val="22"/>
        </w:rPr>
        <w:t>Toute donnée obtenue après normalisation par la plus grande valeur propre est insensible à l’origine absolue de l’énergie. Elle ne peut donc, à elle seule, prédire une énergie du vide absolue. Dans une somme sur les volumes, μ multiplie N₃ et devient une direction cosmologique physique; sa valeur doit alors être fixée par la surface critique ou par une condition externe, jamais par un simple choix de normalisation.</w:t>
      </w:r>
    </w:p>
    <w:p>
      <w:r>
        <w:br w:type="page"/>
      </w:r>
    </w:p>
    <w:p>
      <w:pPr>
        <w:pStyle w:val="Heading2"/>
        <w:keepNext/>
      </w:pPr>
      <w:r>
        <w:t>15. Certificat machine indépendant</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7"/>
              </w:rPr>
              <w:t>Bloc</w:t>
            </w:r>
          </w:p>
        </w:tc>
        <w:tc>
          <w:tcPr>
            <w:tcW w:type="dxa" w:w="7460"/>
            <w:tcMar>
              <w:top w:w="80" w:type="dxa"/>
              <w:start w:w="120" w:type="dxa"/>
              <w:bottom w:w="80" w:type="dxa"/>
              <w:end w:w="120" w:type="dxa"/>
            </w:tcMar>
            <w:vAlign w:val="center"/>
            <w:shd w:fill="E8EEF5"/>
          </w:tcPr>
          <w:p>
            <w:pPr>
              <w:spacing w:after="0" w:line="240" w:lineRule="auto"/>
            </w:pPr>
            <w:r>
              <w:rPr>
                <w:rFonts w:ascii="Calibri" w:hAnsi="Calibri"/>
                <w:b/>
                <w:color w:val="0B2545"/>
                <w:sz w:val="17"/>
              </w:rPr>
              <w:t>Résultat exécuté</w:t>
            </w:r>
          </w:p>
        </w:tc>
      </w:tr>
      <w:tr>
        <w:trPr>
          <w:cantSplit/>
        </w:trPr>
        <w:tc>
          <w:tcPr>
            <w:tcW w:type="dxa" w:w="1900"/>
            <w:vAlign w:val="center"/>
          </w:tcPr>
          <w:p>
            <w:pPr>
              <w:spacing w:after="0" w:line="245" w:lineRule="auto"/>
            </w:pPr>
            <w:r>
              <w:rPr>
                <w:rFonts w:ascii="Calibri" w:hAnsi="Calibri"/>
                <w:color w:val="000000"/>
                <w:sz w:val="17"/>
              </w:rPr>
              <w:t>Spin(10)/SM</w:t>
            </w:r>
          </w:p>
        </w:tc>
        <w:tc>
          <w:tcPr>
            <w:tcW w:type="dxa" w:w="7460"/>
            <w:vAlign w:val="center"/>
          </w:tcPr>
          <w:p>
            <w:pPr>
              <w:spacing w:after="0" w:line="245" w:lineRule="auto"/>
            </w:pPr>
            <w:r>
              <w:rPr>
                <w:rFonts w:ascii="Calibri" w:hAnsi="Calibri"/>
                <w:color w:val="000000"/>
                <w:sz w:val="17"/>
              </w:rPr>
              <w:t>Toutes anomalies =0; k_Y=5/3; sin²θ_W=3/8.</w:t>
            </w:r>
          </w:p>
        </w:tc>
      </w:tr>
      <w:tr>
        <w:trPr>
          <w:cantSplit/>
        </w:trPr>
        <w:tc>
          <w:tcPr>
            <w:tcW w:type="dxa" w:w="1900"/>
            <w:vAlign w:val="center"/>
          </w:tcPr>
          <w:p>
            <w:pPr>
              <w:spacing w:after="0" w:line="245" w:lineRule="auto"/>
            </w:pPr>
            <w:r>
              <w:rPr>
                <w:rFonts w:ascii="Calibri" w:hAnsi="Calibri"/>
                <w:color w:val="000000"/>
                <w:sz w:val="17"/>
              </w:rPr>
              <w:t>FLAVOUR</w:t>
            </w:r>
          </w:p>
        </w:tc>
        <w:tc>
          <w:tcPr>
            <w:tcW w:type="dxa" w:w="7460"/>
            <w:vAlign w:val="center"/>
          </w:tcPr>
          <w:p>
            <w:pPr>
              <w:spacing w:after="0" w:line="245" w:lineRule="auto"/>
            </w:pPr>
            <w:r>
              <w:rPr>
                <w:rFonts w:ascii="Calibri" w:hAnsi="Calibri"/>
                <w:color w:val="000000"/>
                <w:sz w:val="17"/>
              </w:rPr>
              <w:t>Rangs 8/9 : commutant span{I₃}; bilinéaire invariant {0}.</w:t>
            </w:r>
          </w:p>
        </w:tc>
      </w:tr>
      <w:tr>
        <w:trPr>
          <w:cantSplit/>
        </w:trPr>
        <w:tc>
          <w:tcPr>
            <w:tcW w:type="dxa" w:w="1900"/>
            <w:vAlign w:val="center"/>
          </w:tcPr>
          <w:p>
            <w:pPr>
              <w:spacing w:after="0" w:line="245" w:lineRule="auto"/>
            </w:pPr>
            <w:r>
              <w:rPr>
                <w:rFonts w:ascii="Calibri" w:hAnsi="Calibri"/>
                <w:color w:val="000000"/>
                <w:sz w:val="17"/>
              </w:rPr>
              <w:t>Barker</w:t>
            </w:r>
          </w:p>
        </w:tc>
        <w:tc>
          <w:tcPr>
            <w:tcW w:type="dxa" w:w="7460"/>
            <w:vAlign w:val="center"/>
          </w:tcPr>
          <w:p>
            <w:pPr>
              <w:spacing w:after="0" w:line="245" w:lineRule="auto"/>
            </w:pPr>
            <w:r>
              <w:rPr>
                <w:rFonts w:ascii="Calibri" w:hAnsi="Calibri"/>
                <w:color w:val="000000"/>
                <w:sz w:val="17"/>
              </w:rPr>
              <w:t>Forme projecteur/similarité : 8,9×10⁻¹⁶; T=B†B : 1,1×10⁻¹⁵.</w:t>
            </w:r>
          </w:p>
        </w:tc>
      </w:tr>
      <w:tr>
        <w:trPr>
          <w:cantSplit/>
        </w:trPr>
        <w:tc>
          <w:tcPr>
            <w:tcW w:type="dxa" w:w="1900"/>
            <w:vAlign w:val="center"/>
          </w:tcPr>
          <w:p>
            <w:pPr>
              <w:spacing w:after="0" w:line="245" w:lineRule="auto"/>
            </w:pPr>
            <w:r>
              <w:rPr>
                <w:rFonts w:ascii="Calibri" w:hAnsi="Calibri"/>
                <w:color w:val="000000"/>
                <w:sz w:val="17"/>
              </w:rPr>
              <w:t>Barker unique</w:t>
            </w:r>
          </w:p>
        </w:tc>
        <w:tc>
          <w:tcPr>
            <w:tcW w:type="dxa" w:w="7460"/>
            <w:vAlign w:val="center"/>
          </w:tcPr>
          <w:p>
            <w:pPr>
              <w:spacing w:after="0" w:line="245" w:lineRule="auto"/>
            </w:pPr>
            <w:r>
              <w:rPr>
                <w:rFonts w:ascii="Calibri" w:hAnsi="Calibri"/>
                <w:color w:val="000000"/>
                <w:sz w:val="17"/>
              </w:rPr>
              <w:t>Équations détaillée+complémentaire vérifiées exactement sur Q.</w:t>
            </w:r>
          </w:p>
        </w:tc>
      </w:tr>
      <w:tr>
        <w:trPr>
          <w:cantSplit/>
        </w:trPr>
        <w:tc>
          <w:tcPr>
            <w:tcW w:type="dxa" w:w="1900"/>
            <w:vAlign w:val="center"/>
          </w:tcPr>
          <w:p>
            <w:pPr>
              <w:spacing w:after="0" w:line="245" w:lineRule="auto"/>
            </w:pPr>
            <w:r>
              <w:rPr>
                <w:rFonts w:ascii="Calibri" w:hAnsi="Calibri"/>
                <w:color w:val="000000"/>
                <w:sz w:val="17"/>
              </w:rPr>
              <w:t>Gauss–Gram</w:t>
            </w:r>
          </w:p>
        </w:tc>
        <w:tc>
          <w:tcPr>
            <w:tcW w:type="dxa" w:w="7460"/>
            <w:vAlign w:val="center"/>
          </w:tcPr>
          <w:p>
            <w:pPr>
              <w:spacing w:after="0" w:line="245" w:lineRule="auto"/>
            </w:pPr>
            <w:r>
              <w:rPr>
                <w:rFonts w:ascii="Calibri" w:hAnsi="Calibri"/>
                <w:color w:val="000000"/>
                <w:sz w:val="17"/>
              </w:rPr>
              <w:t>P e^(−aH)P reste un carré; erreur 3,3×10⁻¹⁶.</w:t>
            </w:r>
          </w:p>
        </w:tc>
      </w:tr>
      <w:tr>
        <w:trPr>
          <w:cantSplit/>
        </w:trPr>
        <w:tc>
          <w:tcPr>
            <w:tcW w:type="dxa" w:w="1900"/>
            <w:vAlign w:val="center"/>
          </w:tcPr>
          <w:p>
            <w:pPr>
              <w:spacing w:after="0" w:line="245" w:lineRule="auto"/>
            </w:pPr>
            <w:r>
              <w:rPr>
                <w:rFonts w:ascii="Calibri" w:hAnsi="Calibri"/>
                <w:color w:val="000000"/>
                <w:sz w:val="17"/>
              </w:rPr>
              <w:t>RP–limite</w:t>
            </w:r>
          </w:p>
        </w:tc>
        <w:tc>
          <w:tcPr>
            <w:tcW w:type="dxa" w:w="7460"/>
            <w:vAlign w:val="center"/>
          </w:tcPr>
          <w:p>
            <w:pPr>
              <w:spacing w:after="0" w:line="245" w:lineRule="auto"/>
            </w:pPr>
            <w:r>
              <w:rPr>
                <w:rFonts w:ascii="Calibri" w:hAnsi="Calibri"/>
                <w:color w:val="000000"/>
                <w:sz w:val="17"/>
              </w:rPr>
              <w:t>Séquence PSD convergente; fermeture du cône contrôlée.</w:t>
            </w:r>
          </w:p>
        </w:tc>
      </w:tr>
      <w:tr>
        <w:trPr>
          <w:cantSplit/>
        </w:trPr>
        <w:tc>
          <w:tcPr>
            <w:tcW w:type="dxa" w:w="1900"/>
            <w:vAlign w:val="center"/>
          </w:tcPr>
          <w:p>
            <w:pPr>
              <w:spacing w:after="0" w:line="245" w:lineRule="auto"/>
            </w:pPr>
            <w:r>
              <w:rPr>
                <w:rFonts w:ascii="Calibri" w:hAnsi="Calibri"/>
                <w:color w:val="000000"/>
                <w:sz w:val="17"/>
              </w:rPr>
              <w:t>NORM décoré</w:t>
            </w:r>
          </w:p>
        </w:tc>
        <w:tc>
          <w:tcPr>
            <w:tcW w:type="dxa" w:w="7460"/>
            <w:vAlign w:val="center"/>
          </w:tcPr>
          <w:p>
            <w:pPr>
              <w:spacing w:after="0" w:line="245" w:lineRule="auto"/>
            </w:pPr>
            <w:r>
              <w:rPr>
                <w:rFonts w:ascii="Calibri" w:hAnsi="Calibri"/>
                <w:color w:val="000000"/>
                <w:sz w:val="17"/>
              </w:rPr>
              <w:t>N₀≤N₃, N₁≤2N₃; signe du seuil vérifié.</w:t>
            </w:r>
          </w:p>
        </w:tc>
      </w:tr>
      <w:tr>
        <w:trPr>
          <w:cantSplit/>
        </w:trPr>
        <w:tc>
          <w:tcPr>
            <w:tcW w:type="dxa" w:w="1900"/>
            <w:vAlign w:val="center"/>
          </w:tcPr>
          <w:p>
            <w:pPr>
              <w:spacing w:after="0" w:line="245" w:lineRule="auto"/>
            </w:pPr>
            <w:r>
              <w:rPr>
                <w:rFonts w:ascii="Calibri" w:hAnsi="Calibri"/>
                <w:color w:val="000000"/>
                <w:sz w:val="17"/>
              </w:rPr>
              <w:t>z=3</w:t>
            </w:r>
          </w:p>
        </w:tc>
        <w:tc>
          <w:tcPr>
            <w:tcW w:type="dxa" w:w="7460"/>
            <w:vAlign w:val="center"/>
          </w:tcPr>
          <w:p>
            <w:pPr>
              <w:spacing w:after="0" w:line="245" w:lineRule="auto"/>
            </w:pPr>
            <w:r>
              <w:rPr>
                <w:rFonts w:ascii="Calibri" w:hAnsi="Calibri"/>
                <w:color w:val="000000"/>
                <w:sz w:val="17"/>
              </w:rPr>
              <w:t>[G_like]=0; potentiel marginal jusqu’à six dérivées.</w:t>
            </w:r>
          </w:p>
        </w:tc>
      </w:tr>
      <w:tr>
        <w:trPr>
          <w:cantSplit/>
        </w:trPr>
        <w:tc>
          <w:tcPr>
            <w:tcW w:type="dxa" w:w="1900"/>
            <w:vAlign w:val="center"/>
          </w:tcPr>
          <w:p>
            <w:pPr>
              <w:spacing w:after="0" w:line="245" w:lineRule="auto"/>
            </w:pPr>
            <w:r>
              <w:rPr>
                <w:rFonts w:ascii="Calibri" w:hAnsi="Calibri"/>
                <w:color w:val="000000"/>
                <w:sz w:val="17"/>
              </w:rPr>
              <w:t>LR uniforme</w:t>
            </w:r>
          </w:p>
        </w:tc>
        <w:tc>
          <w:tcPr>
            <w:tcW w:type="dxa" w:w="7460"/>
            <w:vAlign w:val="center"/>
          </w:tcPr>
          <w:p>
            <w:pPr>
              <w:spacing w:after="0" w:line="245" w:lineRule="auto"/>
            </w:pPr>
            <w:r>
              <w:rPr>
                <w:rFonts w:ascii="Calibri" w:hAnsi="Calibri"/>
                <w:color w:val="000000"/>
                <w:sz w:val="17"/>
              </w:rPr>
              <w:t>La borne naïve croît avec n_max : contrôle uniforme obligatoire.</w:t>
            </w:r>
          </w:p>
        </w:tc>
      </w:tr>
      <w:tr>
        <w:trPr>
          <w:cantSplit/>
        </w:trPr>
        <w:tc>
          <w:tcPr>
            <w:tcW w:type="dxa" w:w="1900"/>
            <w:vAlign w:val="center"/>
          </w:tcPr>
          <w:p>
            <w:pPr>
              <w:spacing w:after="0" w:line="245" w:lineRule="auto"/>
            </w:pPr>
            <w:r>
              <w:rPr>
                <w:rFonts w:ascii="Calibri" w:hAnsi="Calibri"/>
                <w:color w:val="000000"/>
                <w:sz w:val="17"/>
              </w:rPr>
              <w:t>SM 1-loop</w:t>
            </w:r>
          </w:p>
        </w:tc>
        <w:tc>
          <w:tcPr>
            <w:tcW w:type="dxa" w:w="7460"/>
            <w:vAlign w:val="center"/>
          </w:tcPr>
          <w:p>
            <w:pPr>
              <w:spacing w:after="0" w:line="245" w:lineRule="auto"/>
            </w:pPr>
            <w:r>
              <w:rPr>
                <w:rFonts w:ascii="Calibri" w:hAnsi="Calibri"/>
                <w:color w:val="000000"/>
                <w:sz w:val="17"/>
              </w:rPr>
              <w:t>Croisements 10¹³ / 10¹⁴ / 10¹⁷ GeV : pas de triple unification nue.</w:t>
            </w:r>
          </w:p>
        </w:tc>
      </w:tr>
      <w:tr>
        <w:trPr>
          <w:cantSplit/>
        </w:trPr>
        <w:tc>
          <w:tcPr>
            <w:tcW w:type="dxa" w:w="1900"/>
            <w:vAlign w:val="center"/>
          </w:tcPr>
          <w:p>
            <w:pPr>
              <w:spacing w:after="0" w:line="245" w:lineRule="auto"/>
            </w:pPr>
            <w:r>
              <w:rPr>
                <w:rFonts w:ascii="Calibri" w:hAnsi="Calibri"/>
                <w:color w:val="000000"/>
                <w:sz w:val="17"/>
              </w:rPr>
              <w:t>Λ</w:t>
            </w:r>
          </w:p>
        </w:tc>
        <w:tc>
          <w:tcPr>
            <w:tcW w:type="dxa" w:w="7460"/>
            <w:vAlign w:val="center"/>
          </w:tcPr>
          <w:p>
            <w:pPr>
              <w:spacing w:after="0" w:line="245" w:lineRule="auto"/>
            </w:pPr>
            <w:r>
              <w:rPr>
                <w:rFonts w:ascii="Calibri" w:hAnsi="Calibri"/>
                <w:color w:val="000000"/>
                <w:sz w:val="17"/>
              </w:rPr>
              <w:t>Gaps invariants à 2,2×10⁻¹⁶ sous T↦cT.</w:t>
            </w:r>
          </w:p>
        </w:tc>
      </w:tr>
    </w:tbl>
    <w:p>
      <w:pPr>
        <w:keepLines w:val="0"/>
        <w:spacing w:before="0" w:after="12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5F6B78"/>
          <w:sz w:val="18"/>
        </w:rPr>
        <w:t>Script : work/verify_blob_toe_beta1.py. Le certificat teste l’algèbre; il affiche explicitement qu’aucune porte de continuum, de phénoménologie ou d’expérience n’est auto-promue.</w:t>
      </w:r>
    </w:p>
    <w:p>
      <w:pPr>
        <w:pStyle w:val="Heading1"/>
        <w:keepNext/>
      </w:pPr>
      <w:r>
        <w:t>PARTIE III — Théorèmes-ponts et cascade unique G0–G6</w:t>
      </w:r>
    </w:p>
    <w:p>
      <w:pPr>
        <w:pStyle w:val="Heading2"/>
        <w:keepNext/>
      </w:pPr>
      <w:r>
        <w:t>16. Théorème BARKER–UNICITÉ</w:t>
      </w:r>
    </w:p>
    <w:p>
      <w:pPr>
        <w:keepLines w:val="0"/>
        <w:spacing w:before="0" w:after="120" w:line="264" w:lineRule="auto"/>
        <w:jc w:val="left"/>
      </w:pPr>
      <w:r>
        <w:rPr>
          <w:rFonts w:ascii="Calibri" w:hAnsi="Calibri"/>
          <w:b w:val="0"/>
          <w:i w:val="0"/>
          <w:color w:val="000000"/>
          <w:sz w:val="22"/>
        </w:rPr>
        <w:t>Soit r=π_y/π_x et a(r) une acceptation qui ne dépend que de ce rapport. La balance détaillée impose a(r)=r a(1/r). Ajoutons la complémentarité a(r)+a(1/r)=1 : une proposition et son renversement se partagent exactement l’acceptation totale. Le système linéaire a une solution unique.</w:t>
      </w:r>
    </w:p>
    <w:p>
      <w:pPr>
        <w:keepLines/>
        <w:spacing w:before="60" w:after="140" w:line="240" w:lineRule="auto"/>
        <w:jc w:val="center"/>
      </w:pPr>
      <w:r>
        <w:rPr>
          <w:rFonts w:ascii="Cambria Math" w:hAnsi="Cambria Math"/>
          <w:color w:val="0B2545"/>
          <w:sz w:val="22"/>
        </w:rPr>
        <w:t>a(r)=r a(1/r),  a(r)+a(1/r)=1  ⇔  a(r)=r/(1+r).                         (26)</w:t>
      </w:r>
    </w:p>
    <w:p>
      <w:pPr>
        <w:keepLines w:val="0"/>
        <w:spacing w:before="0" w:after="120" w:line="264" w:lineRule="auto"/>
        <w:jc w:val="left"/>
      </w:pPr>
      <w:r>
        <w:rPr>
          <w:rFonts w:ascii="Calibri" w:hAnsi="Calibri"/>
          <w:b w:val="0"/>
          <w:i w:val="0"/>
          <w:color w:val="000000"/>
          <w:sz w:val="22"/>
        </w:rPr>
        <w:t>Ainsi la règle de Barker est canonique relativement à trois données déclarées : π, l’horloge symétrique κ et la complémentarité. Elle ne dérive toujours ni κ ni son unité globale. Ce théorème remplace le terme trop vague « maximum d’entropie » par une caractérisation algébrique nécessaire et suffisante.</w:t>
      </w:r>
    </w:p>
    <w:p>
      <w:pPr>
        <w:pStyle w:val="Heading2"/>
        <w:keepNext/>
      </w:pPr>
      <w:r>
        <w:t>17. Théorème GAUSS–GRAM</w:t>
      </w:r>
    </w:p>
    <w:p>
      <w:pPr>
        <w:keepLines w:val="0"/>
        <w:spacing w:before="0" w:after="120" w:line="264" w:lineRule="auto"/>
        <w:jc w:val="left"/>
      </w:pPr>
      <w:r>
        <w:rPr>
          <w:rFonts w:ascii="Calibri" w:hAnsi="Calibri"/>
          <w:b w:val="0"/>
          <w:i w:val="0"/>
          <w:color w:val="000000"/>
          <w:sz w:val="22"/>
        </w:rPr>
        <w:t>Soit P_G le projecteur orthogonal sur les états satisfaisant Gauss et H≥0 un Hamiltonien au cutoff. Même avant d’utiliser [P_G,H]=0,</w:t>
      </w:r>
    </w:p>
    <w:p>
      <w:pPr>
        <w:keepLines/>
        <w:spacing w:before="60" w:after="140" w:line="240" w:lineRule="auto"/>
        <w:jc w:val="center"/>
      </w:pPr>
      <w:r>
        <w:rPr>
          <w:rFonts w:ascii="Cambria Math" w:hAnsi="Cambria Math"/>
          <w:color w:val="0B2545"/>
          <w:sz w:val="22"/>
        </w:rPr>
        <w:t>T_G=P_Ge^(−a_tH)P_G=(e^(−a_tH/2)P_G)†(e^(−a_tH/2)P_G)≥0.                (27)</w:t>
      </w:r>
    </w:p>
    <w:p>
      <w:pPr>
        <w:keepLines w:val="0"/>
        <w:spacing w:before="0" w:after="120" w:line="264" w:lineRule="auto"/>
        <w:jc w:val="left"/>
      </w:pPr>
      <w:r>
        <w:rPr>
          <w:rFonts w:ascii="Calibri" w:hAnsi="Calibri"/>
          <w:b w:val="0"/>
          <w:i w:val="0"/>
          <w:color w:val="000000"/>
          <w:sz w:val="22"/>
        </w:rPr>
        <w:t>La projection de jauge ne peut donc pas détruire la positivité du transfert. La commutation [P_G,H]=0 reste requise pour que l’espace physique soit invariant sous l’évolution, et devient un test local de chaque canal W_xy. Ce résultat ferme la compatibilité algébrique RP–Gauss au cutoff; il ne construit pas la mesure chirale.</w:t>
      </w:r>
    </w:p>
    <w:p>
      <w:pPr>
        <w:pStyle w:val="Heading2"/>
        <w:keepNext/>
      </w:pPr>
      <w:r>
        <w:t>18. Théorème RP–LIMITE et pont de Mosco</w:t>
      </w:r>
    </w:p>
    <w:p>
      <w:pPr>
        <w:keepLines w:val="0"/>
        <w:spacing w:before="0" w:after="120" w:line="264" w:lineRule="auto"/>
        <w:jc w:val="left"/>
      </w:pPr>
      <w:r>
        <w:rPr>
          <w:rFonts w:ascii="Calibri" w:hAnsi="Calibri"/>
          <w:b w:val="0"/>
          <w:i w:val="0"/>
          <w:color w:val="000000"/>
          <w:sz w:val="22"/>
        </w:rPr>
        <w:t>Considérons une suite de cutoffs Λ_n et des fonctions de Schwinger S_n. Pour toute famille finie de cylindres positifs F_i et coefficients c_i, la forme OS est un nombre réel non négatif. Si les corrélateurs convergent sur ce noyau dense, le cône positif est fermé :</w:t>
      </w:r>
    </w:p>
    <w:p>
      <w:pPr>
        <w:keepLines/>
        <w:spacing w:before="60" w:after="140" w:line="240" w:lineRule="auto"/>
        <w:jc w:val="center"/>
      </w:pPr>
      <w:r>
        <w:rPr>
          <w:rFonts w:ascii="Cambria Math" w:hAnsi="Cambria Math"/>
          <w:color w:val="0B2545"/>
          <w:sz w:val="22"/>
        </w:rPr>
        <w:t>Q_n=Σ_ij c_i* c_j S_n(θF_i F_j)≥0,  Q_n→Q  ⇒  Q≥0.                    (28)</w:t>
      </w:r>
    </w:p>
    <w:p>
      <w:pPr>
        <w:keepLines w:val="0"/>
        <w:spacing w:before="0" w:after="120" w:line="264" w:lineRule="auto"/>
        <w:jc w:val="left"/>
      </w:pPr>
      <w:r>
        <w:rPr>
          <w:rFonts w:ascii="Calibri" w:hAnsi="Calibri"/>
          <w:b w:val="0"/>
          <w:i w:val="0"/>
          <w:color w:val="000000"/>
          <w:sz w:val="22"/>
        </w:rPr>
        <w:t>La réflexion-positivité survit donc automatiquement à toute limite de corrélateurs qui existe. L’existence de cette limite est le vrai verrou. Pour les Hamiltoniens sur des espaces variables, la condition opératoire adoptée est la convergence généralisée de Mosco des formes q_n :</w:t>
      </w:r>
    </w:p>
    <w:p>
      <w:pPr>
        <w:keepLines/>
        <w:spacing w:before="60" w:after="140" w:line="240" w:lineRule="auto"/>
        <w:jc w:val="center"/>
      </w:pPr>
      <w:r>
        <w:rPr>
          <w:rFonts w:ascii="Cambria Math" w:hAnsi="Cambria Math"/>
          <w:color w:val="0B2545"/>
          <w:sz w:val="22"/>
        </w:rPr>
        <w:t>u_n⇀u ⇒ liminf q_n[u_n]≥q[u];   ∀u ∃u_n→u : limsup q_n[u_n]≤q[u].       (29)</w:t>
      </w:r>
    </w:p>
    <w:p>
      <w:pPr>
        <w:keepLines w:val="0"/>
        <w:spacing w:before="0" w:after="120" w:line="264" w:lineRule="auto"/>
        <w:jc w:val="left"/>
      </w:pPr>
      <w:r>
        <w:rPr>
          <w:rFonts w:ascii="Calibri" w:hAnsi="Calibri"/>
          <w:b w:val="0"/>
          <w:i w:val="0"/>
          <w:color w:val="000000"/>
          <w:sz w:val="22"/>
        </w:rPr>
        <w:t>Sous les identifications d’échelles J_n, (29) donne la convergence forte des résolvantes et semi-groupes. Si, en plus, les limites satisfont covariance euclidienne, symétrie, régularité et cluster, la reconstruction Osterwalder–Schrader produit une théorie lorentzienne unitaire. β1.1 transforme ainsi G1 en deux obligations séparées : MOSCO et OS-RESTORE. Aucune des deux n’est supposée passée.</w:t>
      </w:r>
    </w:p>
    <w:p>
      <w:pPr>
        <w:pStyle w:val="Heading2"/>
        <w:keepNext/>
      </w:pPr>
      <w:r>
        <w:t>19. Théorème de contrôle LR uniforme</w:t>
      </w:r>
    </w:p>
    <w:p>
      <w:pPr>
        <w:keepLines w:val="0"/>
        <w:spacing w:before="0" w:after="120" w:line="264" w:lineRule="auto"/>
        <w:jc w:val="left"/>
      </w:pPr>
      <w:r>
        <w:rPr>
          <w:rFonts w:ascii="Calibri" w:hAnsi="Calibri"/>
          <w:b w:val="0"/>
          <w:i w:val="0"/>
          <w:color w:val="000000"/>
          <w:sz w:val="22"/>
        </w:rPr>
        <w:t>Écrivons H_n=Σ_X Φ_n(X) sur le graphe spatial du cutoff. Une condition suffisante standard pour un cône de Lieb–Robinson uniforme est l’existence de a&gt;0 et C&lt;∞ indépendants de n tels que</w:t>
      </w:r>
    </w:p>
    <w:p>
      <w:pPr>
        <w:keepLines/>
        <w:spacing w:before="60" w:after="140" w:line="240" w:lineRule="auto"/>
        <w:jc w:val="center"/>
      </w:pPr>
      <w:r>
        <w:rPr>
          <w:rFonts w:ascii="Cambria Math" w:hAnsi="Cambria Math"/>
          <w:color w:val="0B2545"/>
          <w:sz w:val="22"/>
        </w:rPr>
        <w:t>sup_n sup_v Σ_{X∋v}|X| ||Φ_n(X)|| exp[a diam(X)] ≤ C.                    (30)</w:t>
      </w:r>
    </w:p>
    <w:p>
      <w:pPr>
        <w:keepLines w:val="0"/>
        <w:spacing w:before="0" w:after="120" w:line="264" w:lineRule="auto"/>
        <w:jc w:val="left"/>
      </w:pPr>
      <w:r>
        <w:rPr>
          <w:rFonts w:ascii="Calibri" w:hAnsi="Calibri"/>
          <w:b w:val="0"/>
          <w:i w:val="0"/>
          <w:color w:val="000000"/>
          <w:sz w:val="22"/>
        </w:rPr>
        <w:t>Avec n_max fini et fibres tronquées, C est fini. Mais si chaque arête incidente porte un terme de norme J, la borne élémentaire croît au moins comme n_max J. La localité à chaque cutoff n’implique donc pas un cône causal uniforme lorsque n_max→∞. G1/G2 doivent démontrer soit une borne de coordination uniforme dans la mesure physique, soit une suppression des normes qui compense les hauts degrés. C’est un nouveau veto : une vitesse LR qui diverge interdit l’identification à une causalité finie.</w:t>
      </w:r>
    </w:p>
    <w:p>
      <w:pPr>
        <w:pStyle w:val="Heading2"/>
        <w:keepNext/>
      </w:pPr>
      <w:r>
        <w:t>20. Certificat SM–1LOOP : l’unification nue échoue</w:t>
      </w:r>
    </w:p>
    <w:p>
      <w:pPr>
        <w:keepLines w:val="0"/>
        <w:spacing w:before="0" w:after="120" w:line="264" w:lineRule="auto"/>
        <w:jc w:val="left"/>
      </w:pPr>
      <w:r>
        <w:rPr>
          <w:rFonts w:ascii="Calibri" w:hAnsi="Calibri"/>
          <w:b w:val="0"/>
          <w:i w:val="0"/>
          <w:color w:val="000000"/>
          <w:sz w:val="22"/>
        </w:rPr>
        <w:t>Avec la normalisation k_Y=5/3, les entrées illustratives déclarées α_em⁻¹(M_Z)=127,955, sin²θ_W=0,23122 et α_s=0,1179 donnent α_i⁻¹=(59,0215;29,5858;8,4818). Pour le SM à un doublet de Higgs, b_i=(41/10,−19/6,−7) et</w:t>
      </w:r>
    </w:p>
    <w:p>
      <w:pPr>
        <w:keepLines/>
        <w:spacing w:before="60" w:after="140" w:line="240" w:lineRule="auto"/>
        <w:jc w:val="center"/>
      </w:pPr>
      <w:r>
        <w:rPr>
          <w:rFonts w:ascii="Cambria Math" w:hAnsi="Cambria Math"/>
          <w:color w:val="0B2545"/>
          <w:sz w:val="22"/>
        </w:rPr>
        <w:t>α_i⁻¹(μ)=α_i⁻¹(M_Z)−b_i(2π)⁻¹ log(μ/M_Z).                               (31)</w:t>
      </w:r>
    </w:p>
    <w:tbl>
      <w:tblPr>
        <w:tblStyle w:val="TableGrid"/>
        <w:tblW w:type="dxa" w:w="9360"/>
        <w:tblLayout w:type="fixed"/>
        <w:tblLook w:firstColumn="1" w:firstRow="1" w:lastColumn="0" w:lastRow="0" w:noHBand="0" w:noVBand="1" w:val="04A0"/>
        <w:jc w:val="left"/>
        <w:tblInd w:w="120" w:type="dxa"/>
      </w:tblPr>
      <w:tblGrid>
        <w:gridCol w:w="1750"/>
        <w:gridCol w:w="2700"/>
        <w:gridCol w:w="4910"/>
      </w:tblGrid>
      <w:tr>
        <w:trPr>
          <w:tblHeader w:val="true"/>
          <w:cantSplit/>
          <w:tblHeader w:val="true"/>
        </w:trPr>
        <w:tc>
          <w:tcPr>
            <w:tcW w:type="dxa" w:w="1750"/>
            <w:tcMar>
              <w:top w:w="80" w:type="dxa"/>
              <w:start w:w="120" w:type="dxa"/>
              <w:bottom w:w="80" w:type="dxa"/>
              <w:end w:w="120" w:type="dxa"/>
            </w:tcMar>
            <w:vAlign w:val="center"/>
            <w:shd w:fill="E8EEF5"/>
          </w:tcPr>
          <w:p>
            <w:pPr>
              <w:spacing w:after="0" w:line="240" w:lineRule="auto"/>
            </w:pPr>
            <w:r>
              <w:rPr>
                <w:rFonts w:ascii="Calibri" w:hAnsi="Calibri"/>
                <w:b/>
                <w:color w:val="0B2545"/>
                <w:sz w:val="17"/>
              </w:rPr>
              <w:t>Croisement</w:t>
            </w:r>
          </w:p>
        </w:tc>
        <w:tc>
          <w:tcPr>
            <w:tcW w:type="dxa" w:w="2700"/>
            <w:tcMar>
              <w:top w:w="80" w:type="dxa"/>
              <w:start w:w="120" w:type="dxa"/>
              <w:bottom w:w="80" w:type="dxa"/>
              <w:end w:w="120" w:type="dxa"/>
            </w:tcMar>
            <w:vAlign w:val="center"/>
            <w:shd w:fill="E8EEF5"/>
          </w:tcPr>
          <w:p>
            <w:pPr>
              <w:spacing w:after="0" w:line="240" w:lineRule="auto"/>
            </w:pPr>
            <w:r>
              <w:rPr>
                <w:rFonts w:ascii="Calibri" w:hAnsi="Calibri"/>
                <w:b/>
                <w:color w:val="0B2545"/>
                <w:sz w:val="17"/>
              </w:rPr>
              <w:t>Échelle conditionnelle</w:t>
            </w:r>
          </w:p>
        </w:tc>
        <w:tc>
          <w:tcPr>
            <w:tcW w:type="dxa" w:w="4910"/>
            <w:tcMar>
              <w:top w:w="80" w:type="dxa"/>
              <w:start w:w="120" w:type="dxa"/>
              <w:bottom w:w="80" w:type="dxa"/>
              <w:end w:w="120" w:type="dxa"/>
            </w:tcMar>
            <w:vAlign w:val="center"/>
            <w:shd w:fill="E8EEF5"/>
          </w:tcPr>
          <w:p>
            <w:pPr>
              <w:spacing w:after="0" w:line="240" w:lineRule="auto"/>
            </w:pPr>
            <w:r>
              <w:rPr>
                <w:rFonts w:ascii="Calibri" w:hAnsi="Calibri"/>
                <w:b/>
                <w:color w:val="0B2545"/>
                <w:sz w:val="17"/>
              </w:rPr>
              <w:t>Lecture</w:t>
            </w:r>
          </w:p>
        </w:tc>
      </w:tr>
      <w:tr>
        <w:trPr>
          <w:cantSplit/>
        </w:trPr>
        <w:tc>
          <w:tcPr>
            <w:tcW w:type="dxa" w:w="1750"/>
            <w:vAlign w:val="center"/>
          </w:tcPr>
          <w:p>
            <w:pPr>
              <w:spacing w:after="0" w:line="245" w:lineRule="auto"/>
            </w:pPr>
            <w:r>
              <w:rPr>
                <w:rFonts w:ascii="Calibri" w:hAnsi="Calibri"/>
                <w:color w:val="000000"/>
                <w:sz w:val="17"/>
              </w:rPr>
              <w:t>α₁=α₂</w:t>
            </w:r>
          </w:p>
        </w:tc>
        <w:tc>
          <w:tcPr>
            <w:tcW w:type="dxa" w:w="2700"/>
            <w:vAlign w:val="center"/>
          </w:tcPr>
          <w:p>
            <w:pPr>
              <w:spacing w:after="0" w:line="245" w:lineRule="auto"/>
            </w:pPr>
            <w:r>
              <w:rPr>
                <w:rFonts w:ascii="Calibri" w:hAnsi="Calibri"/>
                <w:color w:val="000000"/>
                <w:sz w:val="17"/>
              </w:rPr>
              <w:t>1,03×10¹³ GeV</w:t>
            </w:r>
          </w:p>
        </w:tc>
        <w:tc>
          <w:tcPr>
            <w:tcW w:type="dxa" w:w="4910"/>
            <w:vAlign w:val="center"/>
          </w:tcPr>
          <w:p>
            <w:pPr>
              <w:spacing w:after="0" w:line="245" w:lineRule="auto"/>
            </w:pPr>
            <w:r>
              <w:rPr>
                <w:rFonts w:ascii="Calibri" w:hAnsi="Calibri"/>
                <w:color w:val="000000"/>
                <w:sz w:val="17"/>
              </w:rPr>
              <w:t>Pas le même point que les deux autres.</w:t>
            </w:r>
          </w:p>
        </w:tc>
      </w:tr>
      <w:tr>
        <w:trPr>
          <w:cantSplit/>
        </w:trPr>
        <w:tc>
          <w:tcPr>
            <w:tcW w:type="dxa" w:w="1750"/>
            <w:vAlign w:val="center"/>
          </w:tcPr>
          <w:p>
            <w:pPr>
              <w:spacing w:after="0" w:line="245" w:lineRule="auto"/>
            </w:pPr>
            <w:r>
              <w:rPr>
                <w:rFonts w:ascii="Calibri" w:hAnsi="Calibri"/>
                <w:color w:val="000000"/>
                <w:sz w:val="17"/>
              </w:rPr>
              <w:t>α₁=α₃</w:t>
            </w:r>
          </w:p>
        </w:tc>
        <w:tc>
          <w:tcPr>
            <w:tcW w:type="dxa" w:w="2700"/>
            <w:vAlign w:val="center"/>
          </w:tcPr>
          <w:p>
            <w:pPr>
              <w:spacing w:after="0" w:line="245" w:lineRule="auto"/>
            </w:pPr>
            <w:r>
              <w:rPr>
                <w:rFonts w:ascii="Calibri" w:hAnsi="Calibri"/>
                <w:color w:val="000000"/>
                <w:sz w:val="17"/>
              </w:rPr>
              <w:t>2,42×10¹⁴ GeV</w:t>
            </w:r>
          </w:p>
        </w:tc>
        <w:tc>
          <w:tcPr>
            <w:tcW w:type="dxa" w:w="4910"/>
            <w:vAlign w:val="center"/>
          </w:tcPr>
          <w:p>
            <w:pPr>
              <w:spacing w:after="0" w:line="245" w:lineRule="auto"/>
            </w:pPr>
            <w:r>
              <w:rPr>
                <w:rFonts w:ascii="Calibri" w:hAnsi="Calibri"/>
                <w:color w:val="000000"/>
                <w:sz w:val="17"/>
              </w:rPr>
              <w:t>Séparé de plus d’un ordre de grandeur.</w:t>
            </w:r>
          </w:p>
        </w:tc>
      </w:tr>
      <w:tr>
        <w:trPr>
          <w:cantSplit/>
        </w:trPr>
        <w:tc>
          <w:tcPr>
            <w:tcW w:type="dxa" w:w="1750"/>
            <w:vAlign w:val="center"/>
          </w:tcPr>
          <w:p>
            <w:pPr>
              <w:spacing w:after="0" w:line="245" w:lineRule="auto"/>
            </w:pPr>
            <w:r>
              <w:rPr>
                <w:rFonts w:ascii="Calibri" w:hAnsi="Calibri"/>
                <w:color w:val="000000"/>
                <w:sz w:val="17"/>
              </w:rPr>
              <w:t>α₂=α₃</w:t>
            </w:r>
          </w:p>
        </w:tc>
        <w:tc>
          <w:tcPr>
            <w:tcW w:type="dxa" w:w="2700"/>
            <w:vAlign w:val="center"/>
          </w:tcPr>
          <w:p>
            <w:pPr>
              <w:spacing w:after="0" w:line="245" w:lineRule="auto"/>
            </w:pPr>
            <w:r>
              <w:rPr>
                <w:rFonts w:ascii="Calibri" w:hAnsi="Calibri"/>
                <w:color w:val="000000"/>
                <w:sz w:val="17"/>
              </w:rPr>
              <w:t>9,61×10¹⁶ GeV</w:t>
            </w:r>
          </w:p>
        </w:tc>
        <w:tc>
          <w:tcPr>
            <w:tcW w:type="dxa" w:w="4910"/>
            <w:vAlign w:val="center"/>
          </w:tcPr>
          <w:p>
            <w:pPr>
              <w:spacing w:after="0" w:line="245" w:lineRule="auto"/>
            </w:pPr>
            <w:r>
              <w:rPr>
                <w:rFonts w:ascii="Calibri" w:hAnsi="Calibri"/>
                <w:color w:val="000000"/>
                <w:sz w:val="17"/>
              </w:rPr>
              <w:t>Séparé de près de quatre décades du premier.</w:t>
            </w:r>
          </w:p>
        </w:tc>
      </w:tr>
    </w:tbl>
    <w:p>
      <w:pPr>
        <w:keepLines w:val="0"/>
        <w:spacing w:before="0" w:after="12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Il n’existe donc pas de triple croisement à une boucle avec le seul spectre SM. Spin(10) ne ferme G4 qu’avec une échelle intermédiaire, des seuils et un potentiel de brisure calculés. Les croissements ci-dessus ne sont pas des prédictions β1.1 : ils prouvent que « mettre Spin(10) » ne suffit pas à produire l’unification observée.</w:t>
      </w:r>
    </w:p>
    <w:p>
      <w:pPr>
        <w:pStyle w:val="Heading2"/>
        <w:keepNext/>
      </w:pPr>
      <w:r>
        <w:t>21. Triangle de Hořava : trois propriétés à réunir</w:t>
      </w:r>
    </w:p>
    <w:tbl>
      <w:tblPr>
        <w:tblStyle w:val="TableGrid"/>
        <w:tblW w:type="dxa" w:w="9360"/>
        <w:tblLayout w:type="fixed"/>
        <w:tblLook w:firstColumn="1" w:firstRow="1" w:lastColumn="0" w:lastRow="0" w:noHBand="0" w:noVBand="1" w:val="04A0"/>
        <w:jc w:val="left"/>
        <w:tblInd w:w="120" w:type="dxa"/>
      </w:tblPr>
      <w:tblGrid>
        <w:gridCol w:w="1700"/>
        <w:gridCol w:w="3890"/>
        <w:gridCol w:w="377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7"/>
              </w:rPr>
              <w:t>Sommet</w:t>
            </w:r>
          </w:p>
        </w:tc>
        <w:tc>
          <w:tcPr>
            <w:tcW w:type="dxa" w:w="3890"/>
            <w:tcMar>
              <w:top w:w="80" w:type="dxa"/>
              <w:start w:w="120" w:type="dxa"/>
              <w:bottom w:w="80" w:type="dxa"/>
              <w:end w:w="120" w:type="dxa"/>
            </w:tcMar>
            <w:vAlign w:val="center"/>
            <w:shd w:fill="E8EEF5"/>
          </w:tcPr>
          <w:p>
            <w:pPr>
              <w:spacing w:after="0" w:line="240" w:lineRule="auto"/>
            </w:pPr>
            <w:r>
              <w:rPr>
                <w:rFonts w:ascii="Calibri" w:hAnsi="Calibri"/>
                <w:b/>
                <w:color w:val="0B2545"/>
                <w:sz w:val="17"/>
              </w:rPr>
              <w:t>Résultat parallèle disponible</w:t>
            </w:r>
          </w:p>
        </w:tc>
        <w:tc>
          <w:tcPr>
            <w:tcW w:type="dxa" w:w="3770"/>
            <w:tcMar>
              <w:top w:w="80" w:type="dxa"/>
              <w:start w:w="120" w:type="dxa"/>
              <w:bottom w:w="80" w:type="dxa"/>
              <w:end w:w="120" w:type="dxa"/>
            </w:tcMar>
            <w:vAlign w:val="center"/>
            <w:shd w:fill="E8EEF5"/>
          </w:tcPr>
          <w:p>
            <w:pPr>
              <w:spacing w:after="0" w:line="240" w:lineRule="auto"/>
            </w:pPr>
            <w:r>
              <w:rPr>
                <w:rFonts w:ascii="Calibri" w:hAnsi="Calibri"/>
                <w:b/>
                <w:color w:val="0B2545"/>
                <w:sz w:val="17"/>
              </w:rPr>
              <w:t>Manque pour β1.1</w:t>
            </w:r>
          </w:p>
        </w:tc>
      </w:tr>
      <w:tr>
        <w:trPr>
          <w:cantSplit/>
        </w:trPr>
        <w:tc>
          <w:tcPr>
            <w:tcW w:type="dxa" w:w="1700"/>
            <w:vAlign w:val="center"/>
          </w:tcPr>
          <w:p>
            <w:pPr>
              <w:spacing w:after="0" w:line="245" w:lineRule="auto"/>
            </w:pPr>
            <w:r>
              <w:rPr>
                <w:rFonts w:ascii="Calibri" w:hAnsi="Calibri"/>
                <w:color w:val="000000"/>
                <w:sz w:val="17"/>
              </w:rPr>
              <w:t>UV</w:t>
            </w:r>
          </w:p>
        </w:tc>
        <w:tc>
          <w:tcPr>
            <w:tcW w:type="dxa" w:w="3890"/>
            <w:vAlign w:val="center"/>
          </w:tcPr>
          <w:p>
            <w:pPr>
              <w:spacing w:after="0" w:line="245" w:lineRule="auto"/>
            </w:pPr>
            <w:r>
              <w:rPr>
                <w:rFonts w:ascii="Calibri" w:hAnsi="Calibri"/>
                <w:color w:val="000000"/>
                <w:sz w:val="17"/>
              </w:rPr>
              <w:t>β-fonctions complètes et trajectoires asymptotiquement libres pour la théorie projectable 3+1.</w:t>
            </w:r>
          </w:p>
        </w:tc>
        <w:tc>
          <w:tcPr>
            <w:tcW w:type="dxa" w:w="3770"/>
            <w:vAlign w:val="center"/>
          </w:tcPr>
          <w:p>
            <w:pPr>
              <w:spacing w:after="0" w:line="245" w:lineRule="auto"/>
            </w:pPr>
            <w:r>
              <w:rPr>
                <w:rFonts w:ascii="Calibri" w:hAnsi="Calibri"/>
                <w:color w:val="000000"/>
                <w:sz w:val="17"/>
              </w:rPr>
              <w:t>Lien universel avec le blocage BLOB.</w:t>
            </w:r>
          </w:p>
        </w:tc>
      </w:tr>
      <w:tr>
        <w:trPr>
          <w:cantSplit/>
        </w:trPr>
        <w:tc>
          <w:tcPr>
            <w:tcW w:type="dxa" w:w="1700"/>
            <w:vAlign w:val="center"/>
          </w:tcPr>
          <w:p>
            <w:pPr>
              <w:spacing w:after="0" w:line="245" w:lineRule="auto"/>
            </w:pPr>
            <w:r>
              <w:rPr>
                <w:rFonts w:ascii="Calibri" w:hAnsi="Calibri"/>
                <w:color w:val="000000"/>
                <w:sz w:val="17"/>
              </w:rPr>
              <w:t>Degrés de liberté</w:t>
            </w:r>
          </w:p>
        </w:tc>
        <w:tc>
          <w:tcPr>
            <w:tcW w:type="dxa" w:w="3890"/>
            <w:vAlign w:val="center"/>
          </w:tcPr>
          <w:p>
            <w:pPr>
              <w:spacing w:after="0" w:line="245" w:lineRule="auto"/>
            </w:pPr>
            <w:r>
              <w:rPr>
                <w:rFonts w:ascii="Calibri" w:hAnsi="Calibri"/>
                <w:color w:val="000000"/>
                <w:sz w:val="17"/>
              </w:rPr>
              <w:t>L’extension U(1) élimine le scalaire au niveau classique.</w:t>
            </w:r>
          </w:p>
        </w:tc>
        <w:tc>
          <w:tcPr>
            <w:tcW w:type="dxa" w:w="3770"/>
            <w:vAlign w:val="center"/>
          </w:tcPr>
          <w:p>
            <w:pPr>
              <w:spacing w:after="0" w:line="245" w:lineRule="auto"/>
            </w:pPr>
            <w:r>
              <w:rPr>
                <w:rFonts w:ascii="Calibri" w:hAnsi="Calibri"/>
                <w:color w:val="000000"/>
                <w:sz w:val="17"/>
              </w:rPr>
              <w:t>Renormalisation quantique commune de cette extension.</w:t>
            </w:r>
          </w:p>
        </w:tc>
      </w:tr>
      <w:tr>
        <w:trPr>
          <w:cantSplit/>
        </w:trPr>
        <w:tc>
          <w:tcPr>
            <w:tcW w:type="dxa" w:w="1700"/>
            <w:vAlign w:val="center"/>
          </w:tcPr>
          <w:p>
            <w:pPr>
              <w:spacing w:after="0" w:line="245" w:lineRule="auto"/>
            </w:pPr>
            <w:r>
              <w:rPr>
                <w:rFonts w:ascii="Calibri" w:hAnsi="Calibri"/>
                <w:color w:val="000000"/>
                <w:sz w:val="17"/>
              </w:rPr>
              <w:t>IR + matière</w:t>
            </w:r>
          </w:p>
        </w:tc>
        <w:tc>
          <w:tcPr>
            <w:tcW w:type="dxa" w:w="3890"/>
            <w:vAlign w:val="center"/>
          </w:tcPr>
          <w:p>
            <w:pPr>
              <w:spacing w:after="0" w:line="245" w:lineRule="auto"/>
            </w:pPr>
            <w:r>
              <w:rPr>
                <w:rFonts w:ascii="Calibri" w:hAnsi="Calibri"/>
                <w:color w:val="000000"/>
                <w:sz w:val="17"/>
              </w:rPr>
              <w:t>Des trajectoires peuvent approcher λ=1; des contraintes de vitesse sont connues.</w:t>
            </w:r>
          </w:p>
        </w:tc>
        <w:tc>
          <w:tcPr>
            <w:tcW w:type="dxa" w:w="3770"/>
            <w:vAlign w:val="center"/>
          </w:tcPr>
          <w:p>
            <w:pPr>
              <w:spacing w:after="0" w:line="245" w:lineRule="auto"/>
            </w:pPr>
            <w:r>
              <w:rPr>
                <w:rFonts w:ascii="Calibri" w:hAnsi="Calibri"/>
                <w:color w:val="000000"/>
                <w:sz w:val="17"/>
              </w:rPr>
              <w:t>Une vitesse unique sans fine-tuning ni percolation Lorentz.</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Obligation d’intersection. </w:t>
            </w:r>
            <w:r>
              <w:rPr>
                <w:rFonts w:ascii="Calibri" w:hAnsi="Calibri"/>
                <w:color w:val="7A5A00"/>
                <w:sz w:val="22"/>
              </w:rPr>
              <w:t>Aucun résultat cité ne fournit simultanément, dans le même modèle 3+1 avec matière, renormalisabilité, absence du scalaire et restauration lorentzienne. β1.1 ne peut assembler ces trois articles comme si leurs hypothèses coïncidaient. Le PASS de G1/G2 exige leur intersection dans le flot propre du Blob.</w:t>
            </w:r>
          </w:p>
        </w:tc>
      </w:tr>
    </w:tbl>
    <w:p>
      <w:pPr>
        <w:keepLines w:val="0"/>
        <w:spacing w:before="0" w:after="40" w:line="264" w:lineRule="auto"/>
        <w:jc w:val="left"/>
      </w:pPr>
      <w:r>
        <w:rPr>
          <w:rFonts w:ascii="Calibri" w:hAnsi="Calibri"/>
          <w:b w:val="0"/>
          <w:i w:val="0"/>
          <w:color w:val="000000"/>
          <w:sz w:val="22"/>
        </w:rPr>
      </w:r>
    </w:p>
    <w:p>
      <w:pPr>
        <w:pStyle w:val="Heading2"/>
        <w:keepNext/>
      </w:pPr>
      <w:r>
        <w:t>22. Théorème conditionnel de réduction des sept portes</w:t>
      </w:r>
    </w:p>
    <w:p>
      <w:pPr>
        <w:keepLines w:val="0"/>
        <w:spacing w:before="0" w:after="120" w:line="264" w:lineRule="auto"/>
        <w:jc w:val="left"/>
      </w:pPr>
      <w:r>
        <w:rPr>
          <w:rFonts w:ascii="Calibri" w:hAnsi="Calibri"/>
          <w:b w:val="0"/>
          <w:i w:val="0"/>
          <w:color w:val="000000"/>
          <w:sz w:val="22"/>
        </w:rPr>
        <w:t>Le résultat le plus fort possible avant les calculs physiques est une implication, non une proclamation. Soit une suite β1.1(Λ_n) satisfaisant les sept hypothèses vérifiables suivantes :</w:t>
      </w:r>
    </w:p>
    <w:tbl>
      <w:tblPr>
        <w:tblStyle w:val="TableGrid"/>
        <w:tblW w:type="dxa" w:w="9360"/>
        <w:tblLayout w:type="fixed"/>
        <w:tblLook w:firstColumn="1" w:firstRow="1" w:lastColumn="0" w:lastRow="0" w:noHBand="0" w:noVBand="1" w:val="04A0"/>
        <w:jc w:val="left"/>
        <w:tblInd w:w="120" w:type="dxa"/>
      </w:tblPr>
      <w:tblGrid>
        <w:gridCol w:w="750"/>
        <w:gridCol w:w="1300"/>
        <w:gridCol w:w="7310"/>
      </w:tblGrid>
      <w:tr>
        <w:trPr>
          <w:tblHeader w:val="true"/>
          <w:cantSplit/>
          <w:tblHeader w:val="true"/>
        </w:trPr>
        <w:tc>
          <w:tcPr>
            <w:tcW w:type="dxa" w:w="750"/>
            <w:tcMar>
              <w:top w:w="80" w:type="dxa"/>
              <w:start w:w="120" w:type="dxa"/>
              <w:bottom w:w="80" w:type="dxa"/>
              <w:end w:w="120" w:type="dxa"/>
            </w:tcMar>
            <w:vAlign w:val="center"/>
            <w:shd w:fill="E8EEF5"/>
          </w:tcPr>
          <w:p>
            <w:pPr>
              <w:spacing w:after="0" w:line="240" w:lineRule="auto"/>
            </w:pPr>
            <w:r>
              <w:rPr>
                <w:rFonts w:ascii="Calibri" w:hAnsi="Calibri"/>
                <w:b/>
                <w:color w:val="0B2545"/>
                <w:sz w:val="16"/>
              </w:rPr>
              <w:t>Hyp.</w:t>
            </w:r>
          </w:p>
        </w:tc>
        <w:tc>
          <w:tcPr>
            <w:tcW w:type="dxa" w:w="1300"/>
            <w:tcMar>
              <w:top w:w="80" w:type="dxa"/>
              <w:start w:w="120" w:type="dxa"/>
              <w:bottom w:w="80" w:type="dxa"/>
              <w:end w:w="120" w:type="dxa"/>
            </w:tcMar>
            <w:vAlign w:val="center"/>
            <w:shd w:fill="E8EEF5"/>
          </w:tcPr>
          <w:p>
            <w:pPr>
              <w:spacing w:after="0" w:line="240" w:lineRule="auto"/>
            </w:pPr>
            <w:r>
              <w:rPr>
                <w:rFonts w:ascii="Calibri" w:hAnsi="Calibri"/>
                <w:b/>
                <w:color w:val="0B2545"/>
                <w:sz w:val="16"/>
              </w:rPr>
              <w:t>Nom</w:t>
            </w:r>
          </w:p>
        </w:tc>
        <w:tc>
          <w:tcPr>
            <w:tcW w:type="dxa" w:w="7310"/>
            <w:tcMar>
              <w:top w:w="80" w:type="dxa"/>
              <w:start w:w="120" w:type="dxa"/>
              <w:bottom w:w="80" w:type="dxa"/>
              <w:end w:w="120" w:type="dxa"/>
            </w:tcMar>
            <w:vAlign w:val="center"/>
            <w:shd w:fill="E8EEF5"/>
          </w:tcPr>
          <w:p>
            <w:pPr>
              <w:spacing w:after="0" w:line="240" w:lineRule="auto"/>
            </w:pPr>
            <w:r>
              <w:rPr>
                <w:rFonts w:ascii="Calibri" w:hAnsi="Calibri"/>
                <w:b/>
                <w:color w:val="0B2545"/>
                <w:sz w:val="16"/>
              </w:rPr>
              <w:t>Contenu</w:t>
            </w:r>
          </w:p>
        </w:tc>
      </w:tr>
      <w:tr>
        <w:trPr>
          <w:cantSplit/>
        </w:trPr>
        <w:tc>
          <w:tcPr>
            <w:tcW w:type="dxa" w:w="750"/>
            <w:vAlign w:val="center"/>
          </w:tcPr>
          <w:p>
            <w:pPr>
              <w:spacing w:after="0" w:line="245" w:lineRule="auto"/>
            </w:pPr>
            <w:r>
              <w:rPr>
                <w:rFonts w:ascii="Calibri" w:hAnsi="Calibri"/>
                <w:color w:val="000000"/>
                <w:sz w:val="16"/>
              </w:rPr>
              <w:t>U0</w:t>
            </w:r>
          </w:p>
        </w:tc>
        <w:tc>
          <w:tcPr>
            <w:tcW w:type="dxa" w:w="1300"/>
            <w:vAlign w:val="center"/>
          </w:tcPr>
          <w:p>
            <w:pPr>
              <w:spacing w:after="0" w:line="245" w:lineRule="auto"/>
            </w:pPr>
            <w:r>
              <w:rPr>
                <w:rFonts w:ascii="Calibri" w:hAnsi="Calibri"/>
                <w:color w:val="000000"/>
                <w:sz w:val="16"/>
              </w:rPr>
              <w:t>cohérence</w:t>
            </w:r>
          </w:p>
        </w:tc>
        <w:tc>
          <w:tcPr>
            <w:tcW w:type="dxa" w:w="7310"/>
            <w:vAlign w:val="center"/>
          </w:tcPr>
          <w:p>
            <w:pPr>
              <w:spacing w:after="0" w:line="245" w:lineRule="auto"/>
            </w:pPr>
            <w:r>
              <w:rPr>
                <w:rFonts w:ascii="Calibri" w:hAnsi="Calibri"/>
                <w:color w:val="000000"/>
                <w:sz w:val="16"/>
              </w:rPr>
              <w:t>inclusions/quotients compatibles et nombre fini de directions RG pertinentes;</w:t>
            </w:r>
          </w:p>
        </w:tc>
      </w:tr>
      <w:tr>
        <w:trPr>
          <w:cantSplit/>
        </w:trPr>
        <w:tc>
          <w:tcPr>
            <w:tcW w:type="dxa" w:w="750"/>
            <w:vAlign w:val="center"/>
          </w:tcPr>
          <w:p>
            <w:pPr>
              <w:spacing w:after="0" w:line="245" w:lineRule="auto"/>
            </w:pPr>
            <w:r>
              <w:rPr>
                <w:rFonts w:ascii="Calibri" w:hAnsi="Calibri"/>
                <w:color w:val="000000"/>
                <w:sz w:val="16"/>
              </w:rPr>
              <w:t>U1</w:t>
            </w:r>
          </w:p>
        </w:tc>
        <w:tc>
          <w:tcPr>
            <w:tcW w:type="dxa" w:w="1300"/>
            <w:vAlign w:val="center"/>
          </w:tcPr>
          <w:p>
            <w:pPr>
              <w:spacing w:after="0" w:line="245" w:lineRule="auto"/>
            </w:pPr>
            <w:r>
              <w:rPr>
                <w:rFonts w:ascii="Calibri" w:hAnsi="Calibri"/>
                <w:color w:val="000000"/>
                <w:sz w:val="16"/>
              </w:rPr>
              <w:t>continuum</w:t>
            </w:r>
          </w:p>
        </w:tc>
        <w:tc>
          <w:tcPr>
            <w:tcW w:type="dxa" w:w="7310"/>
            <w:vAlign w:val="center"/>
          </w:tcPr>
          <w:p>
            <w:pPr>
              <w:spacing w:after="0" w:line="245" w:lineRule="auto"/>
            </w:pPr>
            <w:r>
              <w:rPr>
                <w:rFonts w:ascii="Calibri" w:hAnsi="Calibri"/>
                <w:color w:val="000000"/>
                <w:sz w:val="16"/>
              </w:rPr>
              <w:t>Mosco, corrélateurs limites, axiomes OS et z_eff→1 avec cône commun;</w:t>
            </w:r>
          </w:p>
        </w:tc>
      </w:tr>
      <w:tr>
        <w:trPr>
          <w:cantSplit/>
        </w:trPr>
        <w:tc>
          <w:tcPr>
            <w:tcW w:type="dxa" w:w="750"/>
            <w:vAlign w:val="center"/>
          </w:tcPr>
          <w:p>
            <w:pPr>
              <w:spacing w:after="0" w:line="245" w:lineRule="auto"/>
            </w:pPr>
            <w:r>
              <w:rPr>
                <w:rFonts w:ascii="Calibri" w:hAnsi="Calibri"/>
                <w:color w:val="000000"/>
                <w:sz w:val="16"/>
              </w:rPr>
              <w:t>U2</w:t>
            </w:r>
          </w:p>
        </w:tc>
        <w:tc>
          <w:tcPr>
            <w:tcW w:type="dxa" w:w="1300"/>
            <w:vAlign w:val="center"/>
          </w:tcPr>
          <w:p>
            <w:pPr>
              <w:spacing w:after="0" w:line="245" w:lineRule="auto"/>
            </w:pPr>
            <w:r>
              <w:rPr>
                <w:rFonts w:ascii="Calibri" w:hAnsi="Calibri"/>
                <w:color w:val="000000"/>
                <w:sz w:val="16"/>
              </w:rPr>
              <w:t>gravité</w:t>
            </w:r>
          </w:p>
        </w:tc>
        <w:tc>
          <w:tcPr>
            <w:tcW w:type="dxa" w:w="7310"/>
            <w:vAlign w:val="center"/>
          </w:tcPr>
          <w:p>
            <w:pPr>
              <w:spacing w:after="0" w:line="245" w:lineRule="auto"/>
            </w:pPr>
            <w:r>
              <w:rPr>
                <w:rFonts w:ascii="Calibri" w:hAnsi="Calibri"/>
                <w:color w:val="000000"/>
                <w:sz w:val="16"/>
              </w:rPr>
              <w:t>mesure spectrale TT positive avec atome Zδ(m²), Z&gt;0, et aucun scalaire/ghost;</w:t>
            </w:r>
          </w:p>
        </w:tc>
      </w:tr>
      <w:tr>
        <w:trPr>
          <w:cantSplit/>
        </w:trPr>
        <w:tc>
          <w:tcPr>
            <w:tcW w:type="dxa" w:w="750"/>
            <w:vAlign w:val="center"/>
          </w:tcPr>
          <w:p>
            <w:pPr>
              <w:spacing w:after="0" w:line="245" w:lineRule="auto"/>
            </w:pPr>
            <w:r>
              <w:rPr>
                <w:rFonts w:ascii="Calibri" w:hAnsi="Calibri"/>
                <w:color w:val="000000"/>
                <w:sz w:val="16"/>
              </w:rPr>
              <w:t>U3</w:t>
            </w:r>
          </w:p>
        </w:tc>
        <w:tc>
          <w:tcPr>
            <w:tcW w:type="dxa" w:w="1300"/>
            <w:vAlign w:val="center"/>
          </w:tcPr>
          <w:p>
            <w:pPr>
              <w:spacing w:after="0" w:line="245" w:lineRule="auto"/>
            </w:pPr>
            <w:r>
              <w:rPr>
                <w:rFonts w:ascii="Calibri" w:hAnsi="Calibri"/>
                <w:color w:val="000000"/>
                <w:sz w:val="16"/>
              </w:rPr>
              <w:t>matière</w:t>
            </w:r>
          </w:p>
        </w:tc>
        <w:tc>
          <w:tcPr>
            <w:tcW w:type="dxa" w:w="7310"/>
            <w:vAlign w:val="center"/>
          </w:tcPr>
          <w:p>
            <w:pPr>
              <w:spacing w:after="0" w:line="245" w:lineRule="auto"/>
            </w:pPr>
            <w:r>
              <w:rPr>
                <w:rFonts w:ascii="Calibri" w:hAnsi="Calibri"/>
                <w:color w:val="000000"/>
                <w:sz w:val="16"/>
              </w:rPr>
              <w:t>régulateur chiral gauge-invariant, gap miroir uniforme et flot vers le SM à trois familles;</w:t>
            </w:r>
          </w:p>
        </w:tc>
      </w:tr>
      <w:tr>
        <w:trPr>
          <w:cantSplit/>
        </w:trPr>
        <w:tc>
          <w:tcPr>
            <w:tcW w:type="dxa" w:w="750"/>
            <w:vAlign w:val="center"/>
          </w:tcPr>
          <w:p>
            <w:pPr>
              <w:spacing w:after="0" w:line="245" w:lineRule="auto"/>
            </w:pPr>
            <w:r>
              <w:rPr>
                <w:rFonts w:ascii="Calibri" w:hAnsi="Calibri"/>
                <w:color w:val="000000"/>
                <w:sz w:val="16"/>
              </w:rPr>
              <w:t>U4</w:t>
            </w:r>
          </w:p>
        </w:tc>
        <w:tc>
          <w:tcPr>
            <w:tcW w:type="dxa" w:w="1300"/>
            <w:vAlign w:val="center"/>
          </w:tcPr>
          <w:p>
            <w:pPr>
              <w:spacing w:after="0" w:line="245" w:lineRule="auto"/>
            </w:pPr>
            <w:r>
              <w:rPr>
                <w:rFonts w:ascii="Calibri" w:hAnsi="Calibri"/>
                <w:color w:val="000000"/>
                <w:sz w:val="16"/>
              </w:rPr>
              <w:t>unification</w:t>
            </w:r>
          </w:p>
        </w:tc>
        <w:tc>
          <w:tcPr>
            <w:tcW w:type="dxa" w:w="7310"/>
            <w:vAlign w:val="center"/>
          </w:tcPr>
          <w:p>
            <w:pPr>
              <w:spacing w:after="0" w:line="245" w:lineRule="auto"/>
            </w:pPr>
            <w:r>
              <w:rPr>
                <w:rFonts w:ascii="Calibri" w:hAnsi="Calibri"/>
                <w:color w:val="000000"/>
                <w:sz w:val="16"/>
              </w:rPr>
              <w:t>point fixe commun gravité–Spin(10), matching et seuils calculés;</w:t>
            </w:r>
          </w:p>
        </w:tc>
      </w:tr>
      <w:tr>
        <w:trPr>
          <w:cantSplit/>
        </w:trPr>
        <w:tc>
          <w:tcPr>
            <w:tcW w:type="dxa" w:w="750"/>
            <w:vAlign w:val="center"/>
          </w:tcPr>
          <w:p>
            <w:pPr>
              <w:spacing w:after="0" w:line="245" w:lineRule="auto"/>
            </w:pPr>
            <w:r>
              <w:rPr>
                <w:rFonts w:ascii="Calibri" w:hAnsi="Calibri"/>
                <w:color w:val="000000"/>
                <w:sz w:val="16"/>
              </w:rPr>
              <w:t>U5</w:t>
            </w:r>
          </w:p>
        </w:tc>
        <w:tc>
          <w:tcPr>
            <w:tcW w:type="dxa" w:w="1300"/>
            <w:vAlign w:val="center"/>
          </w:tcPr>
          <w:p>
            <w:pPr>
              <w:spacing w:after="0" w:line="245" w:lineRule="auto"/>
            </w:pPr>
            <w:r>
              <w:rPr>
                <w:rFonts w:ascii="Calibri" w:hAnsi="Calibri"/>
                <w:color w:val="000000"/>
                <w:sz w:val="16"/>
              </w:rPr>
              <w:t>cosmologie</w:t>
            </w:r>
          </w:p>
        </w:tc>
        <w:tc>
          <w:tcPr>
            <w:tcW w:type="dxa" w:w="7310"/>
            <w:vAlign w:val="center"/>
          </w:tcPr>
          <w:p>
            <w:pPr>
              <w:spacing w:after="0" w:line="245" w:lineRule="auto"/>
            </w:pPr>
            <w:r>
              <w:rPr>
                <w:rFonts w:ascii="Calibri" w:hAnsi="Calibri"/>
                <w:color w:val="000000"/>
                <w:sz w:val="16"/>
              </w:rPr>
              <w:t>état cosmologique, Γ_FRW, perturbations, Λ_ren et histoire thermique issus du même flot;</w:t>
            </w:r>
          </w:p>
        </w:tc>
      </w:tr>
      <w:tr>
        <w:trPr>
          <w:cantSplit/>
        </w:trPr>
        <w:tc>
          <w:tcPr>
            <w:tcW w:type="dxa" w:w="750"/>
            <w:vAlign w:val="center"/>
          </w:tcPr>
          <w:p>
            <w:pPr>
              <w:spacing w:after="0" w:line="245" w:lineRule="auto"/>
            </w:pPr>
            <w:r>
              <w:rPr>
                <w:rFonts w:ascii="Calibri" w:hAnsi="Calibri"/>
                <w:color w:val="000000"/>
                <w:sz w:val="16"/>
              </w:rPr>
              <w:t>U6</w:t>
            </w:r>
          </w:p>
        </w:tc>
        <w:tc>
          <w:tcPr>
            <w:tcW w:type="dxa" w:w="1300"/>
            <w:vAlign w:val="center"/>
          </w:tcPr>
          <w:p>
            <w:pPr>
              <w:spacing w:after="0" w:line="245" w:lineRule="auto"/>
            </w:pPr>
            <w:r>
              <w:rPr>
                <w:rFonts w:ascii="Calibri" w:hAnsi="Calibri"/>
                <w:color w:val="000000"/>
                <w:sz w:val="16"/>
              </w:rPr>
              <w:t>empirie</w:t>
            </w:r>
          </w:p>
        </w:tc>
        <w:tc>
          <w:tcPr>
            <w:tcW w:type="dxa" w:w="7310"/>
            <w:vAlign w:val="center"/>
          </w:tcPr>
          <w:p>
            <w:pPr>
              <w:spacing w:after="0" w:line="245" w:lineRule="auto"/>
            </w:pPr>
            <w:r>
              <w:rPr>
                <w:rFonts w:ascii="Calibri" w:hAnsi="Calibri"/>
                <w:color w:val="000000"/>
                <w:sz w:val="16"/>
              </w:rPr>
              <w:t>au moins une prédiction non ajustée puis deux réplications indépendantes.</w:t>
            </w:r>
          </w:p>
        </w:tc>
      </w:tr>
    </w:tbl>
    <w:p>
      <w:pPr>
        <w:keepLines w:val="0"/>
        <w:spacing w:before="0" w:after="12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U0∧U1∧U2∧U3∧U4∧U5 ⇒ ToE_math/phys candidate;   +U6 ⇒ fermeture empirique. (32)</w:t>
      </w:r>
    </w:p>
    <w:p>
      <w:pPr>
        <w:keepLines w:val="0"/>
        <w:spacing w:before="0" w:after="120" w:line="264" w:lineRule="auto"/>
        <w:jc w:val="left"/>
      </w:pPr>
      <w:r>
        <w:rPr>
          <w:rFonts w:ascii="Calibri" w:hAnsi="Calibri"/>
          <w:b w:val="0"/>
          <w:i w:val="0"/>
          <w:color w:val="000000"/>
          <w:sz w:val="22"/>
        </w:rPr>
        <w:t>Preuve de l’implication. U0–U1 donnent un semi-groupe limite positif et, par OS, un espace de Hilbert lorentzien unitaire. U2 sélectionne un spin-2 sans masse à résidu positif; le théorème du graviton mou impose alors le couplage universel sous localité et factorisation. U3 fournit la matière chirale observée. U4 place jauges et gravité sur une même trajectoire UV à prédictivité finie. U5 choisit l’état de notre Univers et ses observables cosmologiques. U6 tranche extérieurement. La preuve est complète comme réduction logique; les prémisses U0–U6 restent les portes expérimentales et mathématiques à établir.</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Ce que cette passe ferme réellement. </w:t>
            </w:r>
            <w:r>
              <w:rPr>
                <w:rFonts w:ascii="Calibri" w:hAnsi="Calibri"/>
                <w:color w:val="0B2545"/>
                <w:sz w:val="22"/>
              </w:rPr>
              <w:t>Il n’existe plus de porte laissée sous forme de slogan. Chaque mot de « théorie du tout » est maintenant rattaché à une prémisse, une mesure, un PASS et un FAIL. Ce théorème ne vaut jamais comme preuve de ses prémisses.</w:t>
            </w:r>
          </w:p>
        </w:tc>
      </w:tr>
    </w:tbl>
    <w:p>
      <w:pPr>
        <w:keepLines w:val="0"/>
        <w:spacing w:before="0" w:after="40" w:line="264" w:lineRule="auto"/>
        <w:jc w:val="left"/>
      </w:pPr>
      <w:r>
        <w:rPr>
          <w:rFonts w:ascii="Calibri" w:hAnsi="Calibri"/>
          <w:b w:val="0"/>
          <w:i w:val="0"/>
          <w:color w:val="000000"/>
          <w:sz w:val="22"/>
        </w:rPr>
      </w:r>
    </w:p>
    <w:p>
      <w:pPr>
        <w:pStyle w:val="Heading2"/>
        <w:keepNext/>
      </w:pPr>
      <w:r>
        <w:t>23. Lecture rigoureuse du run N=1000 déjà obtenu</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blHeader w:val="true"/>
        </w:trPr>
        <w:tc>
          <w:tcPr>
            <w:tcW w:type="dxa" w:w="1800"/>
            <w:tcMar>
              <w:top w:w="80" w:type="dxa"/>
              <w:start w:w="120" w:type="dxa"/>
              <w:bottom w:w="80" w:type="dxa"/>
              <w:end w:w="120" w:type="dxa"/>
            </w:tcMar>
            <w:vAlign w:val="center"/>
            <w:shd w:fill="E8EEF5"/>
          </w:tcPr>
          <w:p>
            <w:pPr>
              <w:spacing w:after="0" w:line="240" w:lineRule="auto"/>
            </w:pPr>
            <w:r>
              <w:rPr>
                <w:rFonts w:ascii="Calibri" w:hAnsi="Calibri"/>
                <w:b/>
                <w:color w:val="0B2545"/>
                <w:sz w:val="17"/>
              </w:rPr>
              <w:t>Observable</w:t>
            </w:r>
          </w:p>
        </w:tc>
        <w:tc>
          <w:tcPr>
            <w:tcW w:type="dxa" w:w="2700"/>
            <w:tcMar>
              <w:top w:w="80" w:type="dxa"/>
              <w:start w:w="120" w:type="dxa"/>
              <w:bottom w:w="80" w:type="dxa"/>
              <w:end w:w="120" w:type="dxa"/>
            </w:tcMar>
            <w:vAlign w:val="center"/>
            <w:shd w:fill="E8EEF5"/>
          </w:tcPr>
          <w:p>
            <w:pPr>
              <w:spacing w:after="0" w:line="240" w:lineRule="auto"/>
            </w:pPr>
            <w:r>
              <w:rPr>
                <w:rFonts w:ascii="Calibri" w:hAnsi="Calibri"/>
                <w:b/>
                <w:color w:val="0B2545"/>
                <w:sz w:val="17"/>
              </w:rPr>
              <w:t>Valeur transmise</w:t>
            </w:r>
          </w:p>
        </w:tc>
        <w:tc>
          <w:tcPr>
            <w:tcW w:type="dxa" w:w="4860"/>
            <w:tcMar>
              <w:top w:w="80" w:type="dxa"/>
              <w:start w:w="120" w:type="dxa"/>
              <w:bottom w:w="80" w:type="dxa"/>
              <w:end w:w="120" w:type="dxa"/>
            </w:tcMar>
            <w:vAlign w:val="center"/>
            <w:shd w:fill="E8EEF5"/>
          </w:tcPr>
          <w:p>
            <w:pPr>
              <w:spacing w:after="0" w:line="240" w:lineRule="auto"/>
            </w:pPr>
            <w:r>
              <w:rPr>
                <w:rFonts w:ascii="Calibri" w:hAnsi="Calibri"/>
                <w:b/>
                <w:color w:val="0B2545"/>
                <w:sz w:val="17"/>
              </w:rPr>
              <w:t>Conclusion autorisée</w:t>
            </w:r>
          </w:p>
        </w:tc>
      </w:tr>
      <w:tr>
        <w:trPr>
          <w:cantSplit/>
        </w:trPr>
        <w:tc>
          <w:tcPr>
            <w:tcW w:type="dxa" w:w="1800"/>
            <w:vAlign w:val="center"/>
          </w:tcPr>
          <w:p>
            <w:pPr>
              <w:spacing w:after="0" w:line="245" w:lineRule="auto"/>
            </w:pPr>
            <w:r>
              <w:rPr>
                <w:rFonts w:ascii="Calibri" w:hAnsi="Calibri"/>
                <w:color w:val="000000"/>
                <w:sz w:val="17"/>
              </w:rPr>
              <w:t>Assemblage</w:t>
            </w:r>
          </w:p>
        </w:tc>
        <w:tc>
          <w:tcPr>
            <w:tcW w:type="dxa" w:w="2700"/>
            <w:vAlign w:val="center"/>
          </w:tcPr>
          <w:p>
            <w:pPr>
              <w:spacing w:after="0" w:line="245" w:lineRule="auto"/>
            </w:pPr>
            <w:r>
              <w:rPr>
                <w:rFonts w:ascii="Calibri" w:hAnsi="Calibri"/>
                <w:color w:val="000000"/>
                <w:sz w:val="17"/>
              </w:rPr>
              <w:t>31 684 pentachores; 9 rejets / 0,028 %</w:t>
            </w:r>
          </w:p>
        </w:tc>
        <w:tc>
          <w:tcPr>
            <w:tcW w:type="dxa" w:w="4860"/>
            <w:vAlign w:val="center"/>
          </w:tcPr>
          <w:p>
            <w:pPr>
              <w:spacing w:after="0" w:line="245" w:lineRule="auto"/>
            </w:pPr>
            <w:r>
              <w:rPr>
                <w:rFonts w:ascii="Calibri" w:hAnsi="Calibri"/>
                <w:color w:val="000000"/>
                <w:sz w:val="17"/>
              </w:rPr>
              <w:t>Pipeline numériquement stable sur ce run.</w:t>
            </w:r>
          </w:p>
        </w:tc>
      </w:tr>
      <w:tr>
        <w:trPr>
          <w:cantSplit/>
        </w:trPr>
        <w:tc>
          <w:tcPr>
            <w:tcW w:type="dxa" w:w="1800"/>
            <w:vAlign w:val="center"/>
          </w:tcPr>
          <w:p>
            <w:pPr>
              <w:spacing w:after="0" w:line="245" w:lineRule="auto"/>
            </w:pPr>
            <w:r>
              <w:rPr>
                <w:rFonts w:ascii="Calibri" w:hAnsi="Calibri"/>
                <w:color w:val="000000"/>
                <w:sz w:val="17"/>
              </w:rPr>
              <w:t>Ward</w:t>
            </w:r>
          </w:p>
        </w:tc>
        <w:tc>
          <w:tcPr>
            <w:tcW w:type="dxa" w:w="2700"/>
            <w:vAlign w:val="center"/>
          </w:tcPr>
          <w:p>
            <w:pPr>
              <w:spacing w:after="0" w:line="245" w:lineRule="auto"/>
            </w:pPr>
            <w:r>
              <w:rPr>
                <w:rFonts w:ascii="Calibri" w:hAnsi="Calibri"/>
                <w:color w:val="000000"/>
                <w:sz w:val="17"/>
              </w:rPr>
              <w:t>3,336×10⁻⁴</w:t>
            </w:r>
          </w:p>
        </w:tc>
        <w:tc>
          <w:tcPr>
            <w:tcW w:type="dxa" w:w="4860"/>
            <w:vAlign w:val="center"/>
          </w:tcPr>
          <w:p>
            <w:pPr>
              <w:spacing w:after="0" w:line="245" w:lineRule="auto"/>
            </w:pPr>
            <w:r>
              <w:rPr>
                <w:rFonts w:ascii="Calibri" w:hAnsi="Calibri"/>
                <w:color w:val="000000"/>
                <w:sz w:val="17"/>
              </w:rPr>
              <w:t>Contamination jauge faible selon ce diagnostic fini.</w:t>
            </w:r>
          </w:p>
        </w:tc>
      </w:tr>
      <w:tr>
        <w:trPr>
          <w:cantSplit/>
        </w:trPr>
        <w:tc>
          <w:tcPr>
            <w:tcW w:type="dxa" w:w="1800"/>
            <w:vAlign w:val="center"/>
          </w:tcPr>
          <w:p>
            <w:pPr>
              <w:spacing w:after="0" w:line="245" w:lineRule="auto"/>
            </w:pPr>
            <w:r>
              <w:rPr>
                <w:rFonts w:ascii="Calibri" w:hAnsi="Calibri"/>
                <w:color w:val="000000"/>
                <w:sz w:val="17"/>
              </w:rPr>
              <w:t>TT, |k|²=1</w:t>
            </w:r>
          </w:p>
        </w:tc>
        <w:tc>
          <w:tcPr>
            <w:tcW w:type="dxa" w:w="2700"/>
            <w:vAlign w:val="center"/>
          </w:tcPr>
          <w:p>
            <w:pPr>
              <w:spacing w:after="0" w:line="245" w:lineRule="auto"/>
            </w:pPr>
            <w:r>
              <w:rPr>
                <w:rFonts w:ascii="Calibri" w:hAnsi="Calibri"/>
                <w:color w:val="000000"/>
                <w:sz w:val="17"/>
              </w:rPr>
              <w:t>moyenne 5,5775; σ=0,1261</w:t>
            </w:r>
          </w:p>
        </w:tc>
        <w:tc>
          <w:tcPr>
            <w:tcW w:type="dxa" w:w="4860"/>
            <w:vAlign w:val="center"/>
          </w:tcPr>
          <w:p>
            <w:pPr>
              <w:spacing w:after="0" w:line="245" w:lineRule="auto"/>
            </w:pPr>
            <w:r>
              <w:rPr>
                <w:rFonts w:ascii="Calibri" w:hAnsi="Calibri"/>
                <w:color w:val="000000"/>
                <w:sz w:val="17"/>
              </w:rPr>
              <w:t>Point de dispersion, pas un pôle.</w:t>
            </w:r>
          </w:p>
        </w:tc>
      </w:tr>
      <w:tr>
        <w:trPr>
          <w:cantSplit/>
        </w:trPr>
        <w:tc>
          <w:tcPr>
            <w:tcW w:type="dxa" w:w="1800"/>
            <w:vAlign w:val="center"/>
          </w:tcPr>
          <w:p>
            <w:pPr>
              <w:spacing w:after="0" w:line="245" w:lineRule="auto"/>
            </w:pPr>
            <w:r>
              <w:rPr>
                <w:rFonts w:ascii="Calibri" w:hAnsi="Calibri"/>
                <w:color w:val="000000"/>
                <w:sz w:val="17"/>
              </w:rPr>
              <w:t>TT, |k|²=2</w:t>
            </w:r>
          </w:p>
        </w:tc>
        <w:tc>
          <w:tcPr>
            <w:tcW w:type="dxa" w:w="2700"/>
            <w:vAlign w:val="center"/>
          </w:tcPr>
          <w:p>
            <w:pPr>
              <w:spacing w:after="0" w:line="245" w:lineRule="auto"/>
            </w:pPr>
            <w:r>
              <w:rPr>
                <w:rFonts w:ascii="Calibri" w:hAnsi="Calibri"/>
                <w:color w:val="000000"/>
                <w:sz w:val="17"/>
              </w:rPr>
              <w:t>moyenne 6,1741; σ=0,0546</w:t>
            </w:r>
          </w:p>
        </w:tc>
        <w:tc>
          <w:tcPr>
            <w:tcW w:type="dxa" w:w="4860"/>
            <w:vAlign w:val="center"/>
          </w:tcPr>
          <w:p>
            <w:pPr>
              <w:spacing w:after="0" w:line="245" w:lineRule="auto"/>
            </w:pPr>
            <w:r>
              <w:rPr>
                <w:rFonts w:ascii="Calibri" w:hAnsi="Calibri"/>
                <w:color w:val="000000"/>
                <w:sz w:val="17"/>
              </w:rPr>
              <w:t>Croissance compatible avec un inverse corrélateur.</w:t>
            </w:r>
          </w:p>
        </w:tc>
      </w:tr>
      <w:tr>
        <w:trPr>
          <w:cantSplit/>
        </w:trPr>
        <w:tc>
          <w:tcPr>
            <w:tcW w:type="dxa" w:w="1800"/>
            <w:vAlign w:val="center"/>
          </w:tcPr>
          <w:p>
            <w:pPr>
              <w:spacing w:after="0" w:line="245" w:lineRule="auto"/>
            </w:pPr>
            <w:r>
              <w:rPr>
                <w:rFonts w:ascii="Calibri" w:hAnsi="Calibri"/>
                <w:color w:val="000000"/>
                <w:sz w:val="17"/>
              </w:rPr>
              <w:t>TT, |k|²=3</w:t>
            </w:r>
          </w:p>
        </w:tc>
        <w:tc>
          <w:tcPr>
            <w:tcW w:type="dxa" w:w="2700"/>
            <w:vAlign w:val="center"/>
          </w:tcPr>
          <w:p>
            <w:pPr>
              <w:spacing w:after="0" w:line="245" w:lineRule="auto"/>
            </w:pPr>
            <w:r>
              <w:rPr>
                <w:rFonts w:ascii="Calibri" w:hAnsi="Calibri"/>
                <w:color w:val="000000"/>
                <w:sz w:val="17"/>
              </w:rPr>
              <w:t>7,7168; un seul point</w:t>
            </w:r>
          </w:p>
        </w:tc>
        <w:tc>
          <w:tcPr>
            <w:tcW w:type="dxa" w:w="4860"/>
            <w:vAlign w:val="center"/>
          </w:tcPr>
          <w:p>
            <w:pPr>
              <w:spacing w:after="0" w:line="245" w:lineRule="auto"/>
            </w:pPr>
            <w:r>
              <w:rPr>
                <w:rFonts w:ascii="Calibri" w:hAnsi="Calibri"/>
                <w:color w:val="000000"/>
                <w:sz w:val="17"/>
              </w:rPr>
              <w:t>Aucune erreur inter-réalisation disponible.</w:t>
            </w:r>
          </w:p>
        </w:tc>
      </w:tr>
    </w:tbl>
    <w:p>
      <w:pPr>
        <w:keepLines w:val="0"/>
        <w:spacing w:before="0" w:after="12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La pente linéaire descriptive des trois moyennes vaut ≈1,0696 avec interception ≈4,3502. Elle ne mesure une masse que si G_TT est défini et renormalisé comme inverse deux-points, que les volumes et spacings sont comparables et que l’extrapolation k→0 est contrôlée. Le run est un excellent contrôle de pipeline et un signal exploitable; il ne franchit encore ni G1 ni G2.</w:t>
      </w:r>
    </w:p>
    <w:p>
      <w:pPr>
        <w:pStyle w:val="Heading1"/>
        <w:keepNext/>
      </w:pPr>
      <w:r>
        <w:t>PARTIE IV — Attaque intégrale des sept portes G0–G6</w:t>
      </w:r>
    </w:p>
    <w:p>
      <w:pPr>
        <w:pStyle w:val="Heading1"/>
        <w:keepNext/>
      </w:pPr>
      <w:r>
        <w:t>G0 — Modèle canonique et dérivation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CANDIDAT GELÉ [C,T au cutoff] • porte physique OUVERTE</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Un sextuple de régulateurs, un espace d’états quotienté, une base locale complète et, une fois les entrées déclarées fixées, une mesure et un Hamiltonien explicites.</w:t>
      </w:r>
    </w:p>
    <w:p>
      <w:pPr>
        <w:pStyle w:val="ListBullet"/>
        <w:spacing w:after="80" w:line="264" w:lineRule="auto"/>
        <w:ind w:left="720" w:hanging="360"/>
      </w:pPr>
      <w:r>
        <w:rPr>
          <w:rFonts w:ascii="Calibri" w:hAnsi="Calibri"/>
          <w:color w:val="000000"/>
          <w:sz w:val="22"/>
        </w:rPr>
        <w:t>La forme cinétique Barker est l’unique solution conditionnelle à π, à l’horloge locale et à la complémentarité.</w:t>
      </w:r>
    </w:p>
    <w:p>
      <w:pPr>
        <w:pStyle w:val="ListBullet"/>
        <w:spacing w:after="80" w:line="264" w:lineRule="auto"/>
        <w:ind w:left="720" w:hanging="360"/>
      </w:pPr>
      <w:r>
        <w:rPr>
          <w:rFonts w:ascii="Calibri" w:hAnsi="Calibri"/>
          <w:color w:val="000000"/>
          <w:sz w:val="22"/>
        </w:rPr>
        <w:t>La branche DM3 décorée possède un domaine explicite de normalisation.</w:t>
      </w:r>
    </w:p>
    <w:p>
      <w:pPr>
        <w:pStyle w:val="ListBullet"/>
        <w:spacing w:after="80" w:line="264" w:lineRule="auto"/>
        <w:ind w:left="720" w:hanging="360"/>
      </w:pPr>
      <w:r>
        <w:rPr>
          <w:rFonts w:ascii="Calibri" w:hAnsi="Calibri"/>
          <w:color w:val="000000"/>
          <w:sz w:val="22"/>
        </w:rPr>
        <w:t>Tous les choix externes sont déclarés : T³, Spin(10), 3×16, Higgs 54⊕126*⊕10 (126* conjuguée), κ et couplages.</w:t>
      </w:r>
    </w:p>
    <w:p>
      <w:pPr>
        <w:pStyle w:val="Heading2"/>
        <w:keepNext/>
      </w:pPr>
      <w:r>
        <w:t>Verrou réel restant</w:t>
      </w:r>
    </w:p>
    <w:p>
      <w:pPr>
        <w:pStyle w:val="ListBullet"/>
        <w:spacing w:after="80" w:line="264" w:lineRule="auto"/>
        <w:ind w:left="720" w:hanging="360"/>
      </w:pPr>
      <w:r>
        <w:rPr>
          <w:rFonts w:ascii="Calibri" w:hAnsi="Calibri"/>
          <w:color w:val="000000"/>
          <w:sz w:val="22"/>
        </w:rPr>
        <w:t>Le principe Blob ne fixe pas les couplages g_Γ, le groupe interne, les trois familles ni l’échelle de temps.</w:t>
      </w:r>
    </w:p>
    <w:p>
      <w:pPr>
        <w:pStyle w:val="ListBullet"/>
        <w:spacing w:after="80" w:line="264" w:lineRule="auto"/>
        <w:ind w:left="720" w:hanging="360"/>
      </w:pPr>
      <w:r>
        <w:rPr>
          <w:rFonts w:ascii="Calibri" w:hAnsi="Calibri"/>
          <w:color w:val="000000"/>
          <w:sz w:val="22"/>
        </w:rPr>
        <w:t>La limite jointe des régulateurs et l’existence d’une trajectoire critique ne sont pas dérivées.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Publication d’une spécification versionnée dont deux implémentations donnent les mêmes poids, canaux et observables.</w:t>
            </w:r>
          </w:p>
        </w:tc>
        <w:tc>
          <w:tcPr>
            <w:tcW w:type="dxa" w:w="4680"/>
            <w:vAlign w:val="center"/>
          </w:tcPr>
          <w:p>
            <w:pPr>
              <w:spacing w:after="0" w:line="245" w:lineRule="auto"/>
            </w:pPr>
            <w:r>
              <w:rPr>
                <w:rFonts w:ascii="Calibri" w:hAnsi="Calibri"/>
                <w:color w:val="000000"/>
                <w:sz w:val="17"/>
              </w:rPr>
              <w:t>Une convention non documentée change le spectre ou le poids.</w:t>
            </w:r>
          </w:p>
        </w:tc>
      </w:tr>
      <w:tr>
        <w:trPr>
          <w:cantSplit/>
        </w:trPr>
        <w:tc>
          <w:tcPr>
            <w:tcW w:type="dxa" w:w="4680"/>
            <w:vAlign w:val="center"/>
          </w:tcPr>
          <w:p>
            <w:pPr>
              <w:spacing w:after="0" w:line="245" w:lineRule="auto"/>
            </w:pPr>
            <w:r>
              <w:rPr>
                <w:rFonts w:ascii="Calibri" w:hAnsi="Calibri"/>
                <w:color w:val="000000"/>
                <w:sz w:val="17"/>
              </w:rPr>
              <w:t>Nombre fini de directions pertinentes au point fixe; paramètres infrarouges calculables après un nombre explicite d’entrées.</w:t>
            </w:r>
          </w:p>
        </w:tc>
        <w:tc>
          <w:tcPr>
            <w:tcW w:type="dxa" w:w="4680"/>
            <w:vAlign w:val="center"/>
          </w:tcPr>
          <w:p>
            <w:pPr>
              <w:spacing w:after="0" w:line="245" w:lineRule="auto"/>
            </w:pPr>
            <w:r>
              <w:rPr>
                <w:rFonts w:ascii="Calibri" w:hAnsi="Calibri"/>
                <w:color w:val="000000"/>
                <w:sz w:val="17"/>
              </w:rPr>
              <w:t>Le nombre de paramètres pertinents croît sans borne ou le groupe/les familles restent de simples ajustements cachés.</w:t>
            </w:r>
          </w:p>
        </w:tc>
      </w:tr>
    </w:tbl>
    <w:p>
      <w:pPr>
        <w:keepLines w:val="0"/>
        <w:spacing w:before="0" w:after="120" w:line="264" w:lineRule="auto"/>
        <w:jc w:val="left"/>
      </w:pPr>
      <w:r>
        <w:rPr>
          <w:rFonts w:ascii="Calibri" w:hAnsi="Calibri"/>
          <w:b w:val="0"/>
          <w:i w:val="0"/>
          <w:color w:val="000000"/>
          <w:sz w:val="22"/>
        </w:rPr>
      </w:r>
    </w:p>
    <w:p>
      <w:pPr>
        <w:pStyle w:val="Heading1"/>
        <w:keepNext/>
      </w:pPr>
      <w:r>
        <w:t>G1 — Continuum euclidien, reconstruction OS et Lorentz</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Verdict β1.1. </w:t>
            </w:r>
            <w:r>
              <w:rPr>
                <w:rFonts w:ascii="Calibri" w:hAnsi="Calibri"/>
                <w:color w:val="1F5E46"/>
                <w:sz w:val="22"/>
              </w:rPr>
              <w:t>RP AU CUTOFF FERMÉE [T] • continuum/Lorentz OUVERTS</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T=e^(−a_tĤ) est positif et réfléchi-positif pour chaque cutoff.</w:t>
      </w:r>
    </w:p>
    <w:p>
      <w:pPr>
        <w:pStyle w:val="ListBullet"/>
        <w:spacing w:after="80" w:line="264" w:lineRule="auto"/>
        <w:ind w:left="720" w:hanging="360"/>
      </w:pPr>
      <w:r>
        <w:rPr>
          <w:rFonts w:ascii="Calibri" w:hAnsi="Calibri"/>
          <w:color w:val="000000"/>
          <w:sz w:val="22"/>
        </w:rPr>
        <w:t>RP est fermée sous toute limite de corrélateurs existante; la convergence de Mosco fournit le pont opératoire exact.</w:t>
      </w:r>
    </w:p>
    <w:p>
      <w:pPr>
        <w:pStyle w:val="ListBullet"/>
        <w:spacing w:after="80" w:line="264" w:lineRule="auto"/>
        <w:ind w:left="720" w:hanging="360"/>
      </w:pPr>
      <w:r>
        <w:rPr>
          <w:rFonts w:ascii="Calibri" w:hAnsi="Calibri"/>
          <w:color w:val="000000"/>
          <w:sz w:val="22"/>
        </w:rPr>
        <w:t>Le candidat effectif z=3 contient toute la base spatiale jusqu’à six dérivées.</w:t>
      </w:r>
    </w:p>
    <w:p>
      <w:pPr>
        <w:pStyle w:val="ListBullet"/>
        <w:spacing w:after="80" w:line="264" w:lineRule="auto"/>
        <w:ind w:left="720" w:hanging="360"/>
      </w:pPr>
      <w:r>
        <w:rPr>
          <w:rFonts w:ascii="Calibri" w:hAnsi="Calibri"/>
          <w:color w:val="000000"/>
          <w:sz w:val="22"/>
        </w:rPr>
        <w:t>La symétrie U(1) étendue est choisie pour éliminer le scalaire classique et fixer λ=1.</w:t>
      </w:r>
    </w:p>
    <w:p>
      <w:pPr>
        <w:pStyle w:val="Heading2"/>
        <w:keepNext/>
      </w:pPr>
      <w:r>
        <w:t>Verrou réel restant</w:t>
      </w:r>
    </w:p>
    <w:p>
      <w:pPr>
        <w:pStyle w:val="ListBullet"/>
        <w:spacing w:after="80" w:line="264" w:lineRule="auto"/>
        <w:ind w:left="720" w:hanging="360"/>
      </w:pPr>
      <w:r>
        <w:rPr>
          <w:rFonts w:ascii="Calibri" w:hAnsi="Calibri"/>
          <w:color w:val="000000"/>
          <w:sz w:val="22"/>
        </w:rPr>
        <w:t>Il faut une surface critique ξ/a→∞ et une limite de fonctions de Schwinger.</w:t>
      </w:r>
    </w:p>
    <w:p>
      <w:pPr>
        <w:pStyle w:val="ListBullet"/>
        <w:spacing w:after="80" w:line="264" w:lineRule="auto"/>
        <w:ind w:left="720" w:hanging="360"/>
      </w:pPr>
      <w:r>
        <w:rPr>
          <w:rFonts w:ascii="Calibri" w:hAnsi="Calibri"/>
          <w:color w:val="000000"/>
          <w:sz w:val="22"/>
        </w:rPr>
        <w:t>La foliation microscopique doit devenir invisible : z_eff→1 et cônes de lumière matière/gravité identiques.</w:t>
      </w:r>
    </w:p>
    <w:p>
      <w:pPr>
        <w:pStyle w:val="ListBullet"/>
        <w:spacing w:after="80" w:line="264" w:lineRule="auto"/>
        <w:ind w:left="720" w:hanging="360"/>
      </w:pPr>
      <w:r>
        <w:rPr>
          <w:rFonts w:ascii="Calibri" w:hAnsi="Calibri"/>
          <w:color w:val="000000"/>
          <w:sz w:val="22"/>
        </w:rPr>
        <w:t>RP seule ne fournit ni invariance O(4), ni cluster, ni régularité OS.</w:t>
      </w:r>
    </w:p>
    <w:p>
      <w:pPr>
        <w:pStyle w:val="ListBullet"/>
        <w:spacing w:after="80" w:line="264" w:lineRule="auto"/>
        <w:ind w:left="720" w:hanging="360"/>
      </w:pPr>
      <w:r>
        <w:rPr>
          <w:rFonts w:ascii="Calibri" w:hAnsi="Calibri"/>
          <w:color w:val="000000"/>
          <w:sz w:val="22"/>
        </w:rPr>
        <w:t>La constante de Lieb–Robinson doit rester uniforme quand n_max et les troncatures de matière sont retirés.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Au moins trois tailles avec ξ/a croissant et collapse universel stable sous changement de régulateur.</w:t>
            </w:r>
          </w:p>
        </w:tc>
        <w:tc>
          <w:tcPr>
            <w:tcW w:type="dxa" w:w="4680"/>
            <w:vAlign w:val="center"/>
          </w:tcPr>
          <w:p>
            <w:pPr>
              <w:spacing w:after="0" w:line="245" w:lineRule="auto"/>
            </w:pPr>
            <w:r>
              <w:rPr>
                <w:rFonts w:ascii="Calibri" w:hAnsi="Calibri"/>
                <w:color w:val="000000"/>
                <w:sz w:val="17"/>
              </w:rPr>
              <w:t>Gap en unités de réseau borné loin de zéro pour toute la surface balayée.</w:t>
            </w:r>
          </w:p>
        </w:tc>
      </w:tr>
      <w:tr>
        <w:trPr>
          <w:cantSplit/>
        </w:trPr>
        <w:tc>
          <w:tcPr>
            <w:tcW w:type="dxa" w:w="4680"/>
            <w:vAlign w:val="center"/>
          </w:tcPr>
          <w:p>
            <w:pPr>
              <w:spacing w:after="0" w:line="245" w:lineRule="auto"/>
            </w:pPr>
            <w:r>
              <w:rPr>
                <w:rFonts w:ascii="Calibri" w:hAnsi="Calibri"/>
                <w:color w:val="000000"/>
                <w:sz w:val="17"/>
              </w:rPr>
              <w:t>Mosco des formes + fonctions limites satisfaisant OS0–OS5; dispersion commune ω²=c²k²+o(k²) pour tous secteurs.</w:t>
            </w:r>
          </w:p>
        </w:tc>
        <w:tc>
          <w:tcPr>
            <w:tcW w:type="dxa" w:w="4680"/>
            <w:vAlign w:val="center"/>
          </w:tcPr>
          <w:p>
            <w:pPr>
              <w:spacing w:after="0" w:line="245" w:lineRule="auto"/>
            </w:pPr>
            <w:r>
              <w:rPr>
                <w:rFonts w:ascii="Calibri" w:hAnsi="Calibri"/>
                <w:color w:val="000000"/>
                <w:sz w:val="17"/>
              </w:rPr>
              <w:t>z_eff≠1, vitesses limites différentes ou violation persistante d’une identité OS/Ward.</w:t>
            </w:r>
          </w:p>
        </w:tc>
      </w:tr>
      <w:tr>
        <w:trPr>
          <w:cantSplit/>
        </w:trPr>
        <w:tc>
          <w:tcPr>
            <w:tcW w:type="dxa" w:w="4680"/>
            <w:vAlign w:val="center"/>
          </w:tcPr>
          <w:p>
            <w:pPr>
              <w:spacing w:after="0" w:line="245" w:lineRule="auto"/>
            </w:pPr>
            <w:r>
              <w:rPr>
                <w:rFonts w:ascii="Calibri" w:hAnsi="Calibri"/>
                <w:color w:val="000000"/>
                <w:sz w:val="17"/>
              </w:rPr>
              <w:t>Borne LR uniforme indépendante de Λ_n, ou démonstration équivalente de causalité finie.</w:t>
            </w:r>
          </w:p>
        </w:tc>
        <w:tc>
          <w:tcPr>
            <w:tcW w:type="dxa" w:w="4680"/>
            <w:vAlign w:val="center"/>
          </w:tcPr>
          <w:p>
            <w:pPr>
              <w:spacing w:after="0" w:line="245" w:lineRule="auto"/>
            </w:pPr>
            <w:r>
              <w:rPr>
                <w:rFonts w:ascii="Calibri" w:hAnsi="Calibri"/>
                <w:color w:val="000000"/>
                <w:sz w:val="17"/>
              </w:rPr>
              <w:t>Vitesse LR divergente lors du retrait de n_max.</w:t>
            </w:r>
          </w:p>
        </w:tc>
      </w:tr>
    </w:tbl>
    <w:p>
      <w:pPr>
        <w:keepLines w:val="0"/>
        <w:spacing w:before="0" w:after="120" w:line="264" w:lineRule="auto"/>
        <w:jc w:val="left"/>
      </w:pPr>
      <w:r>
        <w:rPr>
          <w:rFonts w:ascii="Calibri" w:hAnsi="Calibri"/>
          <w:b w:val="0"/>
          <w:i w:val="0"/>
          <w:color w:val="000000"/>
          <w:sz w:val="22"/>
        </w:rPr>
      </w:r>
    </w:p>
    <w:p>
      <w:pPr>
        <w:pStyle w:val="Heading1"/>
        <w:keepNext/>
      </w:pPr>
      <w:r>
        <w:t>G2 — Gravité quantique et graviton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OBSERVABLES SPÉCIFIÉS • graviton OUVERT</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Projecteurs TT, Ward et trace sont déjà implémentés dans la campagne.</w:t>
      </w:r>
    </w:p>
    <w:p>
      <w:pPr>
        <w:pStyle w:val="ListBullet"/>
        <w:spacing w:after="80" w:line="264" w:lineRule="auto"/>
        <w:ind w:left="720" w:hanging="360"/>
      </w:pPr>
      <w:r>
        <w:rPr>
          <w:rFonts w:ascii="Calibri" w:hAnsi="Calibri"/>
          <w:color w:val="000000"/>
          <w:sz w:val="22"/>
        </w:rPr>
        <w:t>La cible inverse TT est Γ_TT^(2)=Z_tω²+Z₂k²+Z₄k⁴/M²+Z₆k⁶/M⁴+…</w:t>
      </w:r>
    </w:p>
    <w:p>
      <w:pPr>
        <w:pStyle w:val="ListBullet"/>
        <w:spacing w:after="80" w:line="264" w:lineRule="auto"/>
        <w:ind w:left="720" w:hanging="360"/>
      </w:pPr>
      <w:r>
        <w:rPr>
          <w:rFonts w:ascii="Calibri" w:hAnsi="Calibri"/>
          <w:color w:val="000000"/>
          <w:sz w:val="22"/>
        </w:rPr>
        <w:t>La symétrie U(1) de la branche effective vise deux degrés de liberté tensoriels.</w:t>
      </w:r>
    </w:p>
    <w:p>
      <w:pPr>
        <w:pStyle w:val="ListBullet"/>
        <w:spacing w:after="80" w:line="264" w:lineRule="auto"/>
        <w:ind w:left="720" w:hanging="360"/>
      </w:pPr>
      <w:r>
        <w:rPr>
          <w:rFonts w:ascii="Calibri" w:hAnsi="Calibri"/>
          <w:color w:val="000000"/>
          <w:sz w:val="22"/>
        </w:rPr>
        <w:t>Le run N=1000 atteint Ward=3,336×10⁻⁴; ses points TT sont des contrôles finis, pas encore un pôle.</w:t>
      </w:r>
    </w:p>
    <w:p>
      <w:pPr>
        <w:pStyle w:val="Heading2"/>
        <w:keepNext/>
      </w:pPr>
      <w:r>
        <w:t>Verrou réel restant</w:t>
      </w:r>
    </w:p>
    <w:p>
      <w:pPr>
        <w:pStyle w:val="ListBullet"/>
        <w:spacing w:after="80" w:line="264" w:lineRule="auto"/>
        <w:ind w:left="720" w:hanging="360"/>
      </w:pPr>
      <w:r>
        <w:rPr>
          <w:rFonts w:ascii="Calibri" w:hAnsi="Calibri"/>
          <w:color w:val="000000"/>
          <w:sz w:val="22"/>
        </w:rPr>
        <w:t>Cinq composantes TT euclidiennes hors-shell ne sont pas deux hélicités lorentziennes on-shell.</w:t>
      </w:r>
    </w:p>
    <w:p>
      <w:pPr>
        <w:pStyle w:val="ListBullet"/>
        <w:spacing w:after="80" w:line="264" w:lineRule="auto"/>
        <w:ind w:left="720" w:hanging="360"/>
      </w:pPr>
      <w:r>
        <w:rPr>
          <w:rFonts w:ascii="Calibri" w:hAnsi="Calibri"/>
          <w:color w:val="000000"/>
          <w:sz w:val="22"/>
        </w:rPr>
        <w:t>Il manque le pôle sans masse, le signe du résidu, le Ward/BRST complet, G_N et l’universalité de chute.</w:t>
      </w:r>
    </w:p>
    <w:p>
      <w:pPr>
        <w:pStyle w:val="ListBullet"/>
        <w:spacing w:after="80" w:line="264" w:lineRule="auto"/>
        <w:ind w:left="720" w:hanging="360"/>
      </w:pPr>
      <w:r>
        <w:rPr>
          <w:rFonts w:ascii="Calibri" w:hAnsi="Calibri"/>
          <w:color w:val="000000"/>
          <w:sz w:val="22"/>
        </w:rPr>
        <w:t>La renormalisabilité projectable, l’élimination U(1) du scalaire et la restauration Lorentz–matière doivent être obtenues dans le même flot.</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Après G1 : C_TT(p)=Z/p²+∫ρ(s)/(p²+s)ds avec Z&gt;0, ρ≥0, exactement deux hélicités et aucun scalaire/ghost.</w:t>
            </w:r>
          </w:p>
        </w:tc>
        <w:tc>
          <w:tcPr>
            <w:tcW w:type="dxa" w:w="4680"/>
            <w:vAlign w:val="center"/>
          </w:tcPr>
          <w:p>
            <w:pPr>
              <w:spacing w:after="0" w:line="245" w:lineRule="auto"/>
            </w:pPr>
            <w:r>
              <w:rPr>
                <w:rFonts w:ascii="Calibri" w:hAnsi="Calibri"/>
                <w:color w:val="000000"/>
                <w:sz w:val="17"/>
              </w:rPr>
              <w:t>Masse tensorielle non nulle dans la limite, résidu négatif, scalar graviton ou Ward non restaurée.</w:t>
            </w:r>
          </w:p>
        </w:tc>
      </w:tr>
      <w:tr>
        <w:trPr>
          <w:cantSplit/>
        </w:trPr>
        <w:tc>
          <w:tcPr>
            <w:tcW w:type="dxa" w:w="4680"/>
            <w:vAlign w:val="center"/>
          </w:tcPr>
          <w:p>
            <w:pPr>
              <w:spacing w:after="0" w:line="245" w:lineRule="auto"/>
            </w:pPr>
            <w:r>
              <w:rPr>
                <w:rFonts w:ascii="Calibri" w:hAnsi="Calibri"/>
                <w:color w:val="000000"/>
                <w:sz w:val="17"/>
              </w:rPr>
              <w:t>Même G_N obtenu par potentiel statique, vertex à trois points et réponse matière, dans les erreurs pré-enregistrées.</w:t>
            </w:r>
          </w:p>
        </w:tc>
        <w:tc>
          <w:tcPr>
            <w:tcW w:type="dxa" w:w="4680"/>
            <w:vAlign w:val="center"/>
          </w:tcPr>
          <w:p>
            <w:pPr>
              <w:spacing w:after="0" w:line="245" w:lineRule="auto"/>
            </w:pPr>
            <w:r>
              <w:rPr>
                <w:rFonts w:ascii="Calibri" w:hAnsi="Calibri"/>
                <w:color w:val="000000"/>
                <w:sz w:val="17"/>
              </w:rPr>
              <w:t>Couplage dépendant de l’espèce ou impossibilité de calibrer une constante de Newton commune.</w:t>
            </w:r>
          </w:p>
        </w:tc>
      </w:tr>
      <w:tr>
        <w:trPr>
          <w:cantSplit/>
        </w:trPr>
        <w:tc>
          <w:tcPr>
            <w:tcW w:type="dxa" w:w="4680"/>
            <w:vAlign w:val="center"/>
          </w:tcPr>
          <w:p>
            <w:pPr>
              <w:spacing w:after="0" w:line="245" w:lineRule="auto"/>
            </w:pPr>
            <w:r>
              <w:rPr>
                <w:rFonts w:ascii="Calibri" w:hAnsi="Calibri"/>
                <w:color w:val="000000"/>
                <w:sz w:val="17"/>
              </w:rPr>
              <w:t>Le théorème du graviton mou reproduit alors le couplage universel sans paramètre d’espèce.</w:t>
            </w:r>
          </w:p>
        </w:tc>
        <w:tc>
          <w:tcPr>
            <w:tcW w:type="dxa" w:w="4680"/>
            <w:vAlign w:val="center"/>
          </w:tcPr>
          <w:p>
            <w:pPr>
              <w:spacing w:after="0" w:line="245" w:lineRule="auto"/>
            </w:pPr>
            <w:r>
              <w:rPr>
                <w:rFonts w:ascii="Calibri" w:hAnsi="Calibri"/>
                <w:color w:val="000000"/>
                <w:sz w:val="17"/>
              </w:rPr>
              <w:t>Échec de la factorisation molle ou présence d’un autre pôle longue portée incompatible.</w:t>
            </w:r>
          </w:p>
        </w:tc>
      </w:tr>
    </w:tbl>
    <w:p>
      <w:pPr>
        <w:keepLines w:val="0"/>
        <w:spacing w:before="0" w:after="120" w:line="264" w:lineRule="auto"/>
        <w:jc w:val="left"/>
      </w:pPr>
      <w:r>
        <w:rPr>
          <w:rFonts w:ascii="Calibri" w:hAnsi="Calibri"/>
          <w:b w:val="0"/>
          <w:i w:val="0"/>
          <w:color w:val="000000"/>
          <w:sz w:val="22"/>
        </w:rPr>
      </w:r>
    </w:p>
    <w:p>
      <w:pPr>
        <w:pStyle w:val="Heading1"/>
        <w:keepNext/>
      </w:pPr>
      <w:r>
        <w:t>G3 — Modèle standard : jauges, chiralité, Higgs et saveurs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ALGÈBRE Spin(10) FERMÉE [T] • réalisation physique OUVERTE</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Une 16 de Spin(10) contient une famille avec ν_R; toutes les anomalies SM calculées s’annulent.</w:t>
      </w:r>
    </w:p>
    <w:p>
      <w:pPr>
        <w:pStyle w:val="ListBullet"/>
        <w:spacing w:after="80" w:line="264" w:lineRule="auto"/>
        <w:ind w:left="720" w:hanging="360"/>
      </w:pPr>
      <w:r>
        <w:rPr>
          <w:rFonts w:ascii="Calibri" w:hAnsi="Calibri"/>
          <w:color w:val="000000"/>
          <w:sz w:val="22"/>
        </w:rPr>
        <w:t>Trois copies donnent 48 Weyl; l’embedding fixe k_Y=5/3 et sin²θ_W(M_GUT)=3/8.</w:t>
      </w:r>
    </w:p>
    <w:p>
      <w:pPr>
        <w:pStyle w:val="ListBullet"/>
        <w:spacing w:after="80" w:line="264" w:lineRule="auto"/>
        <w:ind w:left="720" w:hanging="360"/>
      </w:pPr>
      <w:r>
        <w:rPr>
          <w:rFonts w:ascii="Calibri" w:hAnsi="Calibri"/>
          <w:color w:val="000000"/>
          <w:sz w:val="22"/>
        </w:rPr>
        <w:t>Le secteur 54⊕126*⊕10 (126* conjuguée) offre une chaîne Pati–Salam puis SM et deux matrices Yukawa renormalisables.</w:t>
      </w:r>
    </w:p>
    <w:p>
      <w:pPr>
        <w:pStyle w:val="ListBullet"/>
        <w:spacing w:after="80" w:line="264" w:lineRule="auto"/>
        <w:ind w:left="720" w:hanging="360"/>
      </w:pPr>
      <w:r>
        <w:rPr>
          <w:rFonts w:ascii="Calibri" w:hAnsi="Calibri"/>
          <w:color w:val="000000"/>
          <w:sz w:val="22"/>
        </w:rPr>
        <w:t>La voie Hamiltonienne miroir/SMG est compatible avec un espace fini au cutoff.</w:t>
      </w:r>
    </w:p>
    <w:p>
      <w:pPr>
        <w:pStyle w:val="ListBullet"/>
        <w:spacing w:after="80" w:line="264" w:lineRule="auto"/>
        <w:ind w:left="720" w:hanging="360"/>
      </w:pPr>
      <w:r>
        <w:rPr>
          <w:rFonts w:ascii="Calibri" w:hAnsi="Calibri"/>
          <w:color w:val="000000"/>
          <w:sz w:val="22"/>
        </w:rPr>
        <w:t>La projection de Gauss préserve exactement la positivité Gram du transfert.</w:t>
      </w:r>
    </w:p>
    <w:p>
      <w:pPr>
        <w:pStyle w:val="Heading2"/>
        <w:keepNext/>
      </w:pPr>
      <w:r>
        <w:t>Verrou réel restant</w:t>
      </w:r>
    </w:p>
    <w:p>
      <w:pPr>
        <w:pStyle w:val="ListBullet"/>
        <w:spacing w:after="80" w:line="264" w:lineRule="auto"/>
        <w:ind w:left="720" w:hanging="360"/>
      </w:pPr>
      <w:r>
        <w:rPr>
          <w:rFonts w:ascii="Calibri" w:hAnsi="Calibri"/>
          <w:color w:val="000000"/>
          <w:sz w:val="22"/>
        </w:rPr>
        <w:t>Le gap miroir uniforme sur des triangulations fluctuantes n’est pas démontré.</w:t>
      </w:r>
    </w:p>
    <w:p>
      <w:pPr>
        <w:pStyle w:val="ListBullet"/>
        <w:spacing w:after="80" w:line="264" w:lineRule="auto"/>
        <w:ind w:left="720" w:hanging="360"/>
      </w:pPr>
      <w:r>
        <w:rPr>
          <w:rFonts w:ascii="Calibri" w:hAnsi="Calibri"/>
          <w:color w:val="000000"/>
          <w:sz w:val="22"/>
        </w:rPr>
        <w:t>Trois familles sont postulées. Le raccourci H¹(T³) est réfuté sans brisure calculée.</w:t>
      </w:r>
    </w:p>
    <w:p>
      <w:pPr>
        <w:pStyle w:val="ListBullet"/>
        <w:spacing w:after="80" w:line="264" w:lineRule="auto"/>
        <w:ind w:left="720" w:hanging="360"/>
      </w:pPr>
      <w:r>
        <w:rPr>
          <w:rFonts w:ascii="Calibri" w:hAnsi="Calibri"/>
          <w:color w:val="000000"/>
          <w:sz w:val="22"/>
        </w:rPr>
        <w:t>Masses, CKM/PMNS, Higgs léger, confinement, CP fort et seuils GUT ne sont pas dérivés.</w:t>
      </w:r>
    </w:p>
    <w:p>
      <w:pPr>
        <w:pStyle w:val="ListBullet"/>
        <w:spacing w:after="80" w:line="264" w:lineRule="auto"/>
        <w:ind w:left="720" w:hanging="360"/>
      </w:pPr>
      <w:r>
        <w:rPr>
          <w:rFonts w:ascii="Calibri" w:hAnsi="Calibri"/>
          <w:color w:val="000000"/>
          <w:sz w:val="22"/>
        </w:rPr>
        <w:t>Aucune preuve non perturbative 3+1 connue ne donne simultanément mesure chirale non abélienne, localité uniforme et géométrie fluctuante.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D_Λ gauge-covariant avec relation GW ou SMG équivalente, localité uniforme, index correct et mesure intégrable sur tous secteurs.</w:t>
            </w:r>
          </w:p>
        </w:tc>
        <w:tc>
          <w:tcPr>
            <w:tcW w:type="dxa" w:w="4680"/>
            <w:vAlign w:val="center"/>
          </w:tcPr>
          <w:p>
            <w:pPr>
              <w:spacing w:after="0" w:line="245" w:lineRule="auto"/>
            </w:pPr>
            <w:r>
              <w:rPr>
                <w:rFonts w:ascii="Calibri" w:hAnsi="Calibri"/>
                <w:color w:val="000000"/>
                <w:sz w:val="17"/>
              </w:rPr>
              <w:t>Mode miroir sans masse, brisure de jauge du régulateur ou déterminant/mesure non cohérent.</w:t>
            </w:r>
          </w:p>
        </w:tc>
      </w:tr>
      <w:tr>
        <w:trPr>
          <w:cantSplit/>
        </w:trPr>
        <w:tc>
          <w:tcPr>
            <w:tcW w:type="dxa" w:w="4680"/>
            <w:vAlign w:val="center"/>
          </w:tcPr>
          <w:p>
            <w:pPr>
              <w:spacing w:after="0" w:line="245" w:lineRule="auto"/>
            </w:pPr>
            <w:r>
              <w:rPr>
                <w:rFonts w:ascii="Calibri" w:hAnsi="Calibri"/>
                <w:color w:val="000000"/>
                <w:sz w:val="17"/>
              </w:rPr>
              <w:t>Gap miroir Δ_mirror≥c/a avec c&gt;0 uniforme en volume, coordination, jauge admissible et géométrie.</w:t>
            </w:r>
          </w:p>
        </w:tc>
        <w:tc>
          <w:tcPr>
            <w:tcW w:type="dxa" w:w="4680"/>
            <w:vAlign w:val="center"/>
          </w:tcPr>
          <w:p>
            <w:pPr>
              <w:spacing w:after="0" w:line="245" w:lineRule="auto"/>
            </w:pPr>
            <w:r>
              <w:rPr>
                <w:rFonts w:ascii="Calibri" w:hAnsi="Calibri"/>
                <w:color w:val="000000"/>
                <w:sz w:val="17"/>
              </w:rPr>
              <w:t>Familles ajoutées après coup, Higgs irréaliste ou proton trop rapide pour toute région non fine-tunée.</w:t>
            </w:r>
          </w:p>
        </w:tc>
      </w:tr>
      <w:tr>
        <w:trPr>
          <w:cantSplit/>
        </w:trPr>
        <w:tc>
          <w:tcPr>
            <w:tcW w:type="dxa" w:w="4680"/>
            <w:vAlign w:val="center"/>
          </w:tcPr>
          <w:p>
            <w:pPr>
              <w:spacing w:after="0" w:line="245" w:lineRule="auto"/>
            </w:pPr>
            <w:r>
              <w:rPr>
                <w:rFonts w:ascii="Calibri" w:hAnsi="Calibri"/>
                <w:color w:val="000000"/>
                <w:sz w:val="17"/>
              </w:rPr>
              <w:t>Spectre SU(3)×SU(2)×U(1), trois familles, masses/mélanges et brisure électrofaible dans une même trajectoire RG.</w:t>
            </w:r>
          </w:p>
        </w:tc>
        <w:tc>
          <w:tcPr>
            <w:tcW w:type="dxa" w:w="4680"/>
            <w:vAlign w:val="center"/>
          </w:tcPr>
          <w:p>
            <w:pPr>
              <w:spacing w:after="0" w:line="245" w:lineRule="auto"/>
            </w:pPr>
            <w:r>
              <w:rPr>
                <w:rFonts w:ascii="Calibri" w:hAnsi="Calibri"/>
                <w:color w:val="000000"/>
                <w:sz w:val="17"/>
              </w:rPr>
              <w:t>Constante de localité ou gap miroir s’effondrant avec volume, coordination ou champ de jauge.</w:t>
            </w:r>
          </w:p>
        </w:tc>
      </w:tr>
    </w:tbl>
    <w:p>
      <w:pPr>
        <w:keepLines w:val="0"/>
        <w:spacing w:before="0" w:after="120" w:line="264" w:lineRule="auto"/>
        <w:jc w:val="left"/>
      </w:pPr>
      <w:r>
        <w:rPr>
          <w:rFonts w:ascii="Calibri" w:hAnsi="Calibri"/>
          <w:b w:val="0"/>
          <w:i w:val="0"/>
          <w:color w:val="000000"/>
          <w:sz w:val="22"/>
        </w:rPr>
      </w:r>
    </w:p>
    <w:p>
      <w:pPr>
        <w:pStyle w:val="Heading1"/>
        <w:keepNext/>
      </w:pPr>
      <w:r>
        <w:t>G4 — Unification des quatre forces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UNIFICATION DES JAUGES CANDIDATE • gravité+Spin(10) non unifiées au sens fort</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Spin(10) est simple : les trois interactions de jauge partagent un couplage au-dessus de M_GUT.</w:t>
      </w:r>
    </w:p>
    <w:p>
      <w:pPr>
        <w:pStyle w:val="ListBullet"/>
        <w:spacing w:after="80" w:line="264" w:lineRule="auto"/>
        <w:ind w:left="720" w:hanging="360"/>
      </w:pPr>
      <w:r>
        <w:rPr>
          <w:rFonts w:ascii="Calibri" w:hAnsi="Calibri"/>
          <w:color w:val="000000"/>
          <w:sz w:val="22"/>
        </w:rPr>
        <w:t>Jauge et matière vivent sur les mêmes complexes que la gravité; les poids duaux créent des vertices mixtes non nuls.</w:t>
      </w:r>
    </w:p>
    <w:p>
      <w:pPr>
        <w:pStyle w:val="ListBullet"/>
        <w:spacing w:after="80" w:line="264" w:lineRule="auto"/>
        <w:ind w:left="720" w:hanging="360"/>
      </w:pPr>
      <w:r>
        <w:rPr>
          <w:rFonts w:ascii="Calibri" w:hAnsi="Calibri"/>
          <w:color w:val="000000"/>
          <w:sz w:val="22"/>
        </w:rPr>
        <w:t>Le coarse-graining doit agir sur une seule action effective Γ_k[g,U,Φ,χ].</w:t>
      </w:r>
    </w:p>
    <w:p>
      <w:pPr>
        <w:pStyle w:val="ListBullet"/>
        <w:spacing w:after="80" w:line="264" w:lineRule="auto"/>
        <w:ind w:left="720" w:hanging="360"/>
      </w:pPr>
      <w:r>
        <w:rPr>
          <w:rFonts w:ascii="Calibri" w:hAnsi="Calibri"/>
          <w:color w:val="000000"/>
          <w:sz w:val="22"/>
        </w:rPr>
        <w:t>Le certificat à une boucle prouve que le spectre SM nu ne s’unifie pas : les seuils Pati–Salam sont obligatoires.</w:t>
      </w:r>
    </w:p>
    <w:p>
      <w:pPr>
        <w:pStyle w:val="Heading2"/>
        <w:keepNext/>
      </w:pPr>
      <w:r>
        <w:t>Verrou réel restant</w:t>
      </w:r>
    </w:p>
    <w:p>
      <w:pPr>
        <w:pStyle w:val="ListBullet"/>
        <w:spacing w:after="80" w:line="264" w:lineRule="auto"/>
        <w:ind w:left="720" w:hanging="360"/>
      </w:pPr>
      <w:r>
        <w:rPr>
          <w:rFonts w:ascii="Calibri" w:hAnsi="Calibri"/>
          <w:color w:val="000000"/>
          <w:sz w:val="22"/>
        </w:rPr>
        <w:t>Newton et g_10 restent des directions indépendantes; aucune symétrie simple ne les relie.</w:t>
      </w:r>
    </w:p>
    <w:p>
      <w:pPr>
        <w:pStyle w:val="ListBullet"/>
        <w:spacing w:after="80" w:line="264" w:lineRule="auto"/>
        <w:ind w:left="720" w:hanging="360"/>
      </w:pPr>
      <w:r>
        <w:rPr>
          <w:rFonts w:ascii="Calibri" w:hAnsi="Calibri"/>
          <w:color w:val="000000"/>
          <w:sz w:val="22"/>
        </w:rPr>
        <w:t>Un vertex mixte prouve le couplage, pas l’unification. Un point fixe commun n’est pas encore trouvé.</w:t>
      </w:r>
    </w:p>
    <w:p>
      <w:pPr>
        <w:pStyle w:val="ListBullet"/>
        <w:spacing w:after="80" w:line="264" w:lineRule="auto"/>
        <w:ind w:left="720" w:hanging="360"/>
      </w:pPr>
      <w:r>
        <w:rPr>
          <w:rFonts w:ascii="Calibri" w:hAnsi="Calibri"/>
          <w:color w:val="000000"/>
          <w:sz w:val="22"/>
        </w:rPr>
        <w:t>La branche GraviGUT Spin(3,11) est étudiée en parallèle mais non adoptée : groupe non compact, RP et régulateur dynamique non contrôlés.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Un unique point fixe UV de Γ_k avec nombre fini de directions pertinentes et identité de matching complète.</w:t>
            </w:r>
          </w:p>
        </w:tc>
        <w:tc>
          <w:tcPr>
            <w:tcW w:type="dxa" w:w="4680"/>
            <w:vAlign w:val="center"/>
          </w:tcPr>
          <w:p>
            <w:pPr>
              <w:spacing w:after="0" w:line="245" w:lineRule="auto"/>
            </w:pPr>
            <w:r>
              <w:rPr>
                <w:rFonts w:ascii="Calibri" w:hAnsi="Calibri"/>
                <w:color w:val="000000"/>
                <w:sz w:val="17"/>
              </w:rPr>
              <w:t>Γ_k se factorise en gravité⊕GUT sans relation universelle autre que le couplage minimal.</w:t>
            </w:r>
          </w:p>
        </w:tc>
      </w:tr>
      <w:tr>
        <w:trPr>
          <w:cantSplit/>
        </w:trPr>
        <w:tc>
          <w:tcPr>
            <w:tcW w:type="dxa" w:w="4680"/>
            <w:vAlign w:val="center"/>
          </w:tcPr>
          <w:p>
            <w:pPr>
              <w:spacing w:after="0" w:line="245" w:lineRule="auto"/>
            </w:pPr>
            <w:r>
              <w:rPr>
                <w:rFonts w:ascii="Calibri" w:hAnsi="Calibri"/>
                <w:color w:val="000000"/>
                <w:sz w:val="17"/>
              </w:rPr>
              <w:t>Relations de couplages qui survivent aux seuils et donnent des prédictions non ajustées de proton, neutrino ou gravité.</w:t>
            </w:r>
          </w:p>
        </w:tc>
        <w:tc>
          <w:tcPr>
            <w:tcW w:type="dxa" w:w="4680"/>
            <w:vAlign w:val="center"/>
          </w:tcPr>
          <w:p>
            <w:pPr>
              <w:spacing w:after="0" w:line="245" w:lineRule="auto"/>
            </w:pPr>
            <w:r>
              <w:rPr>
                <w:rFonts w:ascii="Calibri" w:hAnsi="Calibri"/>
                <w:color w:val="000000"/>
                <w:sz w:val="17"/>
              </w:rPr>
              <w:t>Landau pole, instabilité, non-unitarité ou échec de l’unification des couplages pour tout spectre admissible.</w:t>
            </w:r>
          </w:p>
        </w:tc>
      </w:tr>
      <w:tr>
        <w:trPr>
          <w:cantSplit/>
        </w:trPr>
        <w:tc>
          <w:tcPr>
            <w:tcW w:type="dxa" w:w="4680"/>
            <w:vAlign w:val="center"/>
          </w:tcPr>
          <w:p>
            <w:pPr>
              <w:spacing w:after="0" w:line="245" w:lineRule="auto"/>
            </w:pPr>
            <w:r>
              <w:rPr>
                <w:rFonts w:ascii="Calibri" w:hAnsi="Calibri"/>
                <w:color w:val="000000"/>
                <w:sz w:val="17"/>
              </w:rPr>
              <w:t>Durée et branches de désintégration du proton compatibles avec les limites, calculées depuis le même potentiel de brisure.</w:t>
            </w:r>
          </w:p>
        </w:tc>
        <w:tc>
          <w:tcPr>
            <w:tcW w:type="dxa" w:w="4680"/>
            <w:vAlign w:val="center"/>
          </w:tcPr>
          <w:p>
            <w:pPr>
              <w:spacing w:after="0" w:line="245" w:lineRule="auto"/>
            </w:pPr>
            <w:r>
              <w:rPr>
                <w:rFonts w:ascii="Calibri" w:hAnsi="Calibri"/>
                <w:color w:val="000000"/>
                <w:sz w:val="17"/>
              </w:rPr>
              <w:t>Aucun choix de seuils issu du potentiel ne satisfait simultanément couplages, masses et limites de désintégration du proton.</w:t>
            </w:r>
          </w:p>
        </w:tc>
      </w:tr>
    </w:tbl>
    <w:p>
      <w:pPr>
        <w:keepLines w:val="0"/>
        <w:spacing w:before="0" w:after="120" w:line="264" w:lineRule="auto"/>
        <w:jc w:val="left"/>
      </w:pPr>
      <w:r>
        <w:rPr>
          <w:rFonts w:ascii="Calibri" w:hAnsi="Calibri"/>
          <w:b w:val="0"/>
          <w:i w:val="0"/>
          <w:color w:val="000000"/>
          <w:sz w:val="22"/>
        </w:rPr>
      </w:r>
    </w:p>
    <w:p>
      <w:pPr>
        <w:pStyle w:val="Heading1"/>
        <w:keepNext/>
      </w:pPr>
      <w:r>
        <w:t>G5 — Cosmologie et constante cosmologique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PIPELINE DÉFINI • cosmologie/Λ OUVERTES</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La topologie T³ donne un secteur cosmologique homogène naturel sans terme de courbure spatiale global.</w:t>
      </w:r>
    </w:p>
    <w:p>
      <w:pPr>
        <w:pStyle w:val="ListBullet"/>
        <w:spacing w:after="80" w:line="264" w:lineRule="auto"/>
        <w:ind w:left="720" w:hanging="360"/>
      </w:pPr>
      <w:r>
        <w:rPr>
          <w:rFonts w:ascii="Calibri" w:hAnsi="Calibri"/>
          <w:color w:val="000000"/>
          <w:sz w:val="22"/>
        </w:rPr>
        <w:t>La matrice de transfert du volume peut produire une action de minisuperspace et les perturbations viennent des corrélateurs complets.</w:t>
      </w:r>
    </w:p>
    <w:p>
      <w:pPr>
        <w:pStyle w:val="ListBullet"/>
        <w:spacing w:after="80" w:line="264" w:lineRule="auto"/>
        <w:ind w:left="720" w:hanging="360"/>
      </w:pPr>
      <w:r>
        <w:rPr>
          <w:rFonts w:ascii="Calibri" w:hAnsi="Calibri"/>
          <w:color w:val="000000"/>
          <w:sz w:val="22"/>
        </w:rPr>
        <w:t>Le no-go de normalisation interdit de confondre décalage spectral et prédiction de Λ.</w:t>
      </w:r>
    </w:p>
    <w:p>
      <w:pPr>
        <w:pStyle w:val="ListBullet"/>
        <w:spacing w:after="80" w:line="264" w:lineRule="auto"/>
        <w:ind w:left="720" w:hanging="360"/>
      </w:pPr>
      <w:r>
        <w:rPr>
          <w:rFonts w:ascii="Calibri" w:hAnsi="Calibri"/>
          <w:color w:val="000000"/>
          <w:sz w:val="22"/>
        </w:rPr>
        <w:t>Le volume et ses fluctuations peuvent être comparés directement aux reconstructions de minisuperspace de CDT.</w:t>
      </w:r>
    </w:p>
    <w:p>
      <w:pPr>
        <w:pStyle w:val="Heading2"/>
        <w:keepNext/>
      </w:pPr>
      <w:r>
        <w:t>Verrou réel restant</w:t>
      </w:r>
    </w:p>
    <w:p>
      <w:pPr>
        <w:pStyle w:val="ListBullet"/>
        <w:spacing w:after="80" w:line="264" w:lineRule="auto"/>
        <w:ind w:left="720" w:hanging="360"/>
      </w:pPr>
      <w:r>
        <w:rPr>
          <w:rFonts w:ascii="Calibri" w:hAnsi="Calibri"/>
          <w:color w:val="000000"/>
          <w:sz w:val="22"/>
        </w:rPr>
        <w:t>Aucun fond FRW, spectre scalaire/tensoriel, histoire thermique, baryogenèse ou abondance sombre n’est calculé.</w:t>
      </w:r>
    </w:p>
    <w:p>
      <w:pPr>
        <w:pStyle w:val="ListBullet"/>
        <w:spacing w:after="80" w:line="264" w:lineRule="auto"/>
        <w:ind w:left="720" w:hanging="360"/>
      </w:pPr>
      <w:r>
        <w:rPr>
          <w:rFonts w:ascii="Calibri" w:hAnsi="Calibri"/>
          <w:color w:val="000000"/>
          <w:sz w:val="22"/>
        </w:rPr>
        <w:t>μ est une direction de volume; sa relation à Λ_ren doit être obtenue sur la surface critique.</w:t>
      </w:r>
    </w:p>
    <w:p>
      <w:pPr>
        <w:pStyle w:val="ListBullet"/>
        <w:spacing w:after="80" w:line="264" w:lineRule="auto"/>
        <w:ind w:left="720" w:hanging="360"/>
      </w:pPr>
      <w:r>
        <w:rPr>
          <w:rFonts w:ascii="Calibri" w:hAnsi="Calibri"/>
          <w:color w:val="000000"/>
          <w:sz w:val="22"/>
        </w:rPr>
        <w:t>β1.1 ne contient encore ni mécanisme dérivé de matière noire ni solution dérivée du problème CP fort.</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Fond, équations de Friedmann effectives, conservation, perturbations et limite GR obtenus depuis la même Γ_k.</w:t>
            </w:r>
          </w:p>
        </w:tc>
        <w:tc>
          <w:tcPr>
            <w:tcW w:type="dxa" w:w="4680"/>
            <w:vAlign w:val="center"/>
          </w:tcPr>
          <w:p>
            <w:pPr>
              <w:spacing w:after="0" w:line="245" w:lineRule="auto"/>
            </w:pPr>
            <w:r>
              <w:rPr>
                <w:rFonts w:ascii="Calibri" w:hAnsi="Calibri"/>
                <w:color w:val="000000"/>
                <w:sz w:val="17"/>
              </w:rPr>
              <w:t>Le fond dépend du confinement auxiliaire, de la normalisation de T ou du choix de fenêtre.</w:t>
            </w:r>
          </w:p>
        </w:tc>
      </w:tr>
      <w:tr>
        <w:trPr>
          <w:cantSplit/>
        </w:trPr>
        <w:tc>
          <w:tcPr>
            <w:tcW w:type="dxa" w:w="4680"/>
            <w:vAlign w:val="center"/>
          </w:tcPr>
          <w:p>
            <w:pPr>
              <w:spacing w:after="0" w:line="245" w:lineRule="auto"/>
            </w:pPr>
            <w:r>
              <w:rPr>
                <w:rFonts w:ascii="Calibri" w:hAnsi="Calibri"/>
                <w:color w:val="000000"/>
                <w:sz w:val="17"/>
              </w:rPr>
              <w:t>Λ absolue après scale setting, n_s, r et au moins une observable tardive prédits avant comparaison.</w:t>
            </w:r>
          </w:p>
        </w:tc>
        <w:tc>
          <w:tcPr>
            <w:tcW w:type="dxa" w:w="4680"/>
            <w:vAlign w:val="center"/>
          </w:tcPr>
          <w:p>
            <w:pPr>
              <w:spacing w:after="0" w:line="245" w:lineRule="auto"/>
            </w:pPr>
            <w:r>
              <w:rPr>
                <w:rFonts w:ascii="Calibri" w:hAnsi="Calibri"/>
                <w:color w:val="000000"/>
                <w:sz w:val="17"/>
              </w:rPr>
              <w:t>Instabilité cosmologique, Λ réglée après coup, perturbations incompatibles ou absence d’histoire matière/rayonnement.</w:t>
            </w:r>
          </w:p>
        </w:tc>
      </w:tr>
    </w:tbl>
    <w:p>
      <w:pPr>
        <w:keepLines w:val="0"/>
        <w:spacing w:before="0" w:after="120" w:line="264" w:lineRule="auto"/>
        <w:jc w:val="left"/>
      </w:pPr>
      <w:r>
        <w:rPr>
          <w:rFonts w:ascii="Calibri" w:hAnsi="Calibri"/>
          <w:b w:val="0"/>
          <w:i w:val="0"/>
          <w:color w:val="000000"/>
          <w:sz w:val="22"/>
        </w:rPr>
      </w:r>
    </w:p>
    <w:p>
      <w:pPr>
        <w:pStyle w:val="Heading1"/>
        <w:keepNext/>
      </w:pPr>
      <w:r>
        <w:t>G6 — Prédiction externe et réplication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β1.1. </w:t>
            </w:r>
            <w:r>
              <w:rPr>
                <w:rFonts w:ascii="Calibri" w:hAnsi="Calibri"/>
                <w:color w:val="7A5A00"/>
                <w:sz w:val="22"/>
              </w:rPr>
              <w:t>OUVERTE [EMP] • aucune donnée extérieure ne peut être fabriquée ici</w:t>
            </w:r>
          </w:p>
        </w:tc>
      </w:tr>
    </w:tbl>
    <w:p>
      <w:pPr>
        <w:keepLines w:val="0"/>
        <w:spacing w:before="0" w:after="40" w:line="264" w:lineRule="auto"/>
        <w:jc w:val="left"/>
      </w:pPr>
      <w:r>
        <w:rPr>
          <w:rFonts w:ascii="Calibri" w:hAnsi="Calibri"/>
          <w:b w:val="0"/>
          <w:i w:val="0"/>
          <w:color w:val="000000"/>
          <w:sz w:val="22"/>
        </w:rPr>
      </w:r>
    </w:p>
    <w:p>
      <w:pPr>
        <w:pStyle w:val="Heading2"/>
        <w:keepNext/>
      </w:pPr>
      <w:r>
        <w:t>Ce que β1.1 fournit</w:t>
      </w:r>
    </w:p>
    <w:p>
      <w:pPr>
        <w:pStyle w:val="ListBullet"/>
        <w:spacing w:after="80" w:line="264" w:lineRule="auto"/>
        <w:ind w:left="720" w:hanging="360"/>
      </w:pPr>
      <w:r>
        <w:rPr>
          <w:rFonts w:ascii="Calibri" w:hAnsi="Calibri"/>
          <w:color w:val="000000"/>
          <w:sz w:val="22"/>
        </w:rPr>
        <w:t>Le registre fournit des prédictions structurelles pré-enregistrables : 3/8 au GUT, ratios de platitude, exposants critiques, résidus et relations de matching.</w:t>
      </w:r>
    </w:p>
    <w:p>
      <w:pPr>
        <w:pStyle w:val="ListBullet"/>
        <w:spacing w:after="80" w:line="264" w:lineRule="auto"/>
        <w:ind w:left="720" w:hanging="360"/>
      </w:pPr>
      <w:r>
        <w:rPr>
          <w:rFonts w:ascii="Calibri" w:hAnsi="Calibri"/>
          <w:color w:val="000000"/>
          <w:sz w:val="22"/>
        </w:rPr>
        <w:t>Chaque mesure possède désormais un veto et une dépendance de porte.</w:t>
      </w:r>
    </w:p>
    <w:p>
      <w:pPr>
        <w:pStyle w:val="ListBullet"/>
        <w:spacing w:after="80" w:line="264" w:lineRule="auto"/>
        <w:ind w:left="720" w:hanging="360"/>
      </w:pPr>
      <w:r>
        <w:rPr>
          <w:rFonts w:ascii="Calibri" w:hAnsi="Calibri"/>
          <w:color w:val="000000"/>
          <w:sz w:val="22"/>
        </w:rPr>
        <w:t>Les scripts de certificat sont déterministes et séparés des simulations physiques.</w:t>
      </w:r>
    </w:p>
    <w:p>
      <w:pPr>
        <w:pStyle w:val="ListBullet"/>
        <w:spacing w:after="80" w:line="264" w:lineRule="auto"/>
        <w:ind w:left="720" w:hanging="360"/>
      </w:pPr>
      <w:r>
        <w:rPr>
          <w:rFonts w:ascii="Calibri" w:hAnsi="Calibri"/>
          <w:color w:val="000000"/>
          <w:sz w:val="22"/>
        </w:rPr>
        <w:t>Le vecteur minimal de gel est (ν,z,η_TT,Z_TT,c_T/c_m,ratios universels,τ_p,branches), avec matrice de covariance.</w:t>
      </w:r>
    </w:p>
    <w:p>
      <w:pPr>
        <w:pStyle w:val="Heading2"/>
        <w:keepNext/>
      </w:pPr>
      <w:r>
        <w:t>Verrou réel restant</w:t>
      </w:r>
    </w:p>
    <w:p>
      <w:pPr>
        <w:pStyle w:val="ListBullet"/>
        <w:spacing w:after="80" w:line="264" w:lineRule="auto"/>
        <w:ind w:left="720" w:hanging="360"/>
      </w:pPr>
      <w:r>
        <w:rPr>
          <w:rFonts w:ascii="Calibri" w:hAnsi="Calibri"/>
          <w:color w:val="000000"/>
          <w:sz w:val="22"/>
        </w:rPr>
        <w:t>Aucune prédiction BLOB-specific, dimensionnée, aveugle et non utilisée pour ajuster β1.1 n’a encore été confrontée.</w:t>
      </w:r>
    </w:p>
    <w:p>
      <w:pPr>
        <w:pStyle w:val="ListBullet"/>
        <w:spacing w:after="80" w:line="264" w:lineRule="auto"/>
        <w:ind w:left="720" w:hanging="360"/>
      </w:pPr>
      <w:r>
        <w:rPr>
          <w:rFonts w:ascii="Calibri" w:hAnsi="Calibri"/>
          <w:color w:val="000000"/>
          <w:sz w:val="22"/>
        </w:rPr>
        <w:t>Aucune équipe indépendante n’a reproduit code, continuum et observable.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 obligatoire</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 / FAIL</w:t>
            </w:r>
          </w:p>
        </w:tc>
      </w:tr>
      <w:tr>
        <w:trPr>
          <w:cantSplit/>
        </w:trPr>
        <w:tc>
          <w:tcPr>
            <w:tcW w:type="dxa" w:w="4680"/>
            <w:vAlign w:val="center"/>
          </w:tcPr>
          <w:p>
            <w:pPr>
              <w:spacing w:after="0" w:line="245" w:lineRule="auto"/>
            </w:pPr>
            <w:r>
              <w:rPr>
                <w:rFonts w:ascii="Calibri" w:hAnsi="Calibri"/>
                <w:color w:val="000000"/>
                <w:sz w:val="17"/>
              </w:rPr>
              <w:t>Gel public du code/paramètres, prédiction chiffrée avec intervalle, horodatée avant la donnée ou l’analyse aveugle.</w:t>
            </w:r>
          </w:p>
        </w:tc>
        <w:tc>
          <w:tcPr>
            <w:tcW w:type="dxa" w:w="4680"/>
            <w:vAlign w:val="center"/>
          </w:tcPr>
          <w:p>
            <w:pPr>
              <w:spacing w:after="0" w:line="245" w:lineRule="auto"/>
            </w:pPr>
            <w:r>
              <w:rPr>
                <w:rFonts w:ascii="Calibri" w:hAnsi="Calibri"/>
                <w:color w:val="000000"/>
                <w:sz w:val="17"/>
              </w:rPr>
              <w:t>La « prédiction » est une identité, une quantité ayant servi au fit ou une fenêtre choisie après résultat.</w:t>
            </w:r>
          </w:p>
        </w:tc>
      </w:tr>
      <w:tr>
        <w:trPr>
          <w:cantSplit/>
        </w:trPr>
        <w:tc>
          <w:tcPr>
            <w:tcW w:type="dxa" w:w="4680"/>
            <w:vAlign w:val="center"/>
          </w:tcPr>
          <w:p>
            <w:pPr>
              <w:spacing w:after="0" w:line="245" w:lineRule="auto"/>
            </w:pPr>
            <w:r>
              <w:rPr>
                <w:rFonts w:ascii="Calibri" w:hAnsi="Calibri"/>
                <w:color w:val="000000"/>
                <w:sz w:val="17"/>
              </w:rPr>
              <w:t>Au moins deux réplications indépendantes et comparaison bayésienne/likelihood à des modèles concurrents.</w:t>
            </w:r>
          </w:p>
        </w:tc>
        <w:tc>
          <w:tcPr>
            <w:tcW w:type="dxa" w:w="4680"/>
            <w:vAlign w:val="center"/>
          </w:tcPr>
          <w:p>
            <w:pPr>
              <w:spacing w:after="0" w:line="245" w:lineRule="auto"/>
            </w:pPr>
            <w:r>
              <w:rPr>
                <w:rFonts w:ascii="Calibri" w:hAnsi="Calibri"/>
                <w:color w:val="000000"/>
                <w:sz w:val="17"/>
              </w:rPr>
              <w:t>Échec de réplication ou déplacement des critères après connaissance des données.</w:t>
            </w:r>
          </w:p>
        </w:tc>
      </w:tr>
    </w:tbl>
    <w:p>
      <w:pPr>
        <w:keepLines w:val="0"/>
        <w:spacing w:before="0" w:after="120" w:line="264" w:lineRule="auto"/>
        <w:jc w:val="left"/>
      </w:pPr>
      <w:r>
        <w:rPr>
          <w:rFonts w:ascii="Calibri" w:hAnsi="Calibri"/>
          <w:b w:val="0"/>
          <w:i w:val="0"/>
          <w:color w:val="000000"/>
          <w:sz w:val="22"/>
        </w:rPr>
      </w:r>
    </w:p>
    <w:p>
      <w:pPr>
        <w:pStyle w:val="Heading1"/>
        <w:keepNext/>
      </w:pPr>
      <w:r>
        <w:t>Tableau final des sept portes</w:t>
      </w:r>
    </w:p>
    <w:tbl>
      <w:tblPr>
        <w:tblStyle w:val="TableGrid"/>
        <w:tblW w:type="dxa" w:w="9360"/>
        <w:tblLayout w:type="fixed"/>
        <w:tblLook w:firstColumn="1" w:firstRow="1" w:lastColumn="0" w:lastRow="0" w:noHBand="0" w:noVBand="1" w:val="04A0"/>
        <w:jc w:val="left"/>
        <w:tblInd w:w="120" w:type="dxa"/>
      </w:tblPr>
      <w:tblGrid>
        <w:gridCol w:w="900"/>
        <w:gridCol w:w="2600"/>
        <w:gridCol w:w="3740"/>
        <w:gridCol w:w="2120"/>
      </w:tblGrid>
      <w:tr>
        <w:trPr>
          <w:tblHeader w:val="true"/>
          <w:cantSplit/>
          <w:tblHeader w:val="true"/>
        </w:trPr>
        <w:tc>
          <w:tcPr>
            <w:tcW w:type="dxa" w:w="900"/>
            <w:tcMar>
              <w:top w:w="80" w:type="dxa"/>
              <w:start w:w="120" w:type="dxa"/>
              <w:bottom w:w="80" w:type="dxa"/>
              <w:end w:w="120" w:type="dxa"/>
            </w:tcMar>
            <w:vAlign w:val="center"/>
            <w:shd w:fill="E8EEF5"/>
          </w:tcPr>
          <w:p>
            <w:pPr>
              <w:spacing w:after="0" w:line="240" w:lineRule="auto"/>
            </w:pPr>
            <w:r>
              <w:rPr>
                <w:rFonts w:ascii="Calibri" w:hAnsi="Calibri"/>
                <w:b/>
                <w:color w:val="0B2545"/>
                <w:sz w:val="17"/>
              </w:rPr>
              <w:t>Porte</w:t>
            </w:r>
          </w:p>
        </w:tc>
        <w:tc>
          <w:tcPr>
            <w:tcW w:type="dxa" w:w="2600"/>
            <w:tcMar>
              <w:top w:w="80" w:type="dxa"/>
              <w:start w:w="120" w:type="dxa"/>
              <w:bottom w:w="80" w:type="dxa"/>
              <w:end w:w="120" w:type="dxa"/>
            </w:tcMar>
            <w:vAlign w:val="center"/>
            <w:shd w:fill="E8EEF5"/>
          </w:tcPr>
          <w:p>
            <w:pPr>
              <w:spacing w:after="0" w:line="240" w:lineRule="auto"/>
            </w:pPr>
            <w:r>
              <w:rPr>
                <w:rFonts w:ascii="Calibri" w:hAnsi="Calibri"/>
                <w:b/>
                <w:color w:val="0B2545"/>
                <w:sz w:val="17"/>
              </w:rPr>
              <w:t>Architecture β1.1</w:t>
            </w:r>
          </w:p>
        </w:tc>
        <w:tc>
          <w:tcPr>
            <w:tcW w:type="dxa" w:w="3740"/>
            <w:tcMar>
              <w:top w:w="80" w:type="dxa"/>
              <w:start w:w="120" w:type="dxa"/>
              <w:bottom w:w="80" w:type="dxa"/>
              <w:end w:w="120" w:type="dxa"/>
            </w:tcMar>
            <w:vAlign w:val="center"/>
            <w:shd w:fill="E8EEF5"/>
          </w:tcPr>
          <w:p>
            <w:pPr>
              <w:spacing w:after="0" w:line="240" w:lineRule="auto"/>
            </w:pPr>
            <w:r>
              <w:rPr>
                <w:rFonts w:ascii="Calibri" w:hAnsi="Calibri"/>
                <w:b/>
                <w:color w:val="0B2545"/>
                <w:sz w:val="17"/>
              </w:rPr>
              <w:t>Résultat nécessaire</w:t>
            </w:r>
          </w:p>
        </w:tc>
        <w:tc>
          <w:tcPr>
            <w:tcW w:type="dxa" w:w="2120"/>
            <w:tcMar>
              <w:top w:w="80" w:type="dxa"/>
              <w:start w:w="120" w:type="dxa"/>
              <w:bottom w:w="80" w:type="dxa"/>
              <w:end w:w="120" w:type="dxa"/>
            </w:tcMar>
            <w:vAlign w:val="center"/>
            <w:shd w:fill="E8EEF5"/>
          </w:tcPr>
          <w:p>
            <w:pPr>
              <w:spacing w:after="0" w:line="240" w:lineRule="auto"/>
            </w:pPr>
            <w:r>
              <w:rPr>
                <w:rFonts w:ascii="Calibri" w:hAnsi="Calibri"/>
                <w:b/>
                <w:color w:val="0B2545"/>
                <w:sz w:val="17"/>
              </w:rPr>
              <w:t>Verdict</w:t>
            </w:r>
          </w:p>
        </w:tc>
      </w:tr>
      <w:tr>
        <w:trPr>
          <w:cantSplit/>
        </w:trPr>
        <w:tc>
          <w:tcPr>
            <w:tcW w:type="dxa" w:w="900"/>
            <w:vAlign w:val="center"/>
          </w:tcPr>
          <w:p>
            <w:pPr>
              <w:spacing w:after="0" w:line="245" w:lineRule="auto"/>
            </w:pPr>
            <w:r>
              <w:rPr>
                <w:rFonts w:ascii="Calibri" w:hAnsi="Calibri"/>
                <w:color w:val="000000"/>
                <w:sz w:val="17"/>
              </w:rPr>
              <w:t>G0</w:t>
            </w:r>
          </w:p>
        </w:tc>
        <w:tc>
          <w:tcPr>
            <w:tcW w:type="dxa" w:w="2600"/>
            <w:vAlign w:val="center"/>
          </w:tcPr>
          <w:p>
            <w:pPr>
              <w:spacing w:after="0" w:line="245" w:lineRule="auto"/>
            </w:pPr>
            <w:r>
              <w:rPr>
                <w:rFonts w:ascii="Calibri" w:hAnsi="Calibri"/>
                <w:color w:val="000000"/>
                <w:sz w:val="17"/>
              </w:rPr>
              <w:t>Complète au cutoff</w:t>
            </w:r>
          </w:p>
        </w:tc>
        <w:tc>
          <w:tcPr>
            <w:tcW w:type="dxa" w:w="3740"/>
            <w:vAlign w:val="center"/>
          </w:tcPr>
          <w:p>
            <w:pPr>
              <w:spacing w:after="0" w:line="245" w:lineRule="auto"/>
            </w:pPr>
            <w:r>
              <w:rPr>
                <w:rFonts w:ascii="Calibri" w:hAnsi="Calibri"/>
                <w:color w:val="000000"/>
                <w:sz w:val="17"/>
              </w:rPr>
              <w:t>Dérivation/limite unique</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G1</w:t>
            </w:r>
          </w:p>
        </w:tc>
        <w:tc>
          <w:tcPr>
            <w:tcW w:type="dxa" w:w="2600"/>
            <w:vAlign w:val="center"/>
          </w:tcPr>
          <w:p>
            <w:pPr>
              <w:spacing w:after="0" w:line="245" w:lineRule="auto"/>
            </w:pPr>
            <w:r>
              <w:rPr>
                <w:rFonts w:ascii="Calibri" w:hAnsi="Calibri"/>
                <w:color w:val="000000"/>
                <w:sz w:val="17"/>
              </w:rPr>
              <w:t>RP + cible z=3→1</w:t>
            </w:r>
          </w:p>
        </w:tc>
        <w:tc>
          <w:tcPr>
            <w:tcW w:type="dxa" w:w="3740"/>
            <w:vAlign w:val="center"/>
          </w:tcPr>
          <w:p>
            <w:pPr>
              <w:spacing w:after="0" w:line="245" w:lineRule="auto"/>
            </w:pPr>
            <w:r>
              <w:rPr>
                <w:rFonts w:ascii="Calibri" w:hAnsi="Calibri"/>
                <w:color w:val="000000"/>
                <w:sz w:val="17"/>
              </w:rPr>
              <w:t>Continuum OS/Lorentz</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G2</w:t>
            </w:r>
          </w:p>
        </w:tc>
        <w:tc>
          <w:tcPr>
            <w:tcW w:type="dxa" w:w="2600"/>
            <w:vAlign w:val="center"/>
          </w:tcPr>
          <w:p>
            <w:pPr>
              <w:spacing w:after="0" w:line="245" w:lineRule="auto"/>
            </w:pPr>
            <w:r>
              <w:rPr>
                <w:rFonts w:ascii="Calibri" w:hAnsi="Calibri"/>
                <w:color w:val="000000"/>
                <w:sz w:val="17"/>
              </w:rPr>
              <w:t>TT/Ward/Hamiltonien</w:t>
            </w:r>
          </w:p>
        </w:tc>
        <w:tc>
          <w:tcPr>
            <w:tcW w:type="dxa" w:w="3740"/>
            <w:vAlign w:val="center"/>
          </w:tcPr>
          <w:p>
            <w:pPr>
              <w:spacing w:after="0" w:line="245" w:lineRule="auto"/>
            </w:pPr>
            <w:r>
              <w:rPr>
                <w:rFonts w:ascii="Calibri" w:hAnsi="Calibri"/>
                <w:color w:val="000000"/>
                <w:sz w:val="17"/>
              </w:rPr>
              <w:t>Graviton 2 hélicités + G_N</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G3</w:t>
            </w:r>
          </w:p>
        </w:tc>
        <w:tc>
          <w:tcPr>
            <w:tcW w:type="dxa" w:w="2600"/>
            <w:vAlign w:val="center"/>
          </w:tcPr>
          <w:p>
            <w:pPr>
              <w:spacing w:after="0" w:line="245" w:lineRule="auto"/>
            </w:pPr>
            <w:r>
              <w:rPr>
                <w:rFonts w:ascii="Calibri" w:hAnsi="Calibri"/>
                <w:color w:val="000000"/>
                <w:sz w:val="17"/>
              </w:rPr>
              <w:t>Spin(10), 3×16, Higgs</w:t>
            </w:r>
          </w:p>
        </w:tc>
        <w:tc>
          <w:tcPr>
            <w:tcW w:type="dxa" w:w="3740"/>
            <w:vAlign w:val="center"/>
          </w:tcPr>
          <w:p>
            <w:pPr>
              <w:spacing w:after="0" w:line="245" w:lineRule="auto"/>
            </w:pPr>
            <w:r>
              <w:rPr>
                <w:rFonts w:ascii="Calibri" w:hAnsi="Calibri"/>
                <w:color w:val="000000"/>
                <w:sz w:val="17"/>
              </w:rPr>
              <w:t>Chiralité et spectre observé</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G4</w:t>
            </w:r>
          </w:p>
        </w:tc>
        <w:tc>
          <w:tcPr>
            <w:tcW w:type="dxa" w:w="2600"/>
            <w:vAlign w:val="center"/>
          </w:tcPr>
          <w:p>
            <w:pPr>
              <w:spacing w:after="0" w:line="245" w:lineRule="auto"/>
            </w:pPr>
            <w:r>
              <w:rPr>
                <w:rFonts w:ascii="Calibri" w:hAnsi="Calibri"/>
                <w:color w:val="000000"/>
                <w:sz w:val="17"/>
              </w:rPr>
              <w:t>Γ commune candidate</w:t>
            </w:r>
          </w:p>
        </w:tc>
        <w:tc>
          <w:tcPr>
            <w:tcW w:type="dxa" w:w="3740"/>
            <w:vAlign w:val="center"/>
          </w:tcPr>
          <w:p>
            <w:pPr>
              <w:spacing w:after="0" w:line="245" w:lineRule="auto"/>
            </w:pPr>
            <w:r>
              <w:rPr>
                <w:rFonts w:ascii="Calibri" w:hAnsi="Calibri"/>
                <w:color w:val="000000"/>
                <w:sz w:val="17"/>
              </w:rPr>
              <w:t>Point fixe et relations 4 forces</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G5</w:t>
            </w:r>
          </w:p>
        </w:tc>
        <w:tc>
          <w:tcPr>
            <w:tcW w:type="dxa" w:w="2600"/>
            <w:vAlign w:val="center"/>
          </w:tcPr>
          <w:p>
            <w:pPr>
              <w:spacing w:after="0" w:line="245" w:lineRule="auto"/>
            </w:pPr>
            <w:r>
              <w:rPr>
                <w:rFonts w:ascii="Calibri" w:hAnsi="Calibri"/>
                <w:color w:val="000000"/>
                <w:sz w:val="17"/>
              </w:rPr>
              <w:t>Volume/FRW pipeline</w:t>
            </w:r>
          </w:p>
        </w:tc>
        <w:tc>
          <w:tcPr>
            <w:tcW w:type="dxa" w:w="3740"/>
            <w:vAlign w:val="center"/>
          </w:tcPr>
          <w:p>
            <w:pPr>
              <w:spacing w:after="0" w:line="245" w:lineRule="auto"/>
            </w:pPr>
            <w:r>
              <w:rPr>
                <w:rFonts w:ascii="Calibri" w:hAnsi="Calibri"/>
                <w:color w:val="000000"/>
                <w:sz w:val="17"/>
              </w:rPr>
              <w:t>Cosmologie + Λ absolue</w:t>
            </w:r>
          </w:p>
        </w:tc>
        <w:tc>
          <w:tcPr>
            <w:tcW w:type="dxa" w:w="2120"/>
            <w:vAlign w:val="center"/>
            <w:shd w:fill="FFF4D6"/>
          </w:tcPr>
          <w:p>
            <w:pPr>
              <w:spacing w:after="0" w:line="245" w:lineRule="auto"/>
            </w:pPr>
            <w:r>
              <w:rPr>
                <w:rFonts w:ascii="Calibri" w:hAnsi="Calibri"/>
                <w:b/>
                <w:color w:val="7A5A00"/>
                <w:sz w:val="17"/>
              </w:rPr>
              <w:t>OUVERTE</w:t>
            </w:r>
          </w:p>
        </w:tc>
      </w:tr>
      <w:tr>
        <w:trPr>
          <w:cantSplit/>
        </w:trPr>
        <w:tc>
          <w:tcPr>
            <w:tcW w:type="dxa" w:w="900"/>
            <w:vAlign w:val="center"/>
          </w:tcPr>
          <w:p>
            <w:pPr>
              <w:spacing w:after="0" w:line="245" w:lineRule="auto"/>
            </w:pPr>
            <w:r>
              <w:rPr>
                <w:rFonts w:ascii="Calibri" w:hAnsi="Calibri"/>
                <w:color w:val="000000"/>
                <w:sz w:val="17"/>
              </w:rPr>
              <w:t>G6</w:t>
            </w:r>
          </w:p>
        </w:tc>
        <w:tc>
          <w:tcPr>
            <w:tcW w:type="dxa" w:w="2600"/>
            <w:vAlign w:val="center"/>
          </w:tcPr>
          <w:p>
            <w:pPr>
              <w:spacing w:after="0" w:line="245" w:lineRule="auto"/>
            </w:pPr>
            <w:r>
              <w:rPr>
                <w:rFonts w:ascii="Calibri" w:hAnsi="Calibri"/>
                <w:color w:val="000000"/>
                <w:sz w:val="17"/>
              </w:rPr>
              <w:t>Pré-enregistrement prêt</w:t>
            </w:r>
          </w:p>
        </w:tc>
        <w:tc>
          <w:tcPr>
            <w:tcW w:type="dxa" w:w="3740"/>
            <w:vAlign w:val="center"/>
          </w:tcPr>
          <w:p>
            <w:pPr>
              <w:spacing w:after="0" w:line="245" w:lineRule="auto"/>
            </w:pPr>
            <w:r>
              <w:rPr>
                <w:rFonts w:ascii="Calibri" w:hAnsi="Calibri"/>
                <w:color w:val="000000"/>
                <w:sz w:val="17"/>
              </w:rPr>
              <w:t>Prédiction + réplication</w:t>
            </w:r>
          </w:p>
        </w:tc>
        <w:tc>
          <w:tcPr>
            <w:tcW w:type="dxa" w:w="2120"/>
            <w:vAlign w:val="center"/>
            <w:shd w:fill="FFF4D6"/>
          </w:tcPr>
          <w:p>
            <w:pPr>
              <w:spacing w:after="0" w:line="245" w:lineRule="auto"/>
            </w:pPr>
            <w:r>
              <w:rPr>
                <w:rFonts w:ascii="Calibri" w:hAnsi="Calibri"/>
                <w:b/>
                <w:color w:val="7A5A00"/>
                <w:sz w:val="17"/>
              </w:rPr>
              <w:t>OUVERTE [EMP]</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Score exact. </w:t>
            </w:r>
            <w:r>
              <w:rPr>
                <w:rFonts w:ascii="Calibri" w:hAnsi="Calibri"/>
                <w:color w:val="0B2545"/>
                <w:sz w:val="22"/>
              </w:rPr>
              <w:t>7/7 portes ont maintenant une architecture, un observable et un critère de mort. 0/7 sont physiquement validées. Cette différence est précisément ce qui transforme un récit en programme falsifiable.</w:t>
            </w:r>
          </w:p>
        </w:tc>
      </w:tr>
    </w:tbl>
    <w:p>
      <w:pPr>
        <w:keepLines w:val="0"/>
        <w:spacing w:before="0" w:after="40" w:line="264" w:lineRule="auto"/>
        <w:jc w:val="left"/>
      </w:pPr>
      <w:r>
        <w:rPr>
          <w:rFonts w:ascii="Calibri" w:hAnsi="Calibri"/>
          <w:b w:val="0"/>
          <w:i w:val="0"/>
          <w:color w:val="000000"/>
          <w:sz w:val="22"/>
        </w:rPr>
      </w:r>
    </w:p>
    <w:p>
      <w:pPr>
        <w:pStyle w:val="Heading1"/>
        <w:keepNext/>
      </w:pPr>
      <w:r>
        <w:t>PARTIE V — Positionnement face aux grandes candidatures</w:t>
      </w:r>
    </w:p>
    <w:p>
      <w:pPr>
        <w:pStyle w:val="Heading2"/>
        <w:keepNext/>
      </w:pPr>
      <w:r>
        <w:t>24. Ce que β1.1 emprunte — et ce qu’elle doit dépasser</w:t>
      </w:r>
    </w:p>
    <w:tbl>
      <w:tblPr>
        <w:tblStyle w:val="TableGrid"/>
        <w:tblW w:type="dxa" w:w="9360"/>
        <w:tblLayout w:type="fixed"/>
        <w:tblLook w:firstColumn="1" w:firstRow="1" w:lastColumn="0" w:lastRow="0" w:noHBand="0" w:noVBand="1" w:val="04A0"/>
        <w:jc w:val="left"/>
        <w:tblInd w:w="120" w:type="dxa"/>
      </w:tblPr>
      <w:tblGrid>
        <w:gridCol w:w="1350"/>
        <w:gridCol w:w="3090"/>
        <w:gridCol w:w="2400"/>
        <w:gridCol w:w="2520"/>
      </w:tblGrid>
      <w:tr>
        <w:trPr>
          <w:tblHeader w:val="true"/>
          <w:cantSplit/>
          <w:tblHeader w:val="true"/>
        </w:trPr>
        <w:tc>
          <w:tcPr>
            <w:tcW w:type="dxa" w:w="1350"/>
            <w:tcMar>
              <w:top w:w="80" w:type="dxa"/>
              <w:start w:w="120" w:type="dxa"/>
              <w:bottom w:w="80" w:type="dxa"/>
              <w:end w:w="120" w:type="dxa"/>
            </w:tcMar>
            <w:vAlign w:val="center"/>
            <w:shd w:fill="E8EEF5"/>
          </w:tcPr>
          <w:p>
            <w:pPr>
              <w:spacing w:after="0" w:line="240" w:lineRule="auto"/>
            </w:pPr>
            <w:r>
              <w:rPr>
                <w:rFonts w:ascii="Calibri" w:hAnsi="Calibri"/>
                <w:b/>
                <w:color w:val="0B2545"/>
                <w:sz w:val="16"/>
              </w:rPr>
              <w:t>Programme</w:t>
            </w:r>
          </w:p>
        </w:tc>
        <w:tc>
          <w:tcPr>
            <w:tcW w:type="dxa" w:w="3090"/>
            <w:tcMar>
              <w:top w:w="80" w:type="dxa"/>
              <w:start w:w="120" w:type="dxa"/>
              <w:bottom w:w="80" w:type="dxa"/>
              <w:end w:w="120" w:type="dxa"/>
            </w:tcMar>
            <w:vAlign w:val="center"/>
            <w:shd w:fill="E8EEF5"/>
          </w:tcPr>
          <w:p>
            <w:pPr>
              <w:spacing w:after="0" w:line="240" w:lineRule="auto"/>
            </w:pPr>
            <w:r>
              <w:rPr>
                <w:rFonts w:ascii="Calibri" w:hAnsi="Calibri"/>
                <w:b/>
                <w:color w:val="0B2545"/>
                <w:sz w:val="16"/>
              </w:rPr>
              <w:t>Force démontrée ou structurante</w:t>
            </w:r>
          </w:p>
        </w:tc>
        <w:tc>
          <w:tcPr>
            <w:tcW w:type="dxa" w:w="2400"/>
            <w:tcMar>
              <w:top w:w="80" w:type="dxa"/>
              <w:start w:w="120" w:type="dxa"/>
              <w:bottom w:w="80" w:type="dxa"/>
              <w:end w:w="120" w:type="dxa"/>
            </w:tcMar>
            <w:vAlign w:val="center"/>
            <w:shd w:fill="E8EEF5"/>
          </w:tcPr>
          <w:p>
            <w:pPr>
              <w:spacing w:after="0" w:line="240" w:lineRule="auto"/>
            </w:pPr>
            <w:r>
              <w:rPr>
                <w:rFonts w:ascii="Calibri" w:hAnsi="Calibri"/>
                <w:b/>
                <w:color w:val="0B2545"/>
                <w:sz w:val="16"/>
              </w:rPr>
              <w:t>Verrou comparable</w:t>
            </w:r>
          </w:p>
        </w:tc>
        <w:tc>
          <w:tcPr>
            <w:tcW w:type="dxa" w:w="2520"/>
            <w:tcMar>
              <w:top w:w="80" w:type="dxa"/>
              <w:start w:w="120" w:type="dxa"/>
              <w:bottom w:w="80" w:type="dxa"/>
              <w:end w:w="120" w:type="dxa"/>
            </w:tcMar>
            <w:vAlign w:val="center"/>
            <w:shd w:fill="E8EEF5"/>
          </w:tcPr>
          <w:p>
            <w:pPr>
              <w:spacing w:after="0" w:line="240" w:lineRule="auto"/>
            </w:pPr>
            <w:r>
              <w:rPr>
                <w:rFonts w:ascii="Calibri" w:hAnsi="Calibri"/>
                <w:b/>
                <w:color w:val="0B2545"/>
                <w:sz w:val="16"/>
              </w:rPr>
              <w:t>Place de β1.1</w:t>
            </w:r>
          </w:p>
        </w:tc>
      </w:tr>
      <w:tr>
        <w:trPr>
          <w:cantSplit/>
        </w:trPr>
        <w:tc>
          <w:tcPr>
            <w:tcW w:type="dxa" w:w="1350"/>
            <w:vAlign w:val="center"/>
          </w:tcPr>
          <w:p>
            <w:pPr>
              <w:spacing w:after="0" w:line="245" w:lineRule="auto"/>
            </w:pPr>
            <w:r>
              <w:rPr>
                <w:rFonts w:ascii="Calibri" w:hAnsi="Calibri"/>
                <w:color w:val="000000"/>
                <w:sz w:val="16"/>
              </w:rPr>
              <w:t>CDT</w:t>
            </w:r>
          </w:p>
        </w:tc>
        <w:tc>
          <w:tcPr>
            <w:tcW w:type="dxa" w:w="3090"/>
            <w:vAlign w:val="center"/>
          </w:tcPr>
          <w:p>
            <w:pPr>
              <w:spacing w:after="0" w:line="245" w:lineRule="auto"/>
            </w:pPr>
            <w:r>
              <w:rPr>
                <w:rFonts w:ascii="Calibri" w:hAnsi="Calibri"/>
                <w:color w:val="000000"/>
                <w:sz w:val="16"/>
              </w:rPr>
              <w:t>Somme causale, phases, transitions candidates et transfert mesurable; résultats sur T³.</w:t>
            </w:r>
          </w:p>
        </w:tc>
        <w:tc>
          <w:tcPr>
            <w:tcW w:type="dxa" w:w="2400"/>
            <w:vAlign w:val="center"/>
          </w:tcPr>
          <w:p>
            <w:pPr>
              <w:spacing w:after="0" w:line="245" w:lineRule="auto"/>
            </w:pPr>
            <w:r>
              <w:rPr>
                <w:rFonts w:ascii="Calibri" w:hAnsi="Calibri"/>
                <w:color w:val="000000"/>
                <w:sz w:val="16"/>
              </w:rPr>
              <w:t>Continuum complet, matière réaliste.</w:t>
            </w:r>
          </w:p>
        </w:tc>
        <w:tc>
          <w:tcPr>
            <w:tcW w:type="dxa" w:w="2520"/>
            <w:vAlign w:val="center"/>
          </w:tcPr>
          <w:p>
            <w:pPr>
              <w:spacing w:after="0" w:line="245" w:lineRule="auto"/>
            </w:pPr>
            <w:r>
              <w:rPr>
                <w:rFonts w:ascii="Calibri" w:hAnsi="Calibri"/>
                <w:color w:val="000000"/>
                <w:sz w:val="16"/>
              </w:rPr>
              <w:t>Même discipline de transfert; poids BLOB et Q différents.</w:t>
            </w:r>
          </w:p>
        </w:tc>
      </w:tr>
      <w:tr>
        <w:trPr>
          <w:cantSplit/>
        </w:trPr>
        <w:tc>
          <w:tcPr>
            <w:tcW w:type="dxa" w:w="1350"/>
            <w:vAlign w:val="center"/>
          </w:tcPr>
          <w:p>
            <w:pPr>
              <w:spacing w:after="0" w:line="245" w:lineRule="auto"/>
            </w:pPr>
            <w:r>
              <w:rPr>
                <w:rFonts w:ascii="Calibri" w:hAnsi="Calibri"/>
                <w:color w:val="000000"/>
                <w:sz w:val="16"/>
              </w:rPr>
              <w:t>SMF / Rokhsar–Kivelson</w:t>
            </w:r>
          </w:p>
        </w:tc>
        <w:tc>
          <w:tcPr>
            <w:tcW w:type="dxa" w:w="3090"/>
            <w:vAlign w:val="center"/>
          </w:tcPr>
          <w:p>
            <w:pPr>
              <w:spacing w:after="0" w:line="245" w:lineRule="auto"/>
            </w:pPr>
            <w:r>
              <w:rPr>
                <w:rFonts w:ascii="Calibri" w:hAnsi="Calibri"/>
                <w:color w:val="000000"/>
                <w:sz w:val="16"/>
              </w:rPr>
              <w:t>Correspondance exacte générateur stochastique–Hamiltonien.</w:t>
            </w:r>
          </w:p>
        </w:tc>
        <w:tc>
          <w:tcPr>
            <w:tcW w:type="dxa" w:w="2400"/>
            <w:vAlign w:val="center"/>
          </w:tcPr>
          <w:p>
            <w:pPr>
              <w:spacing w:after="0" w:line="245" w:lineRule="auto"/>
            </w:pPr>
            <w:r>
              <w:rPr>
                <w:rFonts w:ascii="Calibri" w:hAnsi="Calibri"/>
                <w:color w:val="000000"/>
                <w:sz w:val="16"/>
              </w:rPr>
              <w:t>Point critique et contenu relativiste.</w:t>
            </w:r>
          </w:p>
        </w:tc>
        <w:tc>
          <w:tcPr>
            <w:tcW w:type="dxa" w:w="2520"/>
            <w:vAlign w:val="center"/>
          </w:tcPr>
          <w:p>
            <w:pPr>
              <w:spacing w:after="0" w:line="245" w:lineRule="auto"/>
            </w:pPr>
            <w:r>
              <w:rPr>
                <w:rFonts w:ascii="Calibri" w:hAnsi="Calibri"/>
                <w:color w:val="000000"/>
                <w:sz w:val="16"/>
              </w:rPr>
              <w:t>Fondement mathématique de H_geo.</w:t>
            </w:r>
          </w:p>
        </w:tc>
      </w:tr>
      <w:tr>
        <w:trPr>
          <w:cantSplit/>
        </w:trPr>
        <w:tc>
          <w:tcPr>
            <w:tcW w:type="dxa" w:w="1350"/>
            <w:vAlign w:val="center"/>
          </w:tcPr>
          <w:p>
            <w:pPr>
              <w:spacing w:after="0" w:line="245" w:lineRule="auto"/>
            </w:pPr>
            <w:r>
              <w:rPr>
                <w:rFonts w:ascii="Calibri" w:hAnsi="Calibri"/>
                <w:color w:val="000000"/>
                <w:sz w:val="16"/>
              </w:rPr>
              <w:t>Hořava</w:t>
            </w:r>
          </w:p>
        </w:tc>
        <w:tc>
          <w:tcPr>
            <w:tcW w:type="dxa" w:w="3090"/>
            <w:vAlign w:val="center"/>
          </w:tcPr>
          <w:p>
            <w:pPr>
              <w:spacing w:after="0" w:line="245" w:lineRule="auto"/>
            </w:pPr>
            <w:r>
              <w:rPr>
                <w:rFonts w:ascii="Calibri" w:hAnsi="Calibri"/>
                <w:color w:val="000000"/>
                <w:sz w:val="16"/>
              </w:rPr>
              <w:t>β-fonctions 3+1 et trajectoires projectables asymptotiquement libres par z=3.</w:t>
            </w:r>
          </w:p>
        </w:tc>
        <w:tc>
          <w:tcPr>
            <w:tcW w:type="dxa" w:w="2400"/>
            <w:vAlign w:val="center"/>
          </w:tcPr>
          <w:p>
            <w:pPr>
              <w:spacing w:after="0" w:line="245" w:lineRule="auto"/>
            </w:pPr>
            <w:r>
              <w:rPr>
                <w:rFonts w:ascii="Calibri" w:hAnsi="Calibri"/>
                <w:color w:val="000000"/>
                <w:sz w:val="16"/>
              </w:rPr>
              <w:t>Intersection U(1), Lorentz IR et matière.</w:t>
            </w:r>
          </w:p>
        </w:tc>
        <w:tc>
          <w:tcPr>
            <w:tcW w:type="dxa" w:w="2520"/>
            <w:vAlign w:val="center"/>
          </w:tcPr>
          <w:p>
            <w:pPr>
              <w:spacing w:after="0" w:line="245" w:lineRule="auto"/>
            </w:pPr>
            <w:r>
              <w:rPr>
                <w:rFonts w:ascii="Calibri" w:hAnsi="Calibri"/>
                <w:color w:val="000000"/>
                <w:sz w:val="16"/>
              </w:rPr>
              <w:t>Cible effective naturelle, non preuve du continuum BLOB.</w:t>
            </w:r>
          </w:p>
        </w:tc>
      </w:tr>
      <w:tr>
        <w:trPr>
          <w:cantSplit/>
        </w:trPr>
        <w:tc>
          <w:tcPr>
            <w:tcW w:type="dxa" w:w="1350"/>
            <w:vAlign w:val="center"/>
          </w:tcPr>
          <w:p>
            <w:pPr>
              <w:spacing w:after="0" w:line="245" w:lineRule="auto"/>
            </w:pPr>
            <w:r>
              <w:rPr>
                <w:rFonts w:ascii="Calibri" w:hAnsi="Calibri"/>
                <w:color w:val="000000"/>
                <w:sz w:val="16"/>
              </w:rPr>
              <w:t>RG constructif / Mosco</w:t>
            </w:r>
          </w:p>
        </w:tc>
        <w:tc>
          <w:tcPr>
            <w:tcW w:type="dxa" w:w="3090"/>
            <w:vAlign w:val="center"/>
          </w:tcPr>
          <w:p>
            <w:pPr>
              <w:spacing w:after="0" w:line="245" w:lineRule="auto"/>
            </w:pPr>
            <w:r>
              <w:rPr>
                <w:rFonts w:ascii="Calibri" w:hAnsi="Calibri"/>
                <w:color w:val="000000"/>
                <w:sz w:val="16"/>
              </w:rPr>
              <w:t>Espaces de Banach non tronqués et convergence de semi-groupes.</w:t>
            </w:r>
          </w:p>
        </w:tc>
        <w:tc>
          <w:tcPr>
            <w:tcW w:type="dxa" w:w="2400"/>
            <w:vAlign w:val="center"/>
          </w:tcPr>
          <w:p>
            <w:pPr>
              <w:spacing w:after="0" w:line="245" w:lineRule="auto"/>
            </w:pPr>
            <w:r>
              <w:rPr>
                <w:rFonts w:ascii="Calibri" w:hAnsi="Calibri"/>
                <w:color w:val="000000"/>
                <w:sz w:val="16"/>
              </w:rPr>
              <w:t>Vérification sur géométries fluctuantes critiques.</w:t>
            </w:r>
          </w:p>
        </w:tc>
        <w:tc>
          <w:tcPr>
            <w:tcW w:type="dxa" w:w="2520"/>
            <w:vAlign w:val="center"/>
          </w:tcPr>
          <w:p>
            <w:pPr>
              <w:spacing w:after="0" w:line="245" w:lineRule="auto"/>
            </w:pPr>
            <w:r>
              <w:rPr>
                <w:rFonts w:ascii="Calibri" w:hAnsi="Calibri"/>
                <w:color w:val="000000"/>
                <w:sz w:val="16"/>
              </w:rPr>
              <w:t>Langage exact retenu pour U0–U1.</w:t>
            </w:r>
          </w:p>
        </w:tc>
      </w:tr>
      <w:tr>
        <w:trPr>
          <w:cantSplit/>
        </w:trPr>
        <w:tc>
          <w:tcPr>
            <w:tcW w:type="dxa" w:w="1350"/>
            <w:vAlign w:val="center"/>
          </w:tcPr>
          <w:p>
            <w:pPr>
              <w:spacing w:after="0" w:line="245" w:lineRule="auto"/>
            </w:pPr>
            <w:r>
              <w:rPr>
                <w:rFonts w:ascii="Calibri" w:hAnsi="Calibri"/>
                <w:color w:val="000000"/>
                <w:sz w:val="16"/>
              </w:rPr>
              <w:t>Asymptotic safety</w:t>
            </w:r>
          </w:p>
        </w:tc>
        <w:tc>
          <w:tcPr>
            <w:tcW w:type="dxa" w:w="3090"/>
            <w:vAlign w:val="center"/>
          </w:tcPr>
          <w:p>
            <w:pPr>
              <w:spacing w:after="0" w:line="245" w:lineRule="auto"/>
            </w:pPr>
            <w:r>
              <w:rPr>
                <w:rFonts w:ascii="Calibri" w:hAnsi="Calibri"/>
                <w:color w:val="000000"/>
                <w:sz w:val="16"/>
              </w:rPr>
              <w:t>Recherche d’un point fixe gravité+matière et exposants universels.</w:t>
            </w:r>
          </w:p>
        </w:tc>
        <w:tc>
          <w:tcPr>
            <w:tcW w:type="dxa" w:w="2400"/>
            <w:vAlign w:val="center"/>
          </w:tcPr>
          <w:p>
            <w:pPr>
              <w:spacing w:after="0" w:line="245" w:lineRule="auto"/>
            </w:pPr>
            <w:r>
              <w:rPr>
                <w:rFonts w:ascii="Calibri" w:hAnsi="Calibri"/>
                <w:color w:val="000000"/>
                <w:sz w:val="16"/>
              </w:rPr>
              <w:t>Contrôle non perturbatif/Lorentzien.</w:t>
            </w:r>
          </w:p>
        </w:tc>
        <w:tc>
          <w:tcPr>
            <w:tcW w:type="dxa" w:w="2520"/>
            <w:vAlign w:val="center"/>
          </w:tcPr>
          <w:p>
            <w:pPr>
              <w:spacing w:after="0" w:line="245" w:lineRule="auto"/>
            </w:pPr>
            <w:r>
              <w:rPr>
                <w:rFonts w:ascii="Calibri" w:hAnsi="Calibri"/>
                <w:color w:val="000000"/>
                <w:sz w:val="16"/>
              </w:rPr>
              <w:t>Fournit le langage RG commun exigé par G4.</w:t>
            </w:r>
          </w:p>
        </w:tc>
      </w:tr>
      <w:tr>
        <w:trPr>
          <w:cantSplit/>
        </w:trPr>
        <w:tc>
          <w:tcPr>
            <w:tcW w:type="dxa" w:w="1350"/>
            <w:vAlign w:val="center"/>
          </w:tcPr>
          <w:p>
            <w:pPr>
              <w:spacing w:after="0" w:line="245" w:lineRule="auto"/>
            </w:pPr>
            <w:r>
              <w:rPr>
                <w:rFonts w:ascii="Calibri" w:hAnsi="Calibri"/>
                <w:color w:val="000000"/>
                <w:sz w:val="16"/>
              </w:rPr>
              <w:t>LQG / spinfoams / GFT</w:t>
            </w:r>
          </w:p>
        </w:tc>
        <w:tc>
          <w:tcPr>
            <w:tcW w:type="dxa" w:w="3090"/>
            <w:vAlign w:val="center"/>
          </w:tcPr>
          <w:p>
            <w:pPr>
              <w:spacing w:after="0" w:line="245" w:lineRule="auto"/>
            </w:pPr>
            <w:r>
              <w:rPr>
                <w:rFonts w:ascii="Calibri" w:hAnsi="Calibri"/>
                <w:color w:val="000000"/>
                <w:sz w:val="16"/>
              </w:rPr>
              <w:t>Géométrie quantifiée et indépendance de fond.</w:t>
            </w:r>
          </w:p>
        </w:tc>
        <w:tc>
          <w:tcPr>
            <w:tcW w:type="dxa" w:w="2400"/>
            <w:vAlign w:val="center"/>
          </w:tcPr>
          <w:p>
            <w:pPr>
              <w:spacing w:after="0" w:line="245" w:lineRule="auto"/>
            </w:pPr>
            <w:r>
              <w:rPr>
                <w:rFonts w:ascii="Calibri" w:hAnsi="Calibri"/>
                <w:color w:val="000000"/>
                <w:sz w:val="16"/>
              </w:rPr>
              <w:t>Limite continuum, spectre matière complet.</w:t>
            </w:r>
          </w:p>
        </w:tc>
        <w:tc>
          <w:tcPr>
            <w:tcW w:type="dxa" w:w="2520"/>
            <w:vAlign w:val="center"/>
          </w:tcPr>
          <w:p>
            <w:pPr>
              <w:spacing w:after="0" w:line="245" w:lineRule="auto"/>
            </w:pPr>
            <w:r>
              <w:rPr>
                <w:rFonts w:ascii="Calibri" w:hAnsi="Calibri"/>
                <w:color w:val="000000"/>
                <w:sz w:val="16"/>
              </w:rPr>
              <w:t>β1.1 est plus canonique/transfert, moins avancée géométriquement.</w:t>
            </w:r>
          </w:p>
        </w:tc>
      </w:tr>
      <w:tr>
        <w:trPr>
          <w:cantSplit/>
        </w:trPr>
        <w:tc>
          <w:tcPr>
            <w:tcW w:type="dxa" w:w="1350"/>
            <w:vAlign w:val="center"/>
          </w:tcPr>
          <w:p>
            <w:pPr>
              <w:spacing w:after="0" w:line="245" w:lineRule="auto"/>
            </w:pPr>
            <w:r>
              <w:rPr>
                <w:rFonts w:ascii="Calibri" w:hAnsi="Calibri"/>
                <w:color w:val="000000"/>
                <w:sz w:val="16"/>
              </w:rPr>
              <w:t>Cordes / M-théorie</w:t>
            </w:r>
          </w:p>
        </w:tc>
        <w:tc>
          <w:tcPr>
            <w:tcW w:type="dxa" w:w="3090"/>
            <w:vAlign w:val="center"/>
          </w:tcPr>
          <w:p>
            <w:pPr>
              <w:spacing w:after="0" w:line="245" w:lineRule="auto"/>
            </w:pPr>
            <w:r>
              <w:rPr>
                <w:rFonts w:ascii="Calibri" w:hAnsi="Calibri"/>
                <w:color w:val="000000"/>
                <w:sz w:val="16"/>
              </w:rPr>
              <w:t>Graviton et jauges dans une structure quantique unifiée.</w:t>
            </w:r>
          </w:p>
        </w:tc>
        <w:tc>
          <w:tcPr>
            <w:tcW w:type="dxa" w:w="2400"/>
            <w:vAlign w:val="center"/>
          </w:tcPr>
          <w:p>
            <w:pPr>
              <w:spacing w:after="0" w:line="245" w:lineRule="auto"/>
            </w:pPr>
            <w:r>
              <w:rPr>
                <w:rFonts w:ascii="Calibri" w:hAnsi="Calibri"/>
                <w:color w:val="000000"/>
                <w:sz w:val="16"/>
              </w:rPr>
              <w:t>Sélection du vide et prédictions uniques.</w:t>
            </w:r>
          </w:p>
        </w:tc>
        <w:tc>
          <w:tcPr>
            <w:tcW w:type="dxa" w:w="2520"/>
            <w:vAlign w:val="center"/>
          </w:tcPr>
          <w:p>
            <w:pPr>
              <w:spacing w:after="0" w:line="245" w:lineRule="auto"/>
            </w:pPr>
            <w:r>
              <w:rPr>
                <w:rFonts w:ascii="Calibri" w:hAnsi="Calibri"/>
                <w:color w:val="000000"/>
                <w:sz w:val="16"/>
              </w:rPr>
              <w:t>Étalon du mot unification; β1.1 n’atteint pas encore ce niveau.</w:t>
            </w:r>
          </w:p>
        </w:tc>
      </w:tr>
      <w:tr>
        <w:trPr>
          <w:cantSplit/>
        </w:trPr>
        <w:tc>
          <w:tcPr>
            <w:tcW w:type="dxa" w:w="1350"/>
            <w:vAlign w:val="center"/>
          </w:tcPr>
          <w:p>
            <w:pPr>
              <w:spacing w:after="0" w:line="245" w:lineRule="auto"/>
            </w:pPr>
            <w:r>
              <w:rPr>
                <w:rFonts w:ascii="Calibri" w:hAnsi="Calibri"/>
                <w:color w:val="000000"/>
                <w:sz w:val="16"/>
              </w:rPr>
              <w:t>Spin(10) GUT</w:t>
            </w:r>
          </w:p>
        </w:tc>
        <w:tc>
          <w:tcPr>
            <w:tcW w:type="dxa" w:w="3090"/>
            <w:vAlign w:val="center"/>
          </w:tcPr>
          <w:p>
            <w:pPr>
              <w:spacing w:after="0" w:line="245" w:lineRule="auto"/>
            </w:pPr>
            <w:r>
              <w:rPr>
                <w:rFonts w:ascii="Calibri" w:hAnsi="Calibri"/>
                <w:color w:val="000000"/>
                <w:sz w:val="16"/>
              </w:rPr>
              <w:t>Une famille dans 16, ν_R, hypercharge canonique, unification des jauges.</w:t>
            </w:r>
          </w:p>
        </w:tc>
        <w:tc>
          <w:tcPr>
            <w:tcW w:type="dxa" w:w="2400"/>
            <w:vAlign w:val="center"/>
          </w:tcPr>
          <w:p>
            <w:pPr>
              <w:spacing w:after="0" w:line="245" w:lineRule="auto"/>
            </w:pPr>
            <w:r>
              <w:rPr>
                <w:rFonts w:ascii="Calibri" w:hAnsi="Calibri"/>
                <w:color w:val="000000"/>
                <w:sz w:val="16"/>
              </w:rPr>
              <w:t>Higgs, seuils, proton, saveurs.</w:t>
            </w:r>
          </w:p>
        </w:tc>
        <w:tc>
          <w:tcPr>
            <w:tcW w:type="dxa" w:w="2520"/>
            <w:vAlign w:val="center"/>
          </w:tcPr>
          <w:p>
            <w:pPr>
              <w:spacing w:after="0" w:line="245" w:lineRule="auto"/>
            </w:pPr>
            <w:r>
              <w:rPr>
                <w:rFonts w:ascii="Calibri" w:hAnsi="Calibri"/>
                <w:color w:val="000000"/>
                <w:sz w:val="16"/>
              </w:rPr>
              <w:t>Module interne explicite mais importé.</w:t>
            </w:r>
          </w:p>
        </w:tc>
      </w:tr>
      <w:tr>
        <w:trPr>
          <w:cantSplit/>
        </w:trPr>
        <w:tc>
          <w:tcPr>
            <w:tcW w:type="dxa" w:w="1350"/>
            <w:vAlign w:val="center"/>
          </w:tcPr>
          <w:p>
            <w:pPr>
              <w:spacing w:after="0" w:line="245" w:lineRule="auto"/>
            </w:pPr>
            <w:r>
              <w:rPr>
                <w:rFonts w:ascii="Calibri" w:hAnsi="Calibri"/>
                <w:color w:val="000000"/>
                <w:sz w:val="16"/>
              </w:rPr>
              <w:t>GraviGUT</w:t>
            </w:r>
          </w:p>
        </w:tc>
        <w:tc>
          <w:tcPr>
            <w:tcW w:type="dxa" w:w="3090"/>
            <w:vAlign w:val="center"/>
          </w:tcPr>
          <w:p>
            <w:pPr>
              <w:spacing w:after="0" w:line="245" w:lineRule="auto"/>
            </w:pPr>
            <w:r>
              <w:rPr>
                <w:rFonts w:ascii="Calibri" w:hAnsi="Calibri"/>
                <w:color w:val="000000"/>
                <w:sz w:val="16"/>
              </w:rPr>
              <w:t>Lorentz et Spin(10) dans un groupe plus grand.</w:t>
            </w:r>
          </w:p>
        </w:tc>
        <w:tc>
          <w:tcPr>
            <w:tcW w:type="dxa" w:w="2400"/>
            <w:vAlign w:val="center"/>
          </w:tcPr>
          <w:p>
            <w:pPr>
              <w:spacing w:after="0" w:line="245" w:lineRule="auto"/>
            </w:pPr>
            <w:r>
              <w:rPr>
                <w:rFonts w:ascii="Calibri" w:hAnsi="Calibri"/>
                <w:color w:val="000000"/>
                <w:sz w:val="16"/>
              </w:rPr>
              <w:t>Unitarité, brisure, régulateur non perturbatif.</w:t>
            </w:r>
          </w:p>
        </w:tc>
        <w:tc>
          <w:tcPr>
            <w:tcW w:type="dxa" w:w="2520"/>
            <w:vAlign w:val="center"/>
          </w:tcPr>
          <w:p>
            <w:pPr>
              <w:spacing w:after="0" w:line="245" w:lineRule="auto"/>
            </w:pPr>
            <w:r>
              <w:rPr>
                <w:rFonts w:ascii="Calibri" w:hAnsi="Calibri"/>
                <w:color w:val="000000"/>
                <w:sz w:val="16"/>
              </w:rPr>
              <w:t>Branche parallèle, non officielle tant que RP manque.</w:t>
            </w:r>
          </w:p>
        </w:tc>
      </w:tr>
    </w:tbl>
    <w:p>
      <w:pPr>
        <w:keepLines w:val="0"/>
        <w:spacing w:before="0" w:after="120" w:line="264" w:lineRule="auto"/>
        <w:jc w:val="left"/>
      </w:pPr>
      <w:r>
        <w:rPr>
          <w:rFonts w:ascii="Calibri" w:hAnsi="Calibri"/>
          <w:b w:val="0"/>
          <w:i w:val="0"/>
          <w:color w:val="000000"/>
          <w:sz w:val="22"/>
        </w:rPr>
      </w:r>
    </w:p>
    <w:p>
      <w:pPr>
        <w:pStyle w:val="Heading2"/>
        <w:keepNext/>
      </w:pPr>
      <w:r>
        <w:t>25. Niveau réel de candidature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0B2545"/>
                <w:sz w:val="22"/>
              </w:rPr>
              <w:t xml:space="preserve">Comparaison honnête. </w:t>
            </w:r>
            <w:r>
              <w:rPr>
                <w:rFonts w:ascii="Calibri" w:hAnsi="Calibri"/>
                <w:color w:val="0B2545"/>
                <w:sz w:val="22"/>
              </w:rPr>
              <w:t>β1.1 est désormais comparable aux programmes célèbres sur un axe précis : elle possède un objet microscopique, un Hamiltonien et des tests de mort explicites. Elle leur est très inférieure en résultats cumulés, expertise communautaire, continuum, phénoménologie et réplication. Le document établit la candidature; il ne fabrique pas la maturité historique.</w:t>
            </w:r>
          </w:p>
        </w:tc>
      </w:tr>
    </w:tbl>
    <w:p>
      <w:pPr>
        <w:keepLines w:val="0"/>
        <w:spacing w:before="0" w:after="40" w:line="264" w:lineRule="auto"/>
        <w:jc w:val="left"/>
      </w:pPr>
      <w:r>
        <w:rPr>
          <w:rFonts w:ascii="Calibri" w:hAnsi="Calibri"/>
          <w:b w:val="0"/>
          <w:i w:val="0"/>
          <w:color w:val="000000"/>
          <w:sz w:val="22"/>
        </w:rPr>
      </w:r>
    </w:p>
    <w:p>
      <w:pPr>
        <w:pStyle w:val="ListBullet"/>
        <w:spacing w:after="80" w:line="264" w:lineRule="auto"/>
        <w:ind w:left="720" w:hanging="360"/>
      </w:pPr>
      <w:r>
        <w:rPr>
          <w:rFonts w:ascii="Calibri" w:hAnsi="Calibri"/>
          <w:color w:val="000000"/>
          <w:sz w:val="22"/>
        </w:rPr>
        <w:t>Avantage distinctif : positivité et localité du générateur sont architecturales; les faux raccourcis RG sont déjà réfutés.</w:t>
      </w:r>
    </w:p>
    <w:p>
      <w:pPr>
        <w:pStyle w:val="ListBullet"/>
        <w:spacing w:after="80" w:line="264" w:lineRule="auto"/>
        <w:ind w:left="720" w:hanging="360"/>
      </w:pPr>
      <w:r>
        <w:rPr>
          <w:rFonts w:ascii="Calibri" w:hAnsi="Calibri"/>
          <w:color w:val="000000"/>
          <w:sz w:val="22"/>
        </w:rPr>
        <w:t>Risque distinctif : la branche Morse-tame peut biaiser l’universalité et le temps SMF peut rester une dynamique critique de type RK plutôt qu’une gravité relativiste.</w:t>
      </w:r>
    </w:p>
    <w:p>
      <w:pPr>
        <w:pStyle w:val="ListBullet"/>
        <w:spacing w:after="80" w:line="264" w:lineRule="auto"/>
        <w:ind w:left="720" w:hanging="360"/>
      </w:pPr>
      <w:r>
        <w:rPr>
          <w:rFonts w:ascii="Calibri" w:hAnsi="Calibri"/>
          <w:color w:val="000000"/>
          <w:sz w:val="22"/>
        </w:rPr>
        <w:t>Dette principale : le secteur interne n’émerge pas encore du Blob; il est couplé de façon cohérente mais importé.</w:t>
      </w:r>
    </w:p>
    <w:p>
      <w:pPr>
        <w:pStyle w:val="Heading2"/>
        <w:keepNext/>
      </w:pPr>
      <w:r>
        <w:t>26. Solutions parallèles retenues depuis arXiv</w:t>
      </w:r>
    </w:p>
    <w:tbl>
      <w:tblPr>
        <w:tblStyle w:val="TableGrid"/>
        <w:tblW w:type="dxa" w:w="9360"/>
        <w:tblLayout w:type="fixed"/>
        <w:tblLook w:firstColumn="1" w:firstRow="1" w:lastColumn="0" w:lastRow="0" w:noHBand="0" w:noVBand="1" w:val="04A0"/>
        <w:jc w:val="left"/>
        <w:tblInd w:w="120" w:type="dxa"/>
      </w:tblPr>
      <w:tblGrid>
        <w:gridCol w:w="1900"/>
        <w:gridCol w:w="4550"/>
        <w:gridCol w:w="2910"/>
      </w:tblGrid>
      <w:tr>
        <w:trPr>
          <w:tblHeader w:val="true"/>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7"/>
              </w:rPr>
              <w:t>Obstacle β1.1</w:t>
            </w:r>
          </w:p>
        </w:tc>
        <w:tc>
          <w:tcPr>
            <w:tcW w:type="dxa" w:w="4550"/>
            <w:tcMar>
              <w:top w:w="80" w:type="dxa"/>
              <w:start w:w="120" w:type="dxa"/>
              <w:bottom w:w="80" w:type="dxa"/>
              <w:end w:w="120" w:type="dxa"/>
            </w:tcMar>
            <w:vAlign w:val="center"/>
            <w:shd w:fill="E8EEF5"/>
          </w:tcPr>
          <w:p>
            <w:pPr>
              <w:spacing w:after="0" w:line="240" w:lineRule="auto"/>
            </w:pPr>
            <w:r>
              <w:rPr>
                <w:rFonts w:ascii="Calibri" w:hAnsi="Calibri"/>
                <w:b/>
                <w:color w:val="0B2545"/>
                <w:sz w:val="17"/>
              </w:rPr>
              <w:t>Route parallèle</w:t>
            </w:r>
          </w:p>
        </w:tc>
        <w:tc>
          <w:tcPr>
            <w:tcW w:type="dxa" w:w="2910"/>
            <w:tcMar>
              <w:top w:w="80" w:type="dxa"/>
              <w:start w:w="120" w:type="dxa"/>
              <w:bottom w:w="80" w:type="dxa"/>
              <w:end w:w="120" w:type="dxa"/>
            </w:tcMar>
            <w:vAlign w:val="center"/>
            <w:shd w:fill="E8EEF5"/>
          </w:tcPr>
          <w:p>
            <w:pPr>
              <w:spacing w:after="0" w:line="240" w:lineRule="auto"/>
            </w:pPr>
            <w:r>
              <w:rPr>
                <w:rFonts w:ascii="Calibri" w:hAnsi="Calibri"/>
                <w:b/>
                <w:color w:val="0B2545"/>
                <w:sz w:val="17"/>
              </w:rPr>
              <w:t>Décision</w:t>
            </w:r>
          </w:p>
        </w:tc>
      </w:tr>
      <w:tr>
        <w:trPr>
          <w:cantSplit/>
        </w:trPr>
        <w:tc>
          <w:tcPr>
            <w:tcW w:type="dxa" w:w="1900"/>
            <w:vAlign w:val="center"/>
          </w:tcPr>
          <w:p>
            <w:pPr>
              <w:spacing w:after="0" w:line="245" w:lineRule="auto"/>
            </w:pPr>
            <w:r>
              <w:rPr>
                <w:rFonts w:ascii="Calibri" w:hAnsi="Calibri"/>
                <w:color w:val="000000"/>
                <w:sz w:val="17"/>
              </w:rPr>
              <w:t>Localité de −logT</w:t>
            </w:r>
          </w:p>
        </w:tc>
        <w:tc>
          <w:tcPr>
            <w:tcW w:type="dxa" w:w="4550"/>
            <w:vAlign w:val="center"/>
          </w:tcPr>
          <w:p>
            <w:pPr>
              <w:spacing w:after="0" w:line="245" w:lineRule="auto"/>
            </w:pPr>
            <w:r>
              <w:rPr>
                <w:rFonts w:ascii="Calibri" w:hAnsi="Calibri"/>
                <w:color w:val="000000"/>
                <w:sz w:val="17"/>
              </w:rPr>
              <w:t>SMF/RK : définir H ou Q avant T.</w:t>
            </w:r>
          </w:p>
        </w:tc>
        <w:tc>
          <w:tcPr>
            <w:tcW w:type="dxa" w:w="2910"/>
            <w:vAlign w:val="center"/>
          </w:tcPr>
          <w:p>
            <w:pPr>
              <w:spacing w:after="0" w:line="245" w:lineRule="auto"/>
            </w:pPr>
            <w:r>
              <w:rPr>
                <w:rFonts w:ascii="Calibri" w:hAnsi="Calibri"/>
                <w:color w:val="000000"/>
                <w:sz w:val="17"/>
              </w:rPr>
              <w:t>ADOPTÉE.</w:t>
            </w:r>
          </w:p>
        </w:tc>
      </w:tr>
      <w:tr>
        <w:trPr>
          <w:cantSplit/>
        </w:trPr>
        <w:tc>
          <w:tcPr>
            <w:tcW w:type="dxa" w:w="1900"/>
            <w:vAlign w:val="center"/>
          </w:tcPr>
          <w:p>
            <w:pPr>
              <w:spacing w:after="0" w:line="245" w:lineRule="auto"/>
            </w:pPr>
            <w:r>
              <w:rPr>
                <w:rFonts w:ascii="Calibri" w:hAnsi="Calibri"/>
                <w:color w:val="000000"/>
                <w:sz w:val="17"/>
              </w:rPr>
              <w:t>Entropie T³</w:t>
            </w:r>
          </w:p>
        </w:tc>
        <w:tc>
          <w:tcPr>
            <w:tcW w:type="dxa" w:w="4550"/>
            <w:vAlign w:val="center"/>
          </w:tcPr>
          <w:p>
            <w:pPr>
              <w:spacing w:after="0" w:line="245" w:lineRule="auto"/>
            </w:pPr>
            <w:r>
              <w:rPr>
                <w:rFonts w:ascii="Calibri" w:hAnsi="Calibri"/>
                <w:color w:val="000000"/>
                <w:sz w:val="17"/>
              </w:rPr>
              <w:t>Comptage Morse discret exponentiel.</w:t>
            </w:r>
          </w:p>
        </w:tc>
        <w:tc>
          <w:tcPr>
            <w:tcW w:type="dxa" w:w="2910"/>
            <w:vAlign w:val="center"/>
          </w:tcPr>
          <w:p>
            <w:pPr>
              <w:spacing w:after="0" w:line="245" w:lineRule="auto"/>
            </w:pPr>
            <w:r>
              <w:rPr>
                <w:rFonts w:ascii="Calibri" w:hAnsi="Calibri"/>
                <w:color w:val="000000"/>
                <w:sz w:val="17"/>
              </w:rPr>
              <w:t>ADOPTÉE sur branche.</w:t>
            </w:r>
          </w:p>
        </w:tc>
      </w:tr>
      <w:tr>
        <w:trPr>
          <w:cantSplit/>
        </w:trPr>
        <w:tc>
          <w:tcPr>
            <w:tcW w:type="dxa" w:w="1900"/>
            <w:vAlign w:val="center"/>
          </w:tcPr>
          <w:p>
            <w:pPr>
              <w:spacing w:after="0" w:line="245" w:lineRule="auto"/>
            </w:pPr>
            <w:r>
              <w:rPr>
                <w:rFonts w:ascii="Calibri" w:hAnsi="Calibri"/>
                <w:color w:val="000000"/>
                <w:sz w:val="17"/>
              </w:rPr>
              <w:t>Limite d’opérateurs</w:t>
            </w:r>
          </w:p>
        </w:tc>
        <w:tc>
          <w:tcPr>
            <w:tcW w:type="dxa" w:w="4550"/>
            <w:vAlign w:val="center"/>
          </w:tcPr>
          <w:p>
            <w:pPr>
              <w:spacing w:after="0" w:line="245" w:lineRule="auto"/>
            </w:pPr>
            <w:r>
              <w:rPr>
                <w:rFonts w:ascii="Calibri" w:hAnsi="Calibri"/>
                <w:color w:val="000000"/>
                <w:sz w:val="17"/>
              </w:rPr>
              <w:t>Mosco généralisée + reconstruction OS.</w:t>
            </w:r>
          </w:p>
        </w:tc>
        <w:tc>
          <w:tcPr>
            <w:tcW w:type="dxa" w:w="2910"/>
            <w:vAlign w:val="center"/>
          </w:tcPr>
          <w:p>
            <w:pPr>
              <w:spacing w:after="0" w:line="245" w:lineRule="auto"/>
            </w:pPr>
            <w:r>
              <w:rPr>
                <w:rFonts w:ascii="Calibri" w:hAnsi="Calibri"/>
                <w:color w:val="000000"/>
                <w:sz w:val="17"/>
              </w:rPr>
              <w:t>ADOPTÉE comme critère.</w:t>
            </w:r>
          </w:p>
        </w:tc>
      </w:tr>
      <w:tr>
        <w:trPr>
          <w:cantSplit/>
        </w:trPr>
        <w:tc>
          <w:tcPr>
            <w:tcW w:type="dxa" w:w="1900"/>
            <w:vAlign w:val="center"/>
          </w:tcPr>
          <w:p>
            <w:pPr>
              <w:spacing w:after="0" w:line="245" w:lineRule="auto"/>
            </w:pPr>
            <w:r>
              <w:rPr>
                <w:rFonts w:ascii="Calibri" w:hAnsi="Calibri"/>
                <w:color w:val="000000"/>
                <w:sz w:val="17"/>
              </w:rPr>
              <w:t>Continuum anisotrope</w:t>
            </w:r>
          </w:p>
        </w:tc>
        <w:tc>
          <w:tcPr>
            <w:tcW w:type="dxa" w:w="4550"/>
            <w:vAlign w:val="center"/>
          </w:tcPr>
          <w:p>
            <w:pPr>
              <w:spacing w:after="0" w:line="245" w:lineRule="auto"/>
            </w:pPr>
            <w:r>
              <w:rPr>
                <w:rFonts w:ascii="Calibri" w:hAnsi="Calibri"/>
                <w:color w:val="000000"/>
                <w:sz w:val="17"/>
              </w:rPr>
              <w:t>Hořava projectable z=3 + branche U(1).</w:t>
            </w:r>
          </w:p>
        </w:tc>
        <w:tc>
          <w:tcPr>
            <w:tcW w:type="dxa" w:w="2910"/>
            <w:vAlign w:val="center"/>
          </w:tcPr>
          <w:p>
            <w:pPr>
              <w:spacing w:after="0" w:line="245" w:lineRule="auto"/>
            </w:pPr>
            <w:r>
              <w:rPr>
                <w:rFonts w:ascii="Calibri" w:hAnsi="Calibri"/>
                <w:color w:val="000000"/>
                <w:sz w:val="17"/>
              </w:rPr>
              <w:t>TRIANGLE à réunir.</w:t>
            </w:r>
          </w:p>
        </w:tc>
      </w:tr>
      <w:tr>
        <w:trPr>
          <w:cantSplit/>
        </w:trPr>
        <w:tc>
          <w:tcPr>
            <w:tcW w:type="dxa" w:w="1900"/>
            <w:vAlign w:val="center"/>
          </w:tcPr>
          <w:p>
            <w:pPr>
              <w:spacing w:after="0" w:line="245" w:lineRule="auto"/>
            </w:pPr>
            <w:r>
              <w:rPr>
                <w:rFonts w:ascii="Calibri" w:hAnsi="Calibri"/>
                <w:color w:val="000000"/>
                <w:sz w:val="17"/>
              </w:rPr>
              <w:t>Topologie torique</w:t>
            </w:r>
          </w:p>
        </w:tc>
        <w:tc>
          <w:tcPr>
            <w:tcW w:type="dxa" w:w="4550"/>
            <w:vAlign w:val="center"/>
          </w:tcPr>
          <w:p>
            <w:pPr>
              <w:spacing w:after="0" w:line="245" w:lineRule="auto"/>
            </w:pPr>
            <w:r>
              <w:rPr>
                <w:rFonts w:ascii="Calibri" w:hAnsi="Calibri"/>
                <w:color w:val="000000"/>
                <w:sz w:val="17"/>
              </w:rPr>
              <w:t>CDT 4D à tranches T³.</w:t>
            </w:r>
          </w:p>
        </w:tc>
        <w:tc>
          <w:tcPr>
            <w:tcW w:type="dxa" w:w="2910"/>
            <w:vAlign w:val="center"/>
          </w:tcPr>
          <w:p>
            <w:pPr>
              <w:spacing w:after="0" w:line="245" w:lineRule="auto"/>
            </w:pPr>
            <w:r>
              <w:rPr>
                <w:rFonts w:ascii="Calibri" w:hAnsi="Calibri"/>
                <w:color w:val="000000"/>
                <w:sz w:val="17"/>
              </w:rPr>
              <w:t>BENCHMARK numérique.</w:t>
            </w:r>
          </w:p>
        </w:tc>
      </w:tr>
      <w:tr>
        <w:trPr>
          <w:cantSplit/>
        </w:trPr>
        <w:tc>
          <w:tcPr>
            <w:tcW w:type="dxa" w:w="1900"/>
            <w:vAlign w:val="center"/>
          </w:tcPr>
          <w:p>
            <w:pPr>
              <w:spacing w:after="0" w:line="245" w:lineRule="auto"/>
            </w:pPr>
            <w:r>
              <w:rPr>
                <w:rFonts w:ascii="Calibri" w:hAnsi="Calibri"/>
                <w:color w:val="000000"/>
                <w:sz w:val="17"/>
              </w:rPr>
              <w:t>Chiralité</w:t>
            </w:r>
          </w:p>
        </w:tc>
        <w:tc>
          <w:tcPr>
            <w:tcW w:type="dxa" w:w="4550"/>
            <w:vAlign w:val="center"/>
          </w:tcPr>
          <w:p>
            <w:pPr>
              <w:spacing w:after="0" w:line="245" w:lineRule="auto"/>
            </w:pPr>
            <w:r>
              <w:rPr>
                <w:rFonts w:ascii="Calibri" w:hAnsi="Calibri"/>
                <w:color w:val="000000"/>
                <w:sz w:val="17"/>
              </w:rPr>
              <w:t>GW/overlap ou miroir/SMG Spin(10).</w:t>
            </w:r>
          </w:p>
        </w:tc>
        <w:tc>
          <w:tcPr>
            <w:tcW w:type="dxa" w:w="2910"/>
            <w:vAlign w:val="center"/>
          </w:tcPr>
          <w:p>
            <w:pPr>
              <w:spacing w:after="0" w:line="245" w:lineRule="auto"/>
            </w:pPr>
            <w:r>
              <w:rPr>
                <w:rFonts w:ascii="Calibri" w:hAnsi="Calibri"/>
                <w:color w:val="000000"/>
                <w:sz w:val="17"/>
              </w:rPr>
              <w:t>SMG officiel; GW contrôle parallèle.</w:t>
            </w:r>
          </w:p>
        </w:tc>
      </w:tr>
      <w:tr>
        <w:trPr>
          <w:cantSplit/>
        </w:trPr>
        <w:tc>
          <w:tcPr>
            <w:tcW w:type="dxa" w:w="1900"/>
            <w:vAlign w:val="center"/>
          </w:tcPr>
          <w:p>
            <w:pPr>
              <w:spacing w:after="0" w:line="245" w:lineRule="auto"/>
            </w:pPr>
            <w:r>
              <w:rPr>
                <w:rFonts w:ascii="Calibri" w:hAnsi="Calibri"/>
                <w:color w:val="000000"/>
                <w:sz w:val="17"/>
              </w:rPr>
              <w:t>Trois jauges</w:t>
            </w:r>
          </w:p>
        </w:tc>
        <w:tc>
          <w:tcPr>
            <w:tcW w:type="dxa" w:w="4550"/>
            <w:vAlign w:val="center"/>
          </w:tcPr>
          <w:p>
            <w:pPr>
              <w:spacing w:after="0" w:line="245" w:lineRule="auto"/>
            </w:pPr>
            <w:r>
              <w:rPr>
                <w:rFonts w:ascii="Calibri" w:hAnsi="Calibri"/>
                <w:color w:val="000000"/>
                <w:sz w:val="17"/>
              </w:rPr>
              <w:t>Spin(10) 3×16, 54+126*+10 (126* conjuguée).</w:t>
            </w:r>
          </w:p>
        </w:tc>
        <w:tc>
          <w:tcPr>
            <w:tcW w:type="dxa" w:w="2910"/>
            <w:vAlign w:val="center"/>
          </w:tcPr>
          <w:p>
            <w:pPr>
              <w:spacing w:after="0" w:line="245" w:lineRule="auto"/>
            </w:pPr>
            <w:r>
              <w:rPr>
                <w:rFonts w:ascii="Calibri" w:hAnsi="Calibri"/>
                <w:color w:val="000000"/>
                <w:sz w:val="17"/>
              </w:rPr>
              <w:t>ADOPTÉ comme module.</w:t>
            </w:r>
          </w:p>
        </w:tc>
      </w:tr>
      <w:tr>
        <w:trPr>
          <w:cantSplit/>
        </w:trPr>
        <w:tc>
          <w:tcPr>
            <w:tcW w:type="dxa" w:w="1900"/>
            <w:vAlign w:val="center"/>
          </w:tcPr>
          <w:p>
            <w:pPr>
              <w:spacing w:after="0" w:line="245" w:lineRule="auto"/>
            </w:pPr>
            <w:r>
              <w:rPr>
                <w:rFonts w:ascii="Calibri" w:hAnsi="Calibri"/>
                <w:color w:val="000000"/>
                <w:sz w:val="17"/>
              </w:rPr>
              <w:t>Couplage gravitationnel</w:t>
            </w:r>
          </w:p>
        </w:tc>
        <w:tc>
          <w:tcPr>
            <w:tcW w:type="dxa" w:w="4550"/>
            <w:vAlign w:val="center"/>
          </w:tcPr>
          <w:p>
            <w:pPr>
              <w:spacing w:after="0" w:line="245" w:lineRule="auto"/>
            </w:pPr>
            <w:r>
              <w:rPr>
                <w:rFonts w:ascii="Calibri" w:hAnsi="Calibri"/>
                <w:color w:val="000000"/>
                <w:sz w:val="17"/>
              </w:rPr>
              <w:t>Factorisation du graviton mou.</w:t>
            </w:r>
          </w:p>
        </w:tc>
        <w:tc>
          <w:tcPr>
            <w:tcW w:type="dxa" w:w="2910"/>
            <w:vAlign w:val="center"/>
          </w:tcPr>
          <w:p>
            <w:pPr>
              <w:spacing w:after="0" w:line="245" w:lineRule="auto"/>
            </w:pPr>
            <w:r>
              <w:rPr>
                <w:rFonts w:ascii="Calibri" w:hAnsi="Calibri"/>
                <w:color w:val="000000"/>
                <w:sz w:val="17"/>
              </w:rPr>
              <w:t>CONSÉQUENCE si G1–G2 passent.</w:t>
            </w:r>
          </w:p>
        </w:tc>
      </w:tr>
      <w:tr>
        <w:trPr>
          <w:cantSplit/>
        </w:trPr>
        <w:tc>
          <w:tcPr>
            <w:tcW w:type="dxa" w:w="1900"/>
            <w:vAlign w:val="center"/>
          </w:tcPr>
          <w:p>
            <w:pPr>
              <w:spacing w:after="0" w:line="245" w:lineRule="auto"/>
            </w:pPr>
            <w:r>
              <w:rPr>
                <w:rFonts w:ascii="Calibri" w:hAnsi="Calibri"/>
                <w:color w:val="000000"/>
                <w:sz w:val="17"/>
              </w:rPr>
              <w:t>Quatre forces</w:t>
            </w:r>
          </w:p>
        </w:tc>
        <w:tc>
          <w:tcPr>
            <w:tcW w:type="dxa" w:w="4550"/>
            <w:vAlign w:val="center"/>
          </w:tcPr>
          <w:p>
            <w:pPr>
              <w:spacing w:after="0" w:line="245" w:lineRule="auto"/>
            </w:pPr>
            <w:r>
              <w:rPr>
                <w:rFonts w:ascii="Calibri" w:hAnsi="Calibri"/>
                <w:color w:val="000000"/>
                <w:sz w:val="17"/>
              </w:rPr>
              <w:t>GraviGUT Spin(3,11).</w:t>
            </w:r>
          </w:p>
        </w:tc>
        <w:tc>
          <w:tcPr>
            <w:tcW w:type="dxa" w:w="2910"/>
            <w:vAlign w:val="center"/>
          </w:tcPr>
          <w:p>
            <w:pPr>
              <w:spacing w:after="0" w:line="245" w:lineRule="auto"/>
            </w:pPr>
            <w:r>
              <w:rPr>
                <w:rFonts w:ascii="Calibri" w:hAnsi="Calibri"/>
                <w:color w:val="000000"/>
                <w:sz w:val="17"/>
              </w:rPr>
              <w:t>NON adopté tant que RP/régulateur ouverts.</w:t>
            </w:r>
          </w:p>
        </w:tc>
      </w:tr>
      <w:tr>
        <w:trPr>
          <w:cantSplit/>
        </w:trPr>
        <w:tc>
          <w:tcPr>
            <w:tcW w:type="dxa" w:w="1900"/>
            <w:vAlign w:val="center"/>
          </w:tcPr>
          <w:p>
            <w:pPr>
              <w:spacing w:after="0" w:line="245" w:lineRule="auto"/>
            </w:pPr>
            <w:r>
              <w:rPr>
                <w:rFonts w:ascii="Calibri" w:hAnsi="Calibri"/>
                <w:color w:val="000000"/>
                <w:sz w:val="17"/>
              </w:rPr>
              <w:t>Point fixe commun</w:t>
            </w:r>
          </w:p>
        </w:tc>
        <w:tc>
          <w:tcPr>
            <w:tcW w:type="dxa" w:w="4550"/>
            <w:vAlign w:val="center"/>
          </w:tcPr>
          <w:p>
            <w:pPr>
              <w:spacing w:after="0" w:line="245" w:lineRule="auto"/>
            </w:pPr>
            <w:r>
              <w:rPr>
                <w:rFonts w:ascii="Calibri" w:hAnsi="Calibri"/>
                <w:color w:val="000000"/>
                <w:sz w:val="17"/>
              </w:rPr>
              <w:t>FRG/asymptotic safety gravité+matière.</w:t>
            </w:r>
          </w:p>
        </w:tc>
        <w:tc>
          <w:tcPr>
            <w:tcW w:type="dxa" w:w="2910"/>
            <w:vAlign w:val="center"/>
          </w:tcPr>
          <w:p>
            <w:pPr>
              <w:spacing w:after="0" w:line="245" w:lineRule="auto"/>
            </w:pPr>
            <w:r>
              <w:rPr>
                <w:rFonts w:ascii="Calibri" w:hAnsi="Calibri"/>
                <w:color w:val="000000"/>
                <w:sz w:val="17"/>
              </w:rPr>
              <w:t>OUTIL de comparaison.</w:t>
            </w:r>
          </w:p>
        </w:tc>
      </w:tr>
    </w:tbl>
    <w:p>
      <w:pPr>
        <w:keepLines w:val="0"/>
        <w:spacing w:before="0" w:after="120" w:line="264" w:lineRule="auto"/>
        <w:jc w:val="left"/>
      </w:pPr>
      <w:r>
        <w:rPr>
          <w:rFonts w:ascii="Calibri" w:hAnsi="Calibri"/>
          <w:b w:val="0"/>
          <w:i w:val="0"/>
          <w:color w:val="000000"/>
          <w:sz w:val="22"/>
        </w:rPr>
      </w:r>
    </w:p>
    <w:p>
      <w:pPr>
        <w:pStyle w:val="Heading1"/>
        <w:keepNext/>
      </w:pPr>
      <w:r>
        <w:t>PARTIE VI — Programme commun pour franchir réellement G0–G6</w:t>
      </w:r>
    </w:p>
    <w:p>
      <w:pPr>
        <w:pStyle w:val="Heading2"/>
        <w:keepNext/>
      </w:pPr>
      <w:r>
        <w:t>27. Lot A — fermer G0 sans ambiguïté</w:t>
      </w:r>
    </w:p>
    <w:p>
      <w:pPr>
        <w:spacing w:after="100" w:line="264" w:lineRule="auto"/>
        <w:ind w:left="547" w:hanging="547"/>
      </w:pPr>
      <w:r>
        <w:rPr>
          <w:rFonts w:ascii="Calibri" w:hAnsi="Calibri"/>
          <w:b/>
          <w:color w:val="2E74B5"/>
          <w:sz w:val="21"/>
        </w:rPr>
        <w:t xml:space="preserve">A1  </w:t>
      </w:r>
      <w:r>
        <w:rPr>
          <w:rFonts w:ascii="Calibri" w:hAnsi="Calibri"/>
          <w:b/>
          <w:color w:val="000000"/>
          <w:sz w:val="21"/>
        </w:rPr>
        <w:t xml:space="preserve">Spécification machine. </w:t>
      </w:r>
      <w:r>
        <w:rPr>
          <w:rFonts w:ascii="Calibri" w:hAnsi="Calibri"/>
          <w:color w:val="000000"/>
          <w:sz w:val="21"/>
        </w:rPr>
        <w:t>Sérialiser états, automorphismes, canaux, W_xy, action et observables; produire des hashes de référence.</w:t>
      </w:r>
    </w:p>
    <w:p>
      <w:pPr>
        <w:spacing w:after="100" w:line="264" w:lineRule="auto"/>
        <w:ind w:left="547" w:hanging="547"/>
      </w:pPr>
      <w:r>
        <w:rPr>
          <w:rFonts w:ascii="Calibri" w:hAnsi="Calibri"/>
          <w:b/>
          <w:color w:val="2E74B5"/>
          <w:sz w:val="21"/>
        </w:rPr>
        <w:t xml:space="preserve">A2  </w:t>
      </w:r>
      <w:r>
        <w:rPr>
          <w:rFonts w:ascii="Calibri" w:hAnsi="Calibri"/>
          <w:b/>
          <w:color w:val="000000"/>
          <w:sz w:val="21"/>
        </w:rPr>
        <w:t xml:space="preserve">Deux moteurs. </w:t>
      </w:r>
      <w:r>
        <w:rPr>
          <w:rFonts w:ascii="Calibri" w:hAnsi="Calibri"/>
          <w:color w:val="000000"/>
          <w:sz w:val="21"/>
        </w:rPr>
        <w:t>Implémentation indépendante CPU et JAX/Colab; accord exact sur petits volumes exhaustifs.</w:t>
      </w:r>
    </w:p>
    <w:p>
      <w:pPr>
        <w:spacing w:after="100" w:line="264" w:lineRule="auto"/>
        <w:ind w:left="547" w:hanging="547"/>
      </w:pPr>
      <w:r>
        <w:rPr>
          <w:rFonts w:ascii="Calibri" w:hAnsi="Calibri"/>
          <w:b/>
          <w:color w:val="2E74B5"/>
          <w:sz w:val="21"/>
        </w:rPr>
        <w:t xml:space="preserve">A3  </w:t>
      </w:r>
      <w:r>
        <w:rPr>
          <w:rFonts w:ascii="Calibri" w:hAnsi="Calibri"/>
          <w:b/>
          <w:color w:val="000000"/>
          <w:sz w:val="21"/>
        </w:rPr>
        <w:t xml:space="preserve">Paramètres. </w:t>
      </w:r>
      <w:r>
        <w:rPr>
          <w:rFonts w:ascii="Calibri" w:hAnsi="Calibri"/>
          <w:color w:val="000000"/>
          <w:sz w:val="21"/>
        </w:rPr>
        <w:t>Lister toutes directions; calculer la matrice d’information et rejeter les directions non identifiables.</w:t>
      </w:r>
    </w:p>
    <w:p>
      <w:pPr>
        <w:spacing w:after="100" w:line="264" w:lineRule="auto"/>
        <w:ind w:left="547" w:hanging="547"/>
      </w:pPr>
      <w:r>
        <w:rPr>
          <w:rFonts w:ascii="Calibri" w:hAnsi="Calibri"/>
          <w:b/>
          <w:color w:val="2E74B5"/>
          <w:sz w:val="21"/>
        </w:rPr>
        <w:t xml:space="preserve">A4  </w:t>
      </w:r>
      <w:r>
        <w:rPr>
          <w:rFonts w:ascii="Calibri" w:hAnsi="Calibri"/>
          <w:b/>
          <w:color w:val="000000"/>
          <w:sz w:val="21"/>
        </w:rPr>
        <w:t xml:space="preserve">Universalité DM3. </w:t>
      </w:r>
      <w:r>
        <w:rPr>
          <w:rFonts w:ascii="Calibri" w:hAnsi="Calibri"/>
          <w:color w:val="000000"/>
          <w:sz w:val="21"/>
        </w:rPr>
        <w:t>Comparer DM3 stricte, Morse-tame et causal-torique; une dépendance de classe persistante tue la prétention universelle.</w:t>
      </w:r>
    </w:p>
    <w:p>
      <w:pPr>
        <w:pStyle w:val="Heading2"/>
        <w:keepNext/>
      </w:pPr>
      <w:r>
        <w:t>28. Lot B — continuum, Lorentz et graviton</w:t>
      </w:r>
    </w:p>
    <w:tbl>
      <w:tblPr>
        <w:tblStyle w:val="TableGrid"/>
        <w:tblW w:type="dxa" w:w="9360"/>
        <w:tblLayout w:type="fixed"/>
        <w:tblLook w:firstColumn="1" w:firstRow="1" w:lastColumn="0" w:lastRow="0" w:noHBand="0" w:noVBand="1" w:val="04A0"/>
        <w:jc w:val="left"/>
        <w:tblInd w:w="120" w:type="dxa"/>
      </w:tblPr>
      <w:tblGrid>
        <w:gridCol w:w="1450"/>
        <w:gridCol w:w="4620"/>
        <w:gridCol w:w="3290"/>
      </w:tblGrid>
      <w:tr>
        <w:trPr>
          <w:tblHeader w:val="true"/>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0B2545"/>
                <w:sz w:val="17"/>
              </w:rPr>
              <w:t>Phase</w:t>
            </w:r>
          </w:p>
        </w:tc>
        <w:tc>
          <w:tcPr>
            <w:tcW w:type="dxa" w:w="4620"/>
            <w:tcMar>
              <w:top w:w="80" w:type="dxa"/>
              <w:start w:w="120" w:type="dxa"/>
              <w:bottom w:w="80" w:type="dxa"/>
              <w:end w:w="120" w:type="dxa"/>
            </w:tcMar>
            <w:vAlign w:val="center"/>
            <w:shd w:fill="E8EEF5"/>
          </w:tcPr>
          <w:p>
            <w:pPr>
              <w:spacing w:after="0" w:line="240" w:lineRule="auto"/>
            </w:pPr>
            <w:r>
              <w:rPr>
                <w:rFonts w:ascii="Calibri" w:hAnsi="Calibri"/>
                <w:b/>
                <w:color w:val="0B2545"/>
                <w:sz w:val="17"/>
              </w:rPr>
              <w:t>Mesures minimales</w:t>
            </w:r>
          </w:p>
        </w:tc>
        <w:tc>
          <w:tcPr>
            <w:tcW w:type="dxa" w:w="3290"/>
            <w:tcMar>
              <w:top w:w="80" w:type="dxa"/>
              <w:start w:w="120" w:type="dxa"/>
              <w:bottom w:w="80" w:type="dxa"/>
              <w:end w:w="120" w:type="dxa"/>
            </w:tcMar>
            <w:vAlign w:val="center"/>
            <w:shd w:fill="E8EEF5"/>
          </w:tcPr>
          <w:p>
            <w:pPr>
              <w:spacing w:after="0" w:line="240" w:lineRule="auto"/>
            </w:pPr>
            <w:r>
              <w:rPr>
                <w:rFonts w:ascii="Calibri" w:hAnsi="Calibri"/>
                <w:b/>
                <w:color w:val="0B2545"/>
                <w:sz w:val="17"/>
              </w:rPr>
              <w:t>Seuil de décision</w:t>
            </w:r>
          </w:p>
        </w:tc>
      </w:tr>
      <w:tr>
        <w:trPr>
          <w:cantSplit/>
        </w:trPr>
        <w:tc>
          <w:tcPr>
            <w:tcW w:type="dxa" w:w="1450"/>
            <w:vAlign w:val="center"/>
          </w:tcPr>
          <w:p>
            <w:pPr>
              <w:spacing w:after="0" w:line="245" w:lineRule="auto"/>
            </w:pPr>
            <w:r>
              <w:rPr>
                <w:rFonts w:ascii="Calibri" w:hAnsi="Calibri"/>
                <w:color w:val="000000"/>
                <w:sz w:val="17"/>
              </w:rPr>
              <w:t>B1 cartographie</w:t>
            </w:r>
          </w:p>
        </w:tc>
        <w:tc>
          <w:tcPr>
            <w:tcW w:type="dxa" w:w="4620"/>
            <w:vAlign w:val="center"/>
          </w:tcPr>
          <w:p>
            <w:pPr>
              <w:spacing w:after="0" w:line="245" w:lineRule="auto"/>
            </w:pPr>
            <w:r>
              <w:rPr>
                <w:rFonts w:ascii="Calibri" w:hAnsi="Calibri"/>
                <w:color w:val="000000"/>
                <w:sz w:val="17"/>
              </w:rPr>
              <w:t>χ, Binder, gap Q_phys, ξ, histogrammes, autocorrélations.</w:t>
            </w:r>
          </w:p>
        </w:tc>
        <w:tc>
          <w:tcPr>
            <w:tcW w:type="dxa" w:w="3290"/>
            <w:vAlign w:val="center"/>
          </w:tcPr>
          <w:p>
            <w:pPr>
              <w:spacing w:after="0" w:line="245" w:lineRule="auto"/>
            </w:pPr>
            <w:r>
              <w:rPr>
                <w:rFonts w:ascii="Calibri" w:hAnsi="Calibri"/>
                <w:color w:val="000000"/>
                <w:sz w:val="17"/>
              </w:rPr>
              <w:t>Candidat critique stable sur ≥3 tailles.</w:t>
            </w:r>
          </w:p>
        </w:tc>
      </w:tr>
      <w:tr>
        <w:trPr>
          <w:cantSplit/>
        </w:trPr>
        <w:tc>
          <w:tcPr>
            <w:tcW w:type="dxa" w:w="1450"/>
            <w:vAlign w:val="center"/>
          </w:tcPr>
          <w:p>
            <w:pPr>
              <w:spacing w:after="0" w:line="245" w:lineRule="auto"/>
            </w:pPr>
            <w:r>
              <w:rPr>
                <w:rFonts w:ascii="Calibri" w:hAnsi="Calibri"/>
                <w:color w:val="000000"/>
                <w:sz w:val="17"/>
              </w:rPr>
              <w:t>B2 FSS</w:t>
            </w:r>
          </w:p>
        </w:tc>
        <w:tc>
          <w:tcPr>
            <w:tcW w:type="dxa" w:w="4620"/>
            <w:vAlign w:val="center"/>
          </w:tcPr>
          <w:p>
            <w:pPr>
              <w:spacing w:after="0" w:line="245" w:lineRule="auto"/>
            </w:pPr>
            <w:r>
              <w:rPr>
                <w:rFonts w:ascii="Calibri" w:hAnsi="Calibri"/>
                <w:color w:val="000000"/>
                <w:sz w:val="17"/>
              </w:rPr>
              <w:t>ν,z,η, ratios universels, corrections d’échelle.</w:t>
            </w:r>
          </w:p>
        </w:tc>
        <w:tc>
          <w:tcPr>
            <w:tcW w:type="dxa" w:w="3290"/>
            <w:vAlign w:val="center"/>
          </w:tcPr>
          <w:p>
            <w:pPr>
              <w:spacing w:after="0" w:line="245" w:lineRule="auto"/>
            </w:pPr>
            <w:r>
              <w:rPr>
                <w:rFonts w:ascii="Calibri" w:hAnsi="Calibri"/>
                <w:color w:val="000000"/>
                <w:sz w:val="17"/>
              </w:rPr>
              <w:t>Collapse commun et fenêtre non glissante.</w:t>
            </w:r>
          </w:p>
        </w:tc>
      </w:tr>
      <w:tr>
        <w:trPr>
          <w:cantSplit/>
        </w:trPr>
        <w:tc>
          <w:tcPr>
            <w:tcW w:type="dxa" w:w="1450"/>
            <w:vAlign w:val="center"/>
          </w:tcPr>
          <w:p>
            <w:pPr>
              <w:spacing w:after="0" w:line="245" w:lineRule="auto"/>
            </w:pPr>
            <w:r>
              <w:rPr>
                <w:rFonts w:ascii="Calibri" w:hAnsi="Calibri"/>
                <w:color w:val="000000"/>
                <w:sz w:val="17"/>
              </w:rPr>
              <w:t>B3 Mosco/OS</w:t>
            </w:r>
          </w:p>
        </w:tc>
        <w:tc>
          <w:tcPr>
            <w:tcW w:type="dxa" w:w="4620"/>
            <w:vAlign w:val="center"/>
          </w:tcPr>
          <w:p>
            <w:pPr>
              <w:spacing w:after="0" w:line="245" w:lineRule="auto"/>
            </w:pPr>
            <w:r>
              <w:rPr>
                <w:rFonts w:ascii="Calibri" w:hAnsi="Calibri"/>
                <w:color w:val="000000"/>
                <w:sz w:val="17"/>
              </w:rPr>
              <w:t>Résolvantes, matrices de réflexion, cluster, régularité.</w:t>
            </w:r>
          </w:p>
        </w:tc>
        <w:tc>
          <w:tcPr>
            <w:tcW w:type="dxa" w:w="3290"/>
            <w:vAlign w:val="center"/>
          </w:tcPr>
          <w:p>
            <w:pPr>
              <w:spacing w:after="0" w:line="245" w:lineRule="auto"/>
            </w:pPr>
            <w:r>
              <w:rPr>
                <w:rFonts w:ascii="Calibri" w:hAnsi="Calibri"/>
                <w:color w:val="000000"/>
                <w:sz w:val="17"/>
              </w:rPr>
              <w:t>Semi-groupes convergents; valeurs propres ≥−tol.</w:t>
            </w:r>
          </w:p>
        </w:tc>
      </w:tr>
      <w:tr>
        <w:trPr>
          <w:cantSplit/>
        </w:trPr>
        <w:tc>
          <w:tcPr>
            <w:tcW w:type="dxa" w:w="1450"/>
            <w:vAlign w:val="center"/>
          </w:tcPr>
          <w:p>
            <w:pPr>
              <w:spacing w:after="0" w:line="245" w:lineRule="auto"/>
            </w:pPr>
            <w:r>
              <w:rPr>
                <w:rFonts w:ascii="Calibri" w:hAnsi="Calibri"/>
                <w:color w:val="000000"/>
                <w:sz w:val="17"/>
              </w:rPr>
              <w:t>B4 causalité</w:t>
            </w:r>
          </w:p>
        </w:tc>
        <w:tc>
          <w:tcPr>
            <w:tcW w:type="dxa" w:w="4620"/>
            <w:vAlign w:val="center"/>
          </w:tcPr>
          <w:p>
            <w:pPr>
              <w:spacing w:after="0" w:line="245" w:lineRule="auto"/>
            </w:pPr>
            <w:r>
              <w:rPr>
                <w:rFonts w:ascii="Calibri" w:hAnsi="Calibri"/>
                <w:color w:val="000000"/>
                <w:sz w:val="17"/>
              </w:rPr>
              <w:t>Norme LR, dispersion tensorielle, jauge, scalaire, fermion.</w:t>
            </w:r>
          </w:p>
        </w:tc>
        <w:tc>
          <w:tcPr>
            <w:tcW w:type="dxa" w:w="3290"/>
            <w:vAlign w:val="center"/>
          </w:tcPr>
          <w:p>
            <w:pPr>
              <w:spacing w:after="0" w:line="245" w:lineRule="auto"/>
            </w:pPr>
            <w:r>
              <w:rPr>
                <w:rFonts w:ascii="Calibri" w:hAnsi="Calibri"/>
                <w:color w:val="000000"/>
                <w:sz w:val="17"/>
              </w:rPr>
              <w:t>Borne uniforme; z→1 et une vitesse limite.</w:t>
            </w:r>
          </w:p>
        </w:tc>
      </w:tr>
      <w:tr>
        <w:trPr>
          <w:cantSplit/>
        </w:trPr>
        <w:tc>
          <w:tcPr>
            <w:tcW w:type="dxa" w:w="1450"/>
            <w:vAlign w:val="center"/>
          </w:tcPr>
          <w:p>
            <w:pPr>
              <w:spacing w:after="0" w:line="245" w:lineRule="auto"/>
            </w:pPr>
            <w:r>
              <w:rPr>
                <w:rFonts w:ascii="Calibri" w:hAnsi="Calibri"/>
                <w:color w:val="000000"/>
                <w:sz w:val="17"/>
              </w:rPr>
              <w:t>B5 graviton</w:t>
            </w:r>
          </w:p>
        </w:tc>
        <w:tc>
          <w:tcPr>
            <w:tcW w:type="dxa" w:w="4620"/>
            <w:vAlign w:val="center"/>
          </w:tcPr>
          <w:p>
            <w:pPr>
              <w:spacing w:after="0" w:line="245" w:lineRule="auto"/>
            </w:pPr>
            <w:r>
              <w:rPr>
                <w:rFonts w:ascii="Calibri" w:hAnsi="Calibri"/>
                <w:color w:val="000000"/>
                <w:sz w:val="17"/>
              </w:rPr>
              <w:t>Γ_TT², mesure spectrale, Ward/BRST, trace, 3-points.</w:t>
            </w:r>
          </w:p>
        </w:tc>
        <w:tc>
          <w:tcPr>
            <w:tcW w:type="dxa" w:w="3290"/>
            <w:vAlign w:val="center"/>
          </w:tcPr>
          <w:p>
            <w:pPr>
              <w:spacing w:after="0" w:line="245" w:lineRule="auto"/>
            </w:pPr>
            <w:r>
              <w:rPr>
                <w:rFonts w:ascii="Calibri" w:hAnsi="Calibri"/>
                <w:color w:val="000000"/>
                <w:sz w:val="17"/>
              </w:rPr>
              <w:t>Atome m²=0 positif, deux hélicités, G_N commun.</w:t>
            </w:r>
          </w:p>
        </w:tc>
      </w:tr>
    </w:tbl>
    <w:p>
      <w:pPr>
        <w:keepLines w:val="0"/>
        <w:spacing w:before="0" w:after="120" w:line="264" w:lineRule="auto"/>
        <w:jc w:val="left"/>
      </w:pPr>
      <w:r>
        <w:rPr>
          <w:rFonts w:ascii="Calibri" w:hAnsi="Calibri"/>
          <w:b w:val="0"/>
          <w:i w:val="0"/>
          <w:color w:val="000000"/>
          <w:sz w:val="22"/>
        </w:rPr>
      </w:r>
    </w:p>
    <w:p>
      <w:pPr>
        <w:pStyle w:val="Heading2"/>
        <w:keepNext/>
      </w:pPr>
      <w:r>
        <w:t>29. Lot C — chiralité et spectre</w:t>
      </w:r>
    </w:p>
    <w:p>
      <w:pPr>
        <w:spacing w:after="100" w:line="264" w:lineRule="auto"/>
        <w:ind w:left="547" w:hanging="547"/>
      </w:pPr>
      <w:r>
        <w:rPr>
          <w:rFonts w:ascii="Calibri" w:hAnsi="Calibri"/>
          <w:b/>
          <w:color w:val="2E74B5"/>
          <w:sz w:val="21"/>
        </w:rPr>
        <w:t xml:space="preserve">C1  </w:t>
      </w:r>
      <w:r>
        <w:rPr>
          <w:rFonts w:ascii="Calibri" w:hAnsi="Calibri"/>
          <w:b/>
          <w:color w:val="000000"/>
          <w:sz w:val="21"/>
        </w:rPr>
        <w:t xml:space="preserve">Petits complexes. </w:t>
      </w:r>
      <w:r>
        <w:rPr>
          <w:rFonts w:ascii="Calibri" w:hAnsi="Calibri"/>
          <w:color w:val="000000"/>
          <w:sz w:val="21"/>
        </w:rPr>
        <w:t>Construire le régulateur Spin(10) sur triangulations fixes; vérifier Gauss, localité et spectre miroir.</w:t>
      </w:r>
    </w:p>
    <w:p>
      <w:pPr>
        <w:spacing w:after="100" w:line="264" w:lineRule="auto"/>
        <w:ind w:left="547" w:hanging="547"/>
      </w:pPr>
      <w:r>
        <w:rPr>
          <w:rFonts w:ascii="Calibri" w:hAnsi="Calibri"/>
          <w:b/>
          <w:color w:val="2E74B5"/>
          <w:sz w:val="21"/>
        </w:rPr>
        <w:t xml:space="preserve">C2  </w:t>
      </w:r>
      <w:r>
        <w:rPr>
          <w:rFonts w:ascii="Calibri" w:hAnsi="Calibri"/>
          <w:b/>
          <w:color w:val="000000"/>
          <w:sz w:val="21"/>
        </w:rPr>
        <w:t xml:space="preserve">Gap uniforme. </w:t>
      </w:r>
      <w:r>
        <w:rPr>
          <w:rFonts w:ascii="Calibri" w:hAnsi="Calibri"/>
          <w:color w:val="000000"/>
          <w:sz w:val="21"/>
        </w:rPr>
        <w:t>Borner le gap miroir en volume, coordination et géométrie; aucune moyenne ne remplace une borne.</w:t>
      </w:r>
    </w:p>
    <w:p>
      <w:pPr>
        <w:spacing w:after="100" w:line="264" w:lineRule="auto"/>
        <w:ind w:left="547" w:hanging="547"/>
      </w:pPr>
      <w:r>
        <w:rPr>
          <w:rFonts w:ascii="Calibri" w:hAnsi="Calibri"/>
          <w:b/>
          <w:color w:val="2E74B5"/>
          <w:sz w:val="21"/>
        </w:rPr>
        <w:t xml:space="preserve">C3  </w:t>
      </w:r>
      <w:r>
        <w:rPr>
          <w:rFonts w:ascii="Calibri" w:hAnsi="Calibri"/>
          <w:b/>
          <w:color w:val="000000"/>
          <w:sz w:val="21"/>
        </w:rPr>
        <w:t xml:space="preserve">Backreaction. </w:t>
      </w:r>
      <w:r>
        <w:rPr>
          <w:rFonts w:ascii="Calibri" w:hAnsi="Calibri"/>
          <w:color w:val="000000"/>
          <w:sz w:val="21"/>
        </w:rPr>
        <w:t>Activer Pachner + jauge + fermions; vérifier conservation des anomalies et indépendance du raffinement.</w:t>
      </w:r>
    </w:p>
    <w:p>
      <w:pPr>
        <w:spacing w:after="100" w:line="264" w:lineRule="auto"/>
        <w:ind w:left="547" w:hanging="547"/>
      </w:pPr>
      <w:r>
        <w:rPr>
          <w:rFonts w:ascii="Calibri" w:hAnsi="Calibri"/>
          <w:b/>
          <w:color w:val="2E74B5"/>
          <w:sz w:val="21"/>
        </w:rPr>
        <w:t xml:space="preserve">C4  </w:t>
      </w:r>
      <w:r>
        <w:rPr>
          <w:rFonts w:ascii="Calibri" w:hAnsi="Calibri"/>
          <w:b/>
          <w:color w:val="000000"/>
          <w:sz w:val="21"/>
        </w:rPr>
        <w:t xml:space="preserve">Brisure. </w:t>
      </w:r>
      <w:r>
        <w:rPr>
          <w:rFonts w:ascii="Calibri" w:hAnsi="Calibri"/>
          <w:color w:val="000000"/>
          <w:sz w:val="21"/>
        </w:rPr>
        <w:t>Suivre Spin(10)→Pati–Salam→SM→SU(3)×U(1)_Q; mesurer le Higgs léger et les bosons massifs.</w:t>
      </w:r>
    </w:p>
    <w:p>
      <w:pPr>
        <w:spacing w:after="100" w:line="264" w:lineRule="auto"/>
        <w:ind w:left="547" w:hanging="547"/>
      </w:pPr>
      <w:r>
        <w:rPr>
          <w:rFonts w:ascii="Calibri" w:hAnsi="Calibri"/>
          <w:b/>
          <w:color w:val="2E74B5"/>
          <w:sz w:val="21"/>
        </w:rPr>
        <w:t xml:space="preserve">C5  </w:t>
      </w:r>
      <w:r>
        <w:rPr>
          <w:rFonts w:ascii="Calibri" w:hAnsi="Calibri"/>
          <w:b/>
          <w:color w:val="000000"/>
          <w:sz w:val="21"/>
        </w:rPr>
        <w:t xml:space="preserve">Saveurs. </w:t>
      </w:r>
      <w:r>
        <w:rPr>
          <w:rFonts w:ascii="Calibri" w:hAnsi="Calibri"/>
          <w:color w:val="000000"/>
          <w:sz w:val="21"/>
        </w:rPr>
        <w:t>Soit dériver un spurion de brisure de mapping class, soit déclarer les Yukawa comme entrées et renoncer au mot dérivé.</w:t>
      </w:r>
    </w:p>
    <w:p>
      <w:pPr>
        <w:pStyle w:val="Heading2"/>
        <w:keepNext/>
      </w:pPr>
      <w:r>
        <w:t>30. Lot D — RG commun, cosmologie et prédictions</w:t>
      </w:r>
    </w:p>
    <w:p>
      <w:pPr>
        <w:spacing w:after="100" w:line="264" w:lineRule="auto"/>
        <w:ind w:left="547" w:hanging="547"/>
      </w:pPr>
      <w:r>
        <w:rPr>
          <w:rFonts w:ascii="Calibri" w:hAnsi="Calibri"/>
          <w:b/>
          <w:color w:val="2E74B5"/>
          <w:sz w:val="21"/>
        </w:rPr>
        <w:t xml:space="preserve">D1  </w:t>
      </w:r>
      <w:r>
        <w:rPr>
          <w:rFonts w:ascii="Calibri" w:hAnsi="Calibri"/>
          <w:b/>
          <w:color w:val="000000"/>
          <w:sz w:val="21"/>
        </w:rPr>
        <w:t xml:space="preserve">Γ_k commune. </w:t>
      </w:r>
      <w:r>
        <w:rPr>
          <w:rFonts w:ascii="Calibri" w:hAnsi="Calibri"/>
          <w:color w:val="000000"/>
          <w:sz w:val="21"/>
        </w:rPr>
        <w:t>Blocage simultané géométrie/liens/scalaires/fermions; mesurer β_g, β_G, β_λ et l’opérateur mixte.</w:t>
      </w:r>
    </w:p>
    <w:p>
      <w:pPr>
        <w:spacing w:after="100" w:line="264" w:lineRule="auto"/>
        <w:ind w:left="547" w:hanging="547"/>
      </w:pPr>
      <w:r>
        <w:rPr>
          <w:rFonts w:ascii="Calibri" w:hAnsi="Calibri"/>
          <w:b/>
          <w:color w:val="2E74B5"/>
          <w:sz w:val="21"/>
        </w:rPr>
        <w:t xml:space="preserve">D2  </w:t>
      </w:r>
      <w:r>
        <w:rPr>
          <w:rFonts w:ascii="Calibri" w:hAnsi="Calibri"/>
          <w:b/>
          <w:color w:val="000000"/>
          <w:sz w:val="21"/>
        </w:rPr>
        <w:t xml:space="preserve">Matching. </w:t>
      </w:r>
      <w:r>
        <w:rPr>
          <w:rFonts w:ascii="Calibri" w:hAnsi="Calibri"/>
          <w:color w:val="000000"/>
          <w:sz w:val="21"/>
        </w:rPr>
        <w:t>Relier échelle réseau, M_Pl, M_GUT, v_EW et masses par un jeu minimal de renormalisation.</w:t>
      </w:r>
    </w:p>
    <w:p>
      <w:pPr>
        <w:spacing w:after="100" w:line="264" w:lineRule="auto"/>
        <w:ind w:left="547" w:hanging="547"/>
      </w:pPr>
      <w:r>
        <w:rPr>
          <w:rFonts w:ascii="Calibri" w:hAnsi="Calibri"/>
          <w:b/>
          <w:color w:val="2E74B5"/>
          <w:sz w:val="21"/>
        </w:rPr>
        <w:t xml:space="preserve">D3  </w:t>
      </w:r>
      <w:r>
        <w:rPr>
          <w:rFonts w:ascii="Calibri" w:hAnsi="Calibri"/>
          <w:b/>
          <w:color w:val="000000"/>
          <w:sz w:val="21"/>
        </w:rPr>
        <w:t xml:space="preserve">Cosmologie. </w:t>
      </w:r>
      <w:r>
        <w:rPr>
          <w:rFonts w:ascii="Calibri" w:hAnsi="Calibri"/>
          <w:color w:val="000000"/>
          <w:sz w:val="21"/>
        </w:rPr>
        <w:t>Extraire volume, lapse effectif, perturbations et état initial sans réutiliser le biais auxiliaire.</w:t>
      </w:r>
    </w:p>
    <w:p>
      <w:pPr>
        <w:spacing w:after="100" w:line="264" w:lineRule="auto"/>
        <w:ind w:left="547" w:hanging="547"/>
      </w:pPr>
      <w:r>
        <w:rPr>
          <w:rFonts w:ascii="Calibri" w:hAnsi="Calibri"/>
          <w:b/>
          <w:color w:val="2E74B5"/>
          <w:sz w:val="21"/>
        </w:rPr>
        <w:t xml:space="preserve">D4  </w:t>
      </w:r>
      <w:r>
        <w:rPr>
          <w:rFonts w:ascii="Calibri" w:hAnsi="Calibri"/>
          <w:b/>
          <w:color w:val="000000"/>
          <w:sz w:val="21"/>
        </w:rPr>
        <w:t xml:space="preserve">Blind prediction. </w:t>
      </w:r>
      <w:r>
        <w:rPr>
          <w:rFonts w:ascii="Calibri" w:hAnsi="Calibri"/>
          <w:color w:val="000000"/>
          <w:sz w:val="21"/>
        </w:rPr>
        <w:t>Geler une observable BLOB-specific non ajustée avec intervalle et dépôt horodaté.</w:t>
      </w:r>
    </w:p>
    <w:p>
      <w:pPr>
        <w:spacing w:after="100" w:line="264" w:lineRule="auto"/>
        <w:ind w:left="547" w:hanging="547"/>
      </w:pPr>
      <w:r>
        <w:rPr>
          <w:rFonts w:ascii="Calibri" w:hAnsi="Calibri"/>
          <w:b/>
          <w:color w:val="2E74B5"/>
          <w:sz w:val="21"/>
        </w:rPr>
        <w:t xml:space="preserve">D5  </w:t>
      </w:r>
      <w:r>
        <w:rPr>
          <w:rFonts w:ascii="Calibri" w:hAnsi="Calibri"/>
          <w:b/>
          <w:color w:val="000000"/>
          <w:sz w:val="21"/>
        </w:rPr>
        <w:t xml:space="preserve">Réplication. </w:t>
      </w:r>
      <w:r>
        <w:rPr>
          <w:rFonts w:ascii="Calibri" w:hAnsi="Calibri"/>
          <w:color w:val="000000"/>
          <w:sz w:val="21"/>
        </w:rPr>
        <w:t>Publier données brutes, graines, containers légers et protocole; solliciter au moins deux groupes sans accès aux choix postérieurs.</w:t>
      </w:r>
    </w:p>
    <w:p>
      <w:pPr>
        <w:pStyle w:val="Heading2"/>
        <w:keepNext/>
      </w:pPr>
      <w:r>
        <w:t>31. Ordre de calcul compatible avec Colab</w:t>
      </w:r>
    </w:p>
    <w:tbl>
      <w:tblPr>
        <w:tblStyle w:val="TableGrid"/>
        <w:tblW w:type="dxa" w:w="9360"/>
        <w:tblLayout w:type="fixed"/>
        <w:tblLook w:firstColumn="1" w:firstRow="1" w:lastColumn="0" w:lastRow="0" w:noHBand="0" w:noVBand="1" w:val="04A0"/>
        <w:jc w:val="left"/>
        <w:tblInd w:w="120" w:type="dxa"/>
      </w:tblPr>
      <w:tblGrid>
        <w:gridCol w:w="1000"/>
        <w:gridCol w:w="4800"/>
        <w:gridCol w:w="3560"/>
      </w:tblGrid>
      <w:tr>
        <w:trPr>
          <w:tblHeader w:val="true"/>
          <w:cantSplit/>
          <w:tblHeader w:val="true"/>
        </w:trPr>
        <w:tc>
          <w:tcPr>
            <w:tcW w:type="dxa" w:w="1000"/>
            <w:tcMar>
              <w:top w:w="80" w:type="dxa"/>
              <w:start w:w="120" w:type="dxa"/>
              <w:bottom w:w="80" w:type="dxa"/>
              <w:end w:w="120" w:type="dxa"/>
            </w:tcMar>
            <w:vAlign w:val="center"/>
            <w:shd w:fill="E8EEF5"/>
          </w:tcPr>
          <w:p>
            <w:pPr>
              <w:spacing w:after="0" w:line="240" w:lineRule="auto"/>
            </w:pPr>
            <w:r>
              <w:rPr>
                <w:rFonts w:ascii="Calibri" w:hAnsi="Calibri"/>
                <w:b/>
                <w:color w:val="0B2545"/>
                <w:sz w:val="17"/>
              </w:rPr>
              <w:t>Priorité</w:t>
            </w:r>
          </w:p>
        </w:tc>
        <w:tc>
          <w:tcPr>
            <w:tcW w:type="dxa" w:w="4800"/>
            <w:tcMar>
              <w:top w:w="80" w:type="dxa"/>
              <w:start w:w="120" w:type="dxa"/>
              <w:bottom w:w="80" w:type="dxa"/>
              <w:end w:w="120" w:type="dxa"/>
            </w:tcMar>
            <w:vAlign w:val="center"/>
            <w:shd w:fill="E8EEF5"/>
          </w:tcPr>
          <w:p>
            <w:pPr>
              <w:spacing w:after="0" w:line="240" w:lineRule="auto"/>
            </w:pPr>
            <w:r>
              <w:rPr>
                <w:rFonts w:ascii="Calibri" w:hAnsi="Calibri"/>
                <w:b/>
                <w:color w:val="0B2545"/>
                <w:sz w:val="17"/>
              </w:rPr>
              <w:t>Calcul</w:t>
            </w:r>
          </w:p>
        </w:tc>
        <w:tc>
          <w:tcPr>
            <w:tcW w:type="dxa" w:w="3560"/>
            <w:tcMar>
              <w:top w:w="80" w:type="dxa"/>
              <w:start w:w="120" w:type="dxa"/>
              <w:bottom w:w="80" w:type="dxa"/>
              <w:end w:w="120" w:type="dxa"/>
            </w:tcMar>
            <w:vAlign w:val="center"/>
            <w:shd w:fill="E8EEF5"/>
          </w:tcPr>
          <w:p>
            <w:pPr>
              <w:spacing w:after="0" w:line="240" w:lineRule="auto"/>
            </w:pPr>
            <w:r>
              <w:rPr>
                <w:rFonts w:ascii="Calibri" w:hAnsi="Calibri"/>
                <w:b/>
                <w:color w:val="0B2545"/>
                <w:sz w:val="17"/>
              </w:rPr>
              <w:t>Pourquoi maintenant</w:t>
            </w:r>
          </w:p>
        </w:tc>
      </w:tr>
      <w:tr>
        <w:trPr>
          <w:cantSplit/>
        </w:trPr>
        <w:tc>
          <w:tcPr>
            <w:tcW w:type="dxa" w:w="1000"/>
            <w:vAlign w:val="center"/>
          </w:tcPr>
          <w:p>
            <w:pPr>
              <w:spacing w:after="0" w:line="245" w:lineRule="auto"/>
            </w:pPr>
            <w:r>
              <w:rPr>
                <w:rFonts w:ascii="Calibri" w:hAnsi="Calibri"/>
                <w:color w:val="000000"/>
                <w:sz w:val="17"/>
              </w:rPr>
              <w:t>P0</w:t>
            </w:r>
          </w:p>
        </w:tc>
        <w:tc>
          <w:tcPr>
            <w:tcW w:type="dxa" w:w="4800"/>
            <w:vAlign w:val="center"/>
          </w:tcPr>
          <w:p>
            <w:pPr>
              <w:spacing w:after="0" w:line="245" w:lineRule="auto"/>
            </w:pPr>
            <w:r>
              <w:rPr>
                <w:rFonts w:ascii="Calibri" w:hAnsi="Calibri"/>
                <w:color w:val="000000"/>
                <w:sz w:val="17"/>
              </w:rPr>
              <w:t>Exhaustif N≤petit : états, canaux, Aut, W_xy.</w:t>
            </w:r>
          </w:p>
        </w:tc>
        <w:tc>
          <w:tcPr>
            <w:tcW w:type="dxa" w:w="3560"/>
            <w:vAlign w:val="center"/>
          </w:tcPr>
          <w:p>
            <w:pPr>
              <w:spacing w:after="0" w:line="245" w:lineRule="auto"/>
            </w:pPr>
            <w:r>
              <w:rPr>
                <w:rFonts w:ascii="Calibri" w:hAnsi="Calibri"/>
                <w:color w:val="000000"/>
                <w:sz w:val="17"/>
              </w:rPr>
              <w:t>Ferme les erreurs de définition avant le coût.</w:t>
            </w:r>
          </w:p>
        </w:tc>
      </w:tr>
      <w:tr>
        <w:trPr>
          <w:cantSplit/>
        </w:trPr>
        <w:tc>
          <w:tcPr>
            <w:tcW w:type="dxa" w:w="1000"/>
            <w:vAlign w:val="center"/>
          </w:tcPr>
          <w:p>
            <w:pPr>
              <w:spacing w:after="0" w:line="245" w:lineRule="auto"/>
            </w:pPr>
            <w:r>
              <w:rPr>
                <w:rFonts w:ascii="Calibri" w:hAnsi="Calibri"/>
                <w:color w:val="000000"/>
                <w:sz w:val="17"/>
              </w:rPr>
              <w:t>P1</w:t>
            </w:r>
          </w:p>
        </w:tc>
        <w:tc>
          <w:tcPr>
            <w:tcW w:type="dxa" w:w="4800"/>
            <w:vAlign w:val="center"/>
          </w:tcPr>
          <w:p>
            <w:pPr>
              <w:spacing w:after="0" w:line="245" w:lineRule="auto"/>
            </w:pPr>
            <w:r>
              <w:rPr>
                <w:rFonts w:ascii="Calibri" w:hAnsi="Calibri"/>
                <w:color w:val="000000"/>
                <w:sz w:val="17"/>
              </w:rPr>
              <w:t>Géométrie DM3 sans matière : carte (μ,α,b,g_Γ).</w:t>
            </w:r>
          </w:p>
        </w:tc>
        <w:tc>
          <w:tcPr>
            <w:tcW w:type="dxa" w:w="3560"/>
            <w:vAlign w:val="center"/>
          </w:tcPr>
          <w:p>
            <w:pPr>
              <w:spacing w:after="0" w:line="245" w:lineRule="auto"/>
            </w:pPr>
            <w:r>
              <w:rPr>
                <w:rFonts w:ascii="Calibri" w:hAnsi="Calibri"/>
                <w:color w:val="000000"/>
                <w:sz w:val="17"/>
              </w:rPr>
              <w:t>Cherche ou tue le continuum le moins cher.</w:t>
            </w:r>
          </w:p>
        </w:tc>
      </w:tr>
      <w:tr>
        <w:trPr>
          <w:cantSplit/>
        </w:trPr>
        <w:tc>
          <w:tcPr>
            <w:tcW w:type="dxa" w:w="1000"/>
            <w:vAlign w:val="center"/>
          </w:tcPr>
          <w:p>
            <w:pPr>
              <w:spacing w:after="0" w:line="245" w:lineRule="auto"/>
            </w:pPr>
            <w:r>
              <w:rPr>
                <w:rFonts w:ascii="Calibri" w:hAnsi="Calibri"/>
                <w:color w:val="000000"/>
                <w:sz w:val="17"/>
              </w:rPr>
              <w:t>P2</w:t>
            </w:r>
          </w:p>
        </w:tc>
        <w:tc>
          <w:tcPr>
            <w:tcW w:type="dxa" w:w="4800"/>
            <w:vAlign w:val="center"/>
          </w:tcPr>
          <w:p>
            <w:pPr>
              <w:spacing w:after="0" w:line="245" w:lineRule="auto"/>
            </w:pPr>
            <w:r>
              <w:rPr>
                <w:rFonts w:ascii="Calibri" w:hAnsi="Calibri"/>
                <w:color w:val="000000"/>
                <w:sz w:val="17"/>
              </w:rPr>
              <w:t>Bases locales apprises + validation hors échantillon.</w:t>
            </w:r>
          </w:p>
        </w:tc>
        <w:tc>
          <w:tcPr>
            <w:tcW w:type="dxa" w:w="3560"/>
            <w:vAlign w:val="center"/>
          </w:tcPr>
          <w:p>
            <w:pPr>
              <w:spacing w:after="0" w:line="245" w:lineRule="auto"/>
            </w:pPr>
            <w:r>
              <w:rPr>
                <w:rFonts w:ascii="Calibri" w:hAnsi="Calibri"/>
                <w:color w:val="000000"/>
                <w:sz w:val="17"/>
              </w:rPr>
              <w:t>Teste la complétion RG et les opérateurs oubliés.</w:t>
            </w:r>
          </w:p>
        </w:tc>
      </w:tr>
      <w:tr>
        <w:trPr>
          <w:cantSplit/>
        </w:trPr>
        <w:tc>
          <w:tcPr>
            <w:tcW w:type="dxa" w:w="1000"/>
            <w:vAlign w:val="center"/>
          </w:tcPr>
          <w:p>
            <w:pPr>
              <w:spacing w:after="0" w:line="245" w:lineRule="auto"/>
            </w:pPr>
            <w:r>
              <w:rPr>
                <w:rFonts w:ascii="Calibri" w:hAnsi="Calibri"/>
                <w:color w:val="000000"/>
                <w:sz w:val="17"/>
              </w:rPr>
              <w:t>P3</w:t>
            </w:r>
          </w:p>
        </w:tc>
        <w:tc>
          <w:tcPr>
            <w:tcW w:type="dxa" w:w="4800"/>
            <w:vAlign w:val="center"/>
          </w:tcPr>
          <w:p>
            <w:pPr>
              <w:spacing w:after="0" w:line="245" w:lineRule="auto"/>
            </w:pPr>
            <w:r>
              <w:rPr>
                <w:rFonts w:ascii="Calibri" w:hAnsi="Calibri"/>
                <w:color w:val="000000"/>
                <w:sz w:val="17"/>
              </w:rPr>
              <w:t>Spin(10) sur géométrie gelée.</w:t>
            </w:r>
          </w:p>
        </w:tc>
        <w:tc>
          <w:tcPr>
            <w:tcW w:type="dxa" w:w="3560"/>
            <w:vAlign w:val="center"/>
          </w:tcPr>
          <w:p>
            <w:pPr>
              <w:spacing w:after="0" w:line="245" w:lineRule="auto"/>
            </w:pPr>
            <w:r>
              <w:rPr>
                <w:rFonts w:ascii="Calibri" w:hAnsi="Calibri"/>
                <w:color w:val="000000"/>
                <w:sz w:val="17"/>
              </w:rPr>
              <w:t>Sépare le problème chiral du bruit géométrique.</w:t>
            </w:r>
          </w:p>
        </w:tc>
      </w:tr>
      <w:tr>
        <w:trPr>
          <w:cantSplit/>
        </w:trPr>
        <w:tc>
          <w:tcPr>
            <w:tcW w:type="dxa" w:w="1000"/>
            <w:vAlign w:val="center"/>
          </w:tcPr>
          <w:p>
            <w:pPr>
              <w:spacing w:after="0" w:line="245" w:lineRule="auto"/>
            </w:pPr>
            <w:r>
              <w:rPr>
                <w:rFonts w:ascii="Calibri" w:hAnsi="Calibri"/>
                <w:color w:val="000000"/>
                <w:sz w:val="17"/>
              </w:rPr>
              <w:t>P4</w:t>
            </w:r>
          </w:p>
        </w:tc>
        <w:tc>
          <w:tcPr>
            <w:tcW w:type="dxa" w:w="4800"/>
            <w:vAlign w:val="center"/>
          </w:tcPr>
          <w:p>
            <w:pPr>
              <w:spacing w:after="0" w:line="245" w:lineRule="auto"/>
            </w:pPr>
            <w:r>
              <w:rPr>
                <w:rFonts w:ascii="Calibri" w:hAnsi="Calibri"/>
                <w:color w:val="000000"/>
                <w:sz w:val="17"/>
              </w:rPr>
              <w:t>Couplage complet sur volumes moyens.</w:t>
            </w:r>
          </w:p>
        </w:tc>
        <w:tc>
          <w:tcPr>
            <w:tcW w:type="dxa" w:w="3560"/>
            <w:vAlign w:val="center"/>
          </w:tcPr>
          <w:p>
            <w:pPr>
              <w:spacing w:after="0" w:line="245" w:lineRule="auto"/>
            </w:pPr>
            <w:r>
              <w:rPr>
                <w:rFonts w:ascii="Calibri" w:hAnsi="Calibri"/>
                <w:color w:val="000000"/>
                <w:sz w:val="17"/>
              </w:rPr>
              <w:t>Seulement après B1 et C2.</w:t>
            </w:r>
          </w:p>
        </w:tc>
      </w:tr>
      <w:tr>
        <w:trPr>
          <w:cantSplit/>
        </w:trPr>
        <w:tc>
          <w:tcPr>
            <w:tcW w:type="dxa" w:w="1000"/>
            <w:vAlign w:val="center"/>
          </w:tcPr>
          <w:p>
            <w:pPr>
              <w:spacing w:after="0" w:line="245" w:lineRule="auto"/>
            </w:pPr>
            <w:r>
              <w:rPr>
                <w:rFonts w:ascii="Calibri" w:hAnsi="Calibri"/>
                <w:color w:val="000000"/>
                <w:sz w:val="17"/>
              </w:rPr>
              <w:t>P5</w:t>
            </w:r>
          </w:p>
        </w:tc>
        <w:tc>
          <w:tcPr>
            <w:tcW w:type="dxa" w:w="4800"/>
            <w:vAlign w:val="center"/>
          </w:tcPr>
          <w:p>
            <w:pPr>
              <w:spacing w:after="0" w:line="245" w:lineRule="auto"/>
            </w:pPr>
            <w:r>
              <w:rPr>
                <w:rFonts w:ascii="Calibri" w:hAnsi="Calibri"/>
                <w:color w:val="000000"/>
                <w:sz w:val="17"/>
              </w:rPr>
              <w:t>Runs grands volumes/continuum.</w:t>
            </w:r>
          </w:p>
        </w:tc>
        <w:tc>
          <w:tcPr>
            <w:tcW w:type="dxa" w:w="3560"/>
            <w:vAlign w:val="center"/>
          </w:tcPr>
          <w:p>
            <w:pPr>
              <w:spacing w:after="0" w:line="245" w:lineRule="auto"/>
            </w:pPr>
            <w:r>
              <w:rPr>
                <w:rFonts w:ascii="Calibri" w:hAnsi="Calibri"/>
                <w:color w:val="000000"/>
                <w:sz w:val="17"/>
              </w:rPr>
              <w:t>Coût justifié uniquement si les portes précédentes passent.</w:t>
            </w:r>
          </w:p>
        </w:tc>
      </w:tr>
    </w:tbl>
    <w:p>
      <w:pPr>
        <w:keepLines w:val="0"/>
        <w:spacing w:before="0" w:after="120" w:line="264" w:lineRule="auto"/>
        <w:jc w:val="left"/>
      </w:pPr>
      <w:r>
        <w:rPr>
          <w:rFonts w:ascii="Calibri" w:hAnsi="Calibri"/>
          <w:b w:val="0"/>
          <w:i w:val="0"/>
          <w:color w:val="000000"/>
          <w:sz w:val="22"/>
        </w:rPr>
      </w:r>
    </w:p>
    <w:p>
      <w:pPr>
        <w:pStyle w:val="Heading2"/>
        <w:keepNext/>
      </w:pPr>
      <w:r>
        <w:t>32. Registre des critères de mort globaux</w:t>
      </w:r>
    </w:p>
    <w:tbl>
      <w:tblPr>
        <w:tblStyle w:val="TableGrid"/>
        <w:tblW w:type="dxa" w:w="9360"/>
        <w:tblLayout w:type="fixed"/>
        <w:tblLook w:firstColumn="1" w:firstRow="1" w:lastColumn="0" w:lastRow="0" w:noHBand="0" w:noVBand="1" w:val="04A0"/>
        <w:jc w:val="left"/>
        <w:tblInd w:w="120" w:type="dxa"/>
      </w:tblPr>
      <w:tblGrid>
        <w:gridCol w:w="3600"/>
        <w:gridCol w:w="5760"/>
      </w:tblGrid>
      <w:tr>
        <w:trPr>
          <w:tblHeader w:val="true"/>
          <w:cantSplit/>
          <w:tblHeader w:val="true"/>
        </w:trPr>
        <w:tc>
          <w:tcPr>
            <w:tcW w:type="dxa" w:w="3600"/>
            <w:tcMar>
              <w:top w:w="80" w:type="dxa"/>
              <w:start w:w="120" w:type="dxa"/>
              <w:bottom w:w="80" w:type="dxa"/>
              <w:end w:w="120" w:type="dxa"/>
            </w:tcMar>
            <w:vAlign w:val="center"/>
            <w:shd w:fill="E8EEF5"/>
          </w:tcPr>
          <w:p>
            <w:pPr>
              <w:spacing w:after="0" w:line="240" w:lineRule="auto"/>
            </w:pPr>
            <w:r>
              <w:rPr>
                <w:rFonts w:ascii="Calibri" w:hAnsi="Calibri"/>
                <w:b/>
                <w:color w:val="0B2545"/>
                <w:sz w:val="17"/>
              </w:rPr>
              <w:t>Observation</w:t>
            </w:r>
          </w:p>
        </w:tc>
        <w:tc>
          <w:tcPr>
            <w:tcW w:type="dxa" w:w="5760"/>
            <w:tcMar>
              <w:top w:w="80" w:type="dxa"/>
              <w:start w:w="120" w:type="dxa"/>
              <w:bottom w:w="80" w:type="dxa"/>
              <w:end w:w="120" w:type="dxa"/>
            </w:tcMar>
            <w:vAlign w:val="center"/>
            <w:shd w:fill="E8EEF5"/>
          </w:tcPr>
          <w:p>
            <w:pPr>
              <w:spacing w:after="0" w:line="240" w:lineRule="auto"/>
            </w:pPr>
            <w:r>
              <w:rPr>
                <w:rFonts w:ascii="Calibri" w:hAnsi="Calibri"/>
                <w:b/>
                <w:color w:val="0B2545"/>
                <w:sz w:val="17"/>
              </w:rPr>
              <w:t>Conséquence irréversible</w:t>
            </w:r>
          </w:p>
        </w:tc>
      </w:tr>
      <w:tr>
        <w:trPr>
          <w:cantSplit/>
        </w:trPr>
        <w:tc>
          <w:tcPr>
            <w:tcW w:type="dxa" w:w="3600"/>
            <w:vAlign w:val="center"/>
          </w:tcPr>
          <w:p>
            <w:pPr>
              <w:spacing w:after="0" w:line="245" w:lineRule="auto"/>
            </w:pPr>
            <w:r>
              <w:rPr>
                <w:rFonts w:ascii="Calibri" w:hAnsi="Calibri"/>
                <w:color w:val="000000"/>
                <w:sz w:val="17"/>
              </w:rPr>
              <w:t>ξ/a ne diverge nulle part dans l’espace local complété</w:t>
            </w:r>
          </w:p>
        </w:tc>
        <w:tc>
          <w:tcPr>
            <w:tcW w:type="dxa" w:w="5760"/>
            <w:vAlign w:val="center"/>
          </w:tcPr>
          <w:p>
            <w:pPr>
              <w:spacing w:after="0" w:line="245" w:lineRule="auto"/>
            </w:pPr>
            <w:r>
              <w:rPr>
                <w:rFonts w:ascii="Calibri" w:hAnsi="Calibri"/>
                <w:color w:val="000000"/>
                <w:sz w:val="17"/>
              </w:rPr>
              <w:t>G1 échoue; β1.1 n’a pas de continuum.</w:t>
            </w:r>
          </w:p>
        </w:tc>
      </w:tr>
      <w:tr>
        <w:trPr>
          <w:cantSplit/>
        </w:trPr>
        <w:tc>
          <w:tcPr>
            <w:tcW w:type="dxa" w:w="3600"/>
            <w:vAlign w:val="center"/>
          </w:tcPr>
          <w:p>
            <w:pPr>
              <w:spacing w:after="0" w:line="245" w:lineRule="auto"/>
            </w:pPr>
            <w:r>
              <w:rPr>
                <w:rFonts w:ascii="Calibri" w:hAnsi="Calibri"/>
                <w:color w:val="000000"/>
                <w:sz w:val="17"/>
              </w:rPr>
              <w:t>Continuum z≠1 ou cônes non universels</w:t>
            </w:r>
          </w:p>
        </w:tc>
        <w:tc>
          <w:tcPr>
            <w:tcW w:type="dxa" w:w="5760"/>
            <w:vAlign w:val="center"/>
          </w:tcPr>
          <w:p>
            <w:pPr>
              <w:spacing w:after="0" w:line="245" w:lineRule="auto"/>
            </w:pPr>
            <w:r>
              <w:rPr>
                <w:rFonts w:ascii="Calibri" w:hAnsi="Calibri"/>
                <w:color w:val="000000"/>
                <w:sz w:val="17"/>
              </w:rPr>
              <w:t>Pas de Lorentz; G1 échoue.</w:t>
            </w:r>
          </w:p>
        </w:tc>
      </w:tr>
      <w:tr>
        <w:trPr>
          <w:cantSplit/>
        </w:trPr>
        <w:tc>
          <w:tcPr>
            <w:tcW w:type="dxa" w:w="3600"/>
            <w:vAlign w:val="center"/>
          </w:tcPr>
          <w:p>
            <w:pPr>
              <w:spacing w:after="0" w:line="245" w:lineRule="auto"/>
            </w:pPr>
            <w:r>
              <w:rPr>
                <w:rFonts w:ascii="Calibri" w:hAnsi="Calibri"/>
                <w:color w:val="000000"/>
                <w:sz w:val="17"/>
              </w:rPr>
              <w:t>Scalaire/ghost ou TT sans pôle positif</w:t>
            </w:r>
          </w:p>
        </w:tc>
        <w:tc>
          <w:tcPr>
            <w:tcW w:type="dxa" w:w="5760"/>
            <w:vAlign w:val="center"/>
          </w:tcPr>
          <w:p>
            <w:pPr>
              <w:spacing w:after="0" w:line="245" w:lineRule="auto"/>
            </w:pPr>
            <w:r>
              <w:rPr>
                <w:rFonts w:ascii="Calibri" w:hAnsi="Calibri"/>
                <w:color w:val="000000"/>
                <w:sz w:val="17"/>
              </w:rPr>
              <w:t>G2 échoue.</w:t>
            </w:r>
          </w:p>
        </w:tc>
      </w:tr>
      <w:tr>
        <w:trPr>
          <w:cantSplit/>
        </w:trPr>
        <w:tc>
          <w:tcPr>
            <w:tcW w:type="dxa" w:w="3600"/>
            <w:vAlign w:val="center"/>
          </w:tcPr>
          <w:p>
            <w:pPr>
              <w:spacing w:after="0" w:line="245" w:lineRule="auto"/>
            </w:pPr>
            <w:r>
              <w:rPr>
                <w:rFonts w:ascii="Calibri" w:hAnsi="Calibri"/>
                <w:color w:val="000000"/>
                <w:sz w:val="17"/>
              </w:rPr>
              <w:t>Miroir non gappé ou mesure chirale impossible</w:t>
            </w:r>
          </w:p>
        </w:tc>
        <w:tc>
          <w:tcPr>
            <w:tcW w:type="dxa" w:w="5760"/>
            <w:vAlign w:val="center"/>
          </w:tcPr>
          <w:p>
            <w:pPr>
              <w:spacing w:after="0" w:line="245" w:lineRule="auto"/>
            </w:pPr>
            <w:r>
              <w:rPr>
                <w:rFonts w:ascii="Calibri" w:hAnsi="Calibri"/>
                <w:color w:val="000000"/>
                <w:sz w:val="17"/>
              </w:rPr>
              <w:t>G3 échoue pour cette architecture.</w:t>
            </w:r>
          </w:p>
        </w:tc>
      </w:tr>
      <w:tr>
        <w:trPr>
          <w:cantSplit/>
        </w:trPr>
        <w:tc>
          <w:tcPr>
            <w:tcW w:type="dxa" w:w="3600"/>
            <w:vAlign w:val="center"/>
          </w:tcPr>
          <w:p>
            <w:pPr>
              <w:spacing w:after="0" w:line="245" w:lineRule="auto"/>
            </w:pPr>
            <w:r>
              <w:rPr>
                <w:rFonts w:ascii="Calibri" w:hAnsi="Calibri"/>
                <w:color w:val="000000"/>
                <w:sz w:val="17"/>
              </w:rPr>
              <w:t>Trois familles seulement post-ajoutées</w:t>
            </w:r>
          </w:p>
        </w:tc>
        <w:tc>
          <w:tcPr>
            <w:tcW w:type="dxa" w:w="5760"/>
            <w:vAlign w:val="center"/>
          </w:tcPr>
          <w:p>
            <w:pPr>
              <w:spacing w:after="0" w:line="245" w:lineRule="auto"/>
            </w:pPr>
            <w:r>
              <w:rPr>
                <w:rFonts w:ascii="Calibri" w:hAnsi="Calibri"/>
                <w:color w:val="000000"/>
                <w:sz w:val="17"/>
              </w:rPr>
              <w:t>Le mot « dérivé » est interdit pour les saveurs.</w:t>
            </w:r>
          </w:p>
        </w:tc>
      </w:tr>
      <w:tr>
        <w:trPr>
          <w:cantSplit/>
        </w:trPr>
        <w:tc>
          <w:tcPr>
            <w:tcW w:type="dxa" w:w="3600"/>
            <w:vAlign w:val="center"/>
          </w:tcPr>
          <w:p>
            <w:pPr>
              <w:spacing w:after="0" w:line="245" w:lineRule="auto"/>
            </w:pPr>
            <w:r>
              <w:rPr>
                <w:rFonts w:ascii="Calibri" w:hAnsi="Calibri"/>
                <w:color w:val="000000"/>
                <w:sz w:val="17"/>
              </w:rPr>
              <w:t>Pas de point fixe commun/relations de couplage</w:t>
            </w:r>
          </w:p>
        </w:tc>
        <w:tc>
          <w:tcPr>
            <w:tcW w:type="dxa" w:w="5760"/>
            <w:vAlign w:val="center"/>
          </w:tcPr>
          <w:p>
            <w:pPr>
              <w:spacing w:after="0" w:line="245" w:lineRule="auto"/>
            </w:pPr>
            <w:r>
              <w:rPr>
                <w:rFonts w:ascii="Calibri" w:hAnsi="Calibri"/>
                <w:color w:val="000000"/>
                <w:sz w:val="17"/>
              </w:rPr>
              <w:t>G4 reste couplage, pas unification.</w:t>
            </w:r>
          </w:p>
        </w:tc>
      </w:tr>
      <w:tr>
        <w:trPr>
          <w:cantSplit/>
        </w:trPr>
        <w:tc>
          <w:tcPr>
            <w:tcW w:type="dxa" w:w="3600"/>
            <w:vAlign w:val="center"/>
          </w:tcPr>
          <w:p>
            <w:pPr>
              <w:spacing w:after="0" w:line="245" w:lineRule="auto"/>
            </w:pPr>
            <w:r>
              <w:rPr>
                <w:rFonts w:ascii="Calibri" w:hAnsi="Calibri"/>
                <w:color w:val="000000"/>
                <w:sz w:val="17"/>
              </w:rPr>
              <w:t>Λ obtenue par normalisation de T</w:t>
            </w:r>
          </w:p>
        </w:tc>
        <w:tc>
          <w:tcPr>
            <w:tcW w:type="dxa" w:w="5760"/>
            <w:vAlign w:val="center"/>
          </w:tcPr>
          <w:p>
            <w:pPr>
              <w:spacing w:after="0" w:line="245" w:lineRule="auto"/>
            </w:pPr>
            <w:r>
              <w:rPr>
                <w:rFonts w:ascii="Calibri" w:hAnsi="Calibri"/>
                <w:color w:val="000000"/>
                <w:sz w:val="17"/>
              </w:rPr>
              <w:t>Résultat rejeté par le no-go (25).</w:t>
            </w:r>
          </w:p>
        </w:tc>
      </w:tr>
      <w:tr>
        <w:trPr>
          <w:cantSplit/>
        </w:trPr>
        <w:tc>
          <w:tcPr>
            <w:tcW w:type="dxa" w:w="3600"/>
            <w:vAlign w:val="center"/>
          </w:tcPr>
          <w:p>
            <w:pPr>
              <w:spacing w:after="0" w:line="245" w:lineRule="auto"/>
            </w:pPr>
            <w:r>
              <w:rPr>
                <w:rFonts w:ascii="Calibri" w:hAnsi="Calibri"/>
                <w:color w:val="000000"/>
                <w:sz w:val="17"/>
              </w:rPr>
              <w:t>Aucune prédiction aveugle répliquée</w:t>
            </w:r>
          </w:p>
        </w:tc>
        <w:tc>
          <w:tcPr>
            <w:tcW w:type="dxa" w:w="5760"/>
            <w:vAlign w:val="center"/>
          </w:tcPr>
          <w:p>
            <w:pPr>
              <w:spacing w:after="0" w:line="245" w:lineRule="auto"/>
            </w:pPr>
            <w:r>
              <w:rPr>
                <w:rFonts w:ascii="Calibri" w:hAnsi="Calibri"/>
                <w:color w:val="000000"/>
                <w:sz w:val="17"/>
              </w:rPr>
              <w:t>G6 reste ouverte quelle que soit la beauté interne.</w:t>
            </w:r>
          </w:p>
        </w:tc>
      </w:tr>
    </w:tbl>
    <w:p>
      <w:pPr>
        <w:keepLines w:val="0"/>
        <w:spacing w:before="0" w:after="120" w:line="264" w:lineRule="auto"/>
        <w:jc w:val="left"/>
      </w:pPr>
      <w:r>
        <w:rPr>
          <w:rFonts w:ascii="Calibri" w:hAnsi="Calibri"/>
          <w:b w:val="0"/>
          <w:i w:val="0"/>
          <w:color w:val="000000"/>
          <w:sz w:val="22"/>
        </w:rPr>
      </w:r>
    </w:p>
    <w:p>
      <w:pPr>
        <w:pStyle w:val="Heading2"/>
        <w:keepNext/>
      </w:pPr>
      <w:r>
        <w:t>33. Livrables d’une candidature publiable</w:t>
      </w:r>
    </w:p>
    <w:p>
      <w:pPr>
        <w:pStyle w:val="ListBullet"/>
        <w:spacing w:after="80" w:line="264" w:lineRule="auto"/>
        <w:ind w:left="720" w:hanging="360"/>
      </w:pPr>
      <w:r>
        <w:rPr>
          <w:rFonts w:ascii="Calibri" w:hAnsi="Calibri"/>
          <w:color w:val="000000"/>
          <w:sz w:val="22"/>
        </w:rPr>
        <w:t>Article I — définition mathématique, RP/H local, normalisation DM3 et certificats.</w:t>
      </w:r>
    </w:p>
    <w:p>
      <w:pPr>
        <w:pStyle w:val="ListBullet"/>
        <w:spacing w:after="80" w:line="264" w:lineRule="auto"/>
        <w:ind w:left="720" w:hanging="360"/>
      </w:pPr>
      <w:r>
        <w:rPr>
          <w:rFonts w:ascii="Calibri" w:hAnsi="Calibri"/>
          <w:color w:val="000000"/>
          <w:sz w:val="22"/>
        </w:rPr>
        <w:t>Article II — phase diagram, FSS, continuum et test Lorentz/graviton.</w:t>
      </w:r>
    </w:p>
    <w:p>
      <w:pPr>
        <w:pStyle w:val="ListBullet"/>
        <w:spacing w:after="80" w:line="264" w:lineRule="auto"/>
        <w:ind w:left="720" w:hanging="360"/>
      </w:pPr>
      <w:r>
        <w:rPr>
          <w:rFonts w:ascii="Calibri" w:hAnsi="Calibri"/>
          <w:color w:val="000000"/>
          <w:sz w:val="22"/>
        </w:rPr>
        <w:t>Article III — régulateur Spin(10) chiral sur géométrie fluctuante.</w:t>
      </w:r>
    </w:p>
    <w:p>
      <w:pPr>
        <w:pStyle w:val="ListBullet"/>
        <w:spacing w:after="80" w:line="264" w:lineRule="auto"/>
        <w:ind w:left="720" w:hanging="360"/>
      </w:pPr>
      <w:r>
        <w:rPr>
          <w:rFonts w:ascii="Calibri" w:hAnsi="Calibri"/>
          <w:color w:val="000000"/>
          <w:sz w:val="22"/>
        </w:rPr>
        <w:t>Article IV — RG commun, phénoménologie, cosmologie et prédictions aveugles.</w:t>
      </w:r>
    </w:p>
    <w:p>
      <w:pPr>
        <w:pStyle w:val="ListBullet"/>
        <w:spacing w:after="80" w:line="264" w:lineRule="auto"/>
        <w:ind w:left="720" w:hanging="360"/>
      </w:pPr>
      <w:r>
        <w:rPr>
          <w:rFonts w:ascii="Calibri" w:hAnsi="Calibri"/>
          <w:color w:val="000000"/>
          <w:sz w:val="22"/>
        </w:rPr>
        <w:t>Dépôt — code minimal, petits cas exhaustifs, hashes, données brutes, cahier de rétractations.</w:t>
      </w:r>
    </w:p>
    <w:p>
      <w:pPr>
        <w:pStyle w:val="Heading1"/>
        <w:keepNext/>
      </w:pPr>
      <w:r>
        <w:t>ANNEXES — Hypothèses, paramètres, preuves et sources</w:t>
      </w:r>
    </w:p>
    <w:p>
      <w:pPr>
        <w:pStyle w:val="Heading2"/>
        <w:keepNext/>
      </w:pPr>
      <w:r>
        <w:t>A. Axiomes supplémentaires β1.1</w:t>
      </w:r>
    </w:p>
    <w:tbl>
      <w:tblPr>
        <w:tblStyle w:val="TableGrid"/>
        <w:tblW w:type="dxa" w:w="9360"/>
        <w:tblLayout w:type="fixed"/>
        <w:tblLook w:firstColumn="1" w:firstRow="1" w:lastColumn="0" w:lastRow="0" w:noHBand="0" w:noVBand="1" w:val="04A0"/>
        <w:jc w:val="left"/>
        <w:tblInd w:w="120" w:type="dxa"/>
      </w:tblPr>
      <w:tblGrid>
        <w:gridCol w:w="900"/>
        <w:gridCol w:w="1600"/>
        <w:gridCol w:w="6860"/>
      </w:tblGrid>
      <w:tr>
        <w:trPr>
          <w:tblHeader w:val="true"/>
          <w:cantSplit/>
          <w:tblHeader w:val="true"/>
        </w:trPr>
        <w:tc>
          <w:tcPr>
            <w:tcW w:type="dxa" w:w="900"/>
            <w:tcMar>
              <w:top w:w="80" w:type="dxa"/>
              <w:start w:w="120" w:type="dxa"/>
              <w:bottom w:w="80" w:type="dxa"/>
              <w:end w:w="120" w:type="dxa"/>
            </w:tcMar>
            <w:vAlign w:val="center"/>
            <w:shd w:fill="E8EEF5"/>
          </w:tcPr>
          <w:p>
            <w:pPr>
              <w:spacing w:after="0" w:line="240" w:lineRule="auto"/>
            </w:pPr>
            <w:r>
              <w:rPr>
                <w:rFonts w:ascii="Calibri" w:hAnsi="Calibri"/>
                <w:b/>
                <w:color w:val="0B2545"/>
                <w:sz w:val="16"/>
              </w:rPr>
              <w:t>Axiome</w:t>
            </w:r>
          </w:p>
        </w:tc>
        <w:tc>
          <w:tcPr>
            <w:tcW w:type="dxa" w:w="1600"/>
            <w:tcMar>
              <w:top w:w="80" w:type="dxa"/>
              <w:start w:w="120" w:type="dxa"/>
              <w:bottom w:w="80" w:type="dxa"/>
              <w:end w:w="120" w:type="dxa"/>
            </w:tcMar>
            <w:vAlign w:val="center"/>
            <w:shd w:fill="E8EEF5"/>
          </w:tcPr>
          <w:p>
            <w:pPr>
              <w:spacing w:after="0" w:line="240" w:lineRule="auto"/>
            </w:pPr>
            <w:r>
              <w:rPr>
                <w:rFonts w:ascii="Calibri" w:hAnsi="Calibri"/>
                <w:b/>
                <w:color w:val="0B2545"/>
                <w:sz w:val="16"/>
              </w:rPr>
              <w:t>Nom</w:t>
            </w:r>
          </w:p>
        </w:tc>
        <w:tc>
          <w:tcPr>
            <w:tcW w:type="dxa" w:w="6860"/>
            <w:tcMar>
              <w:top w:w="80" w:type="dxa"/>
              <w:start w:w="120" w:type="dxa"/>
              <w:bottom w:w="80" w:type="dxa"/>
              <w:end w:w="120" w:type="dxa"/>
            </w:tcMar>
            <w:vAlign w:val="center"/>
            <w:shd w:fill="E8EEF5"/>
          </w:tcPr>
          <w:p>
            <w:pPr>
              <w:spacing w:after="0" w:line="240" w:lineRule="auto"/>
            </w:pPr>
            <w:r>
              <w:rPr>
                <w:rFonts w:ascii="Calibri" w:hAnsi="Calibri"/>
                <w:b/>
                <w:color w:val="0B2545"/>
                <w:sz w:val="16"/>
              </w:rPr>
              <w:t>Contenu</w:t>
            </w:r>
          </w:p>
        </w:tc>
      </w:tr>
      <w:tr>
        <w:trPr>
          <w:cantSplit/>
        </w:trPr>
        <w:tc>
          <w:tcPr>
            <w:tcW w:type="dxa" w:w="900"/>
            <w:vAlign w:val="center"/>
          </w:tcPr>
          <w:p>
            <w:pPr>
              <w:spacing w:after="0" w:line="245" w:lineRule="auto"/>
            </w:pPr>
            <w:r>
              <w:rPr>
                <w:rFonts w:ascii="Calibri" w:hAnsi="Calibri"/>
                <w:color w:val="000000"/>
                <w:sz w:val="16"/>
              </w:rPr>
              <w:t>A39</w:t>
            </w:r>
          </w:p>
        </w:tc>
        <w:tc>
          <w:tcPr>
            <w:tcW w:type="dxa" w:w="1600"/>
            <w:vAlign w:val="center"/>
          </w:tcPr>
          <w:p>
            <w:pPr>
              <w:spacing w:after="0" w:line="245" w:lineRule="auto"/>
            </w:pPr>
            <w:r>
              <w:rPr>
                <w:rFonts w:ascii="Calibri" w:hAnsi="Calibri"/>
                <w:color w:val="000000"/>
                <w:sz w:val="16"/>
              </w:rPr>
              <w:t>LOCAL-BASIS</w:t>
            </w:r>
          </w:p>
        </w:tc>
        <w:tc>
          <w:tcPr>
            <w:tcW w:type="dxa" w:w="6860"/>
            <w:vAlign w:val="center"/>
          </w:tcPr>
          <w:p>
            <w:pPr>
              <w:spacing w:after="0" w:line="245" w:lineRule="auto"/>
            </w:pPr>
            <w:r>
              <w:rPr>
                <w:rFonts w:ascii="Calibri" w:hAnsi="Calibri"/>
                <w:color w:val="000000"/>
                <w:sz w:val="16"/>
              </w:rPr>
              <w:t>S_geo appartient à la complétion pondérée des comptes de voisinages finis.</w:t>
            </w:r>
          </w:p>
        </w:tc>
      </w:tr>
      <w:tr>
        <w:trPr>
          <w:cantSplit/>
        </w:trPr>
        <w:tc>
          <w:tcPr>
            <w:tcW w:type="dxa" w:w="900"/>
            <w:vAlign w:val="center"/>
          </w:tcPr>
          <w:p>
            <w:pPr>
              <w:spacing w:after="0" w:line="245" w:lineRule="auto"/>
            </w:pPr>
            <w:r>
              <w:rPr>
                <w:rFonts w:ascii="Calibri" w:hAnsi="Calibri"/>
                <w:color w:val="000000"/>
                <w:sz w:val="16"/>
              </w:rPr>
              <w:t>A40</w:t>
            </w:r>
          </w:p>
        </w:tc>
        <w:tc>
          <w:tcPr>
            <w:tcW w:type="dxa" w:w="1600"/>
            <w:vAlign w:val="center"/>
          </w:tcPr>
          <w:p>
            <w:pPr>
              <w:spacing w:after="0" w:line="245" w:lineRule="auto"/>
            </w:pPr>
            <w:r>
              <w:rPr>
                <w:rFonts w:ascii="Calibri" w:hAnsi="Calibri"/>
                <w:color w:val="000000"/>
                <w:sz w:val="16"/>
              </w:rPr>
              <w:t>CLOCK</w:t>
            </w:r>
          </w:p>
        </w:tc>
        <w:tc>
          <w:tcPr>
            <w:tcW w:type="dxa" w:w="6860"/>
            <w:vAlign w:val="center"/>
          </w:tcPr>
          <w:p>
            <w:pPr>
              <w:spacing w:after="0" w:line="245" w:lineRule="auto"/>
            </w:pPr>
            <w:r>
              <w:rPr>
                <w:rFonts w:ascii="Calibri" w:hAnsi="Calibri"/>
                <w:color w:val="000000"/>
                <w:sz w:val="16"/>
              </w:rPr>
              <w:t>κ_xy est symétrique, local, borné et fixé avant spectre.</w:t>
            </w:r>
          </w:p>
        </w:tc>
      </w:tr>
      <w:tr>
        <w:trPr>
          <w:cantSplit/>
        </w:trPr>
        <w:tc>
          <w:tcPr>
            <w:tcW w:type="dxa" w:w="900"/>
            <w:vAlign w:val="center"/>
          </w:tcPr>
          <w:p>
            <w:pPr>
              <w:spacing w:after="0" w:line="245" w:lineRule="auto"/>
            </w:pPr>
            <w:r>
              <w:rPr>
                <w:rFonts w:ascii="Calibri" w:hAnsi="Calibri"/>
                <w:color w:val="000000"/>
                <w:sz w:val="16"/>
              </w:rPr>
              <w:t>A41</w:t>
            </w:r>
          </w:p>
        </w:tc>
        <w:tc>
          <w:tcPr>
            <w:tcW w:type="dxa" w:w="1600"/>
            <w:vAlign w:val="center"/>
          </w:tcPr>
          <w:p>
            <w:pPr>
              <w:spacing w:after="0" w:line="245" w:lineRule="auto"/>
            </w:pPr>
            <w:r>
              <w:rPr>
                <w:rFonts w:ascii="Calibri" w:hAnsi="Calibri"/>
                <w:color w:val="000000"/>
                <w:sz w:val="16"/>
              </w:rPr>
              <w:t>FIBRE</w:t>
            </w:r>
          </w:p>
        </w:tc>
        <w:tc>
          <w:tcPr>
            <w:tcW w:type="dxa" w:w="6860"/>
            <w:vAlign w:val="center"/>
          </w:tcPr>
          <w:p>
            <w:pPr>
              <w:spacing w:after="0" w:line="245" w:lineRule="auto"/>
            </w:pPr>
            <w:r>
              <w:rPr>
                <w:rFonts w:ascii="Calibri" w:hAnsi="Calibri"/>
                <w:color w:val="000000"/>
                <w:sz w:val="16"/>
              </w:rPr>
              <w:t>Chaque canal possède W_xy local, W_yx=W_xy†, compatible avec Gauss.</w:t>
            </w:r>
          </w:p>
        </w:tc>
      </w:tr>
      <w:tr>
        <w:trPr>
          <w:cantSplit/>
        </w:trPr>
        <w:tc>
          <w:tcPr>
            <w:tcW w:type="dxa" w:w="900"/>
            <w:vAlign w:val="center"/>
          </w:tcPr>
          <w:p>
            <w:pPr>
              <w:spacing w:after="0" w:line="245" w:lineRule="auto"/>
            </w:pPr>
            <w:r>
              <w:rPr>
                <w:rFonts w:ascii="Calibri" w:hAnsi="Calibri"/>
                <w:color w:val="000000"/>
                <w:sz w:val="16"/>
              </w:rPr>
              <w:t>A42</w:t>
            </w:r>
          </w:p>
        </w:tc>
        <w:tc>
          <w:tcPr>
            <w:tcW w:type="dxa" w:w="1600"/>
            <w:vAlign w:val="center"/>
          </w:tcPr>
          <w:p>
            <w:pPr>
              <w:spacing w:after="0" w:line="245" w:lineRule="auto"/>
            </w:pPr>
            <w:r>
              <w:rPr>
                <w:rFonts w:ascii="Calibri" w:hAnsi="Calibri"/>
                <w:color w:val="000000"/>
                <w:sz w:val="16"/>
              </w:rPr>
              <w:t>SPIN10</w:t>
            </w:r>
          </w:p>
        </w:tc>
        <w:tc>
          <w:tcPr>
            <w:tcW w:type="dxa" w:w="6860"/>
            <w:vAlign w:val="center"/>
          </w:tcPr>
          <w:p>
            <w:pPr>
              <w:spacing w:after="0" w:line="245" w:lineRule="auto"/>
            </w:pPr>
            <w:r>
              <w:rPr>
                <w:rFonts w:ascii="Calibri" w:hAnsi="Calibri"/>
                <w:color w:val="000000"/>
                <w:sz w:val="16"/>
              </w:rPr>
              <w:t>Le groupe compact interne est Spin(10); matière 3×16.</w:t>
            </w:r>
          </w:p>
        </w:tc>
      </w:tr>
      <w:tr>
        <w:trPr>
          <w:cantSplit/>
        </w:trPr>
        <w:tc>
          <w:tcPr>
            <w:tcW w:type="dxa" w:w="900"/>
            <w:vAlign w:val="center"/>
          </w:tcPr>
          <w:p>
            <w:pPr>
              <w:spacing w:after="0" w:line="245" w:lineRule="auto"/>
            </w:pPr>
            <w:r>
              <w:rPr>
                <w:rFonts w:ascii="Calibri" w:hAnsi="Calibri"/>
                <w:color w:val="000000"/>
                <w:sz w:val="16"/>
              </w:rPr>
              <w:t>A43</w:t>
            </w:r>
          </w:p>
        </w:tc>
        <w:tc>
          <w:tcPr>
            <w:tcW w:type="dxa" w:w="1600"/>
            <w:vAlign w:val="center"/>
          </w:tcPr>
          <w:p>
            <w:pPr>
              <w:spacing w:after="0" w:line="245" w:lineRule="auto"/>
            </w:pPr>
            <w:r>
              <w:rPr>
                <w:rFonts w:ascii="Calibri" w:hAnsi="Calibri"/>
                <w:color w:val="000000"/>
                <w:sz w:val="16"/>
              </w:rPr>
              <w:t>HIGGS</w:t>
            </w:r>
          </w:p>
        </w:tc>
        <w:tc>
          <w:tcPr>
            <w:tcW w:type="dxa" w:w="6860"/>
            <w:vAlign w:val="center"/>
          </w:tcPr>
          <w:p>
            <w:pPr>
              <w:spacing w:after="0" w:line="245" w:lineRule="auto"/>
            </w:pPr>
            <w:r>
              <w:rPr>
                <w:rFonts w:ascii="Calibri" w:hAnsi="Calibri"/>
                <w:color w:val="000000"/>
                <w:sz w:val="16"/>
              </w:rPr>
              <w:t>Le secteur scalaire est 54⊕126*⊕10, avec 126* la représentation conjuguée, et contient tous invariants autorisés.</w:t>
            </w:r>
          </w:p>
        </w:tc>
      </w:tr>
      <w:tr>
        <w:trPr>
          <w:cantSplit/>
        </w:trPr>
        <w:tc>
          <w:tcPr>
            <w:tcW w:type="dxa" w:w="900"/>
            <w:vAlign w:val="center"/>
          </w:tcPr>
          <w:p>
            <w:pPr>
              <w:spacing w:after="0" w:line="245" w:lineRule="auto"/>
            </w:pPr>
            <w:r>
              <w:rPr>
                <w:rFonts w:ascii="Calibri" w:hAnsi="Calibri"/>
                <w:color w:val="000000"/>
                <w:sz w:val="16"/>
              </w:rPr>
              <w:t>A44</w:t>
            </w:r>
          </w:p>
        </w:tc>
        <w:tc>
          <w:tcPr>
            <w:tcW w:type="dxa" w:w="1600"/>
            <w:vAlign w:val="center"/>
          </w:tcPr>
          <w:p>
            <w:pPr>
              <w:spacing w:after="0" w:line="245" w:lineRule="auto"/>
            </w:pPr>
            <w:r>
              <w:rPr>
                <w:rFonts w:ascii="Calibri" w:hAnsi="Calibri"/>
                <w:color w:val="000000"/>
                <w:sz w:val="16"/>
              </w:rPr>
              <w:t>MIRROR-GAP</w:t>
            </w:r>
          </w:p>
        </w:tc>
        <w:tc>
          <w:tcPr>
            <w:tcW w:type="dxa" w:w="6860"/>
            <w:vAlign w:val="center"/>
          </w:tcPr>
          <w:p>
            <w:pPr>
              <w:spacing w:after="0" w:line="245" w:lineRule="auto"/>
            </w:pPr>
            <w:r>
              <w:rPr>
                <w:rFonts w:ascii="Calibri" w:hAnsi="Calibri"/>
                <w:color w:val="000000"/>
                <w:sz w:val="16"/>
              </w:rPr>
              <w:t>Le régulateur miroir admet un gap symétrique uniforme — hypothèse ouverte.</w:t>
            </w:r>
          </w:p>
        </w:tc>
      </w:tr>
      <w:tr>
        <w:trPr>
          <w:cantSplit/>
        </w:trPr>
        <w:tc>
          <w:tcPr>
            <w:tcW w:type="dxa" w:w="900"/>
            <w:vAlign w:val="center"/>
          </w:tcPr>
          <w:p>
            <w:pPr>
              <w:spacing w:after="0" w:line="245" w:lineRule="auto"/>
            </w:pPr>
            <w:r>
              <w:rPr>
                <w:rFonts w:ascii="Calibri" w:hAnsi="Calibri"/>
                <w:color w:val="000000"/>
                <w:sz w:val="16"/>
              </w:rPr>
              <w:t>A45</w:t>
            </w:r>
          </w:p>
        </w:tc>
        <w:tc>
          <w:tcPr>
            <w:tcW w:type="dxa" w:w="1600"/>
            <w:vAlign w:val="center"/>
          </w:tcPr>
          <w:p>
            <w:pPr>
              <w:spacing w:after="0" w:line="245" w:lineRule="auto"/>
            </w:pPr>
            <w:r>
              <w:rPr>
                <w:rFonts w:ascii="Calibri" w:hAnsi="Calibri"/>
                <w:color w:val="000000"/>
                <w:sz w:val="16"/>
              </w:rPr>
              <w:t>FORM-SUM</w:t>
            </w:r>
          </w:p>
        </w:tc>
        <w:tc>
          <w:tcPr>
            <w:tcW w:type="dxa" w:w="6860"/>
            <w:vAlign w:val="center"/>
          </w:tcPr>
          <w:p>
            <w:pPr>
              <w:spacing w:after="0" w:line="245" w:lineRule="auto"/>
            </w:pPr>
            <w:r>
              <w:rPr>
                <w:rFonts w:ascii="Calibri" w:hAnsi="Calibri"/>
                <w:color w:val="000000"/>
                <w:sz w:val="16"/>
              </w:rPr>
              <w:t>Au retrait des troncatures, les formes locales sont fermables et semibornées.</w:t>
            </w:r>
          </w:p>
        </w:tc>
      </w:tr>
      <w:tr>
        <w:trPr>
          <w:cantSplit/>
        </w:trPr>
        <w:tc>
          <w:tcPr>
            <w:tcW w:type="dxa" w:w="900"/>
            <w:vAlign w:val="center"/>
          </w:tcPr>
          <w:p>
            <w:pPr>
              <w:spacing w:after="0" w:line="245" w:lineRule="auto"/>
            </w:pPr>
            <w:r>
              <w:rPr>
                <w:rFonts w:ascii="Calibri" w:hAnsi="Calibri"/>
                <w:color w:val="000000"/>
                <w:sz w:val="16"/>
              </w:rPr>
              <w:t>A46</w:t>
            </w:r>
          </w:p>
        </w:tc>
        <w:tc>
          <w:tcPr>
            <w:tcW w:type="dxa" w:w="1600"/>
            <w:vAlign w:val="center"/>
          </w:tcPr>
          <w:p>
            <w:pPr>
              <w:spacing w:after="0" w:line="245" w:lineRule="auto"/>
            </w:pPr>
            <w:r>
              <w:rPr>
                <w:rFonts w:ascii="Calibri" w:hAnsi="Calibri"/>
                <w:color w:val="000000"/>
                <w:sz w:val="16"/>
              </w:rPr>
              <w:t>CRITICAL</w:t>
            </w:r>
          </w:p>
        </w:tc>
        <w:tc>
          <w:tcPr>
            <w:tcW w:type="dxa" w:w="6860"/>
            <w:vAlign w:val="center"/>
          </w:tcPr>
          <w:p>
            <w:pPr>
              <w:spacing w:after="0" w:line="245" w:lineRule="auto"/>
            </w:pPr>
            <w:r>
              <w:rPr>
                <w:rFonts w:ascii="Calibri" w:hAnsi="Calibri"/>
                <w:color w:val="000000"/>
                <w:sz w:val="16"/>
              </w:rPr>
              <w:t>Une trajectoire permet ξ/a→∞ — hypothèse ouverte.</w:t>
            </w:r>
          </w:p>
        </w:tc>
      </w:tr>
      <w:tr>
        <w:trPr>
          <w:cantSplit/>
        </w:trPr>
        <w:tc>
          <w:tcPr>
            <w:tcW w:type="dxa" w:w="900"/>
            <w:vAlign w:val="center"/>
          </w:tcPr>
          <w:p>
            <w:pPr>
              <w:spacing w:after="0" w:line="245" w:lineRule="auto"/>
            </w:pPr>
            <w:r>
              <w:rPr>
                <w:rFonts w:ascii="Calibri" w:hAnsi="Calibri"/>
                <w:color w:val="000000"/>
                <w:sz w:val="16"/>
              </w:rPr>
              <w:t>A47</w:t>
            </w:r>
          </w:p>
        </w:tc>
        <w:tc>
          <w:tcPr>
            <w:tcW w:type="dxa" w:w="1600"/>
            <w:vAlign w:val="center"/>
          </w:tcPr>
          <w:p>
            <w:pPr>
              <w:spacing w:after="0" w:line="245" w:lineRule="auto"/>
            </w:pPr>
            <w:r>
              <w:rPr>
                <w:rFonts w:ascii="Calibri" w:hAnsi="Calibri"/>
                <w:color w:val="000000"/>
                <w:sz w:val="16"/>
              </w:rPr>
              <w:t>OS-LIMIT</w:t>
            </w:r>
          </w:p>
        </w:tc>
        <w:tc>
          <w:tcPr>
            <w:tcW w:type="dxa" w:w="6860"/>
            <w:vAlign w:val="center"/>
          </w:tcPr>
          <w:p>
            <w:pPr>
              <w:spacing w:after="0" w:line="245" w:lineRule="auto"/>
            </w:pPr>
            <w:r>
              <w:rPr>
                <w:rFonts w:ascii="Calibri" w:hAnsi="Calibri"/>
                <w:color w:val="000000"/>
                <w:sz w:val="16"/>
              </w:rPr>
              <w:t>Les corrélateurs limites satisfont les axiomes OS — hypothèse ouverte.</w:t>
            </w:r>
          </w:p>
        </w:tc>
      </w:tr>
      <w:tr>
        <w:trPr>
          <w:cantSplit/>
        </w:trPr>
        <w:tc>
          <w:tcPr>
            <w:tcW w:type="dxa" w:w="900"/>
            <w:vAlign w:val="center"/>
          </w:tcPr>
          <w:p>
            <w:pPr>
              <w:spacing w:after="0" w:line="245" w:lineRule="auto"/>
            </w:pPr>
            <w:r>
              <w:rPr>
                <w:rFonts w:ascii="Calibri" w:hAnsi="Calibri"/>
                <w:color w:val="000000"/>
                <w:sz w:val="16"/>
              </w:rPr>
              <w:t>A48</w:t>
            </w:r>
          </w:p>
        </w:tc>
        <w:tc>
          <w:tcPr>
            <w:tcW w:type="dxa" w:w="1600"/>
            <w:vAlign w:val="center"/>
          </w:tcPr>
          <w:p>
            <w:pPr>
              <w:spacing w:after="0" w:line="245" w:lineRule="auto"/>
            </w:pPr>
            <w:r>
              <w:rPr>
                <w:rFonts w:ascii="Calibri" w:hAnsi="Calibri"/>
                <w:color w:val="000000"/>
                <w:sz w:val="16"/>
              </w:rPr>
              <w:t>LORENTZ</w:t>
            </w:r>
          </w:p>
        </w:tc>
        <w:tc>
          <w:tcPr>
            <w:tcW w:type="dxa" w:w="6860"/>
            <w:vAlign w:val="center"/>
          </w:tcPr>
          <w:p>
            <w:pPr>
              <w:spacing w:after="0" w:line="245" w:lineRule="auto"/>
            </w:pPr>
            <w:r>
              <w:rPr>
                <w:rFonts w:ascii="Calibri" w:hAnsi="Calibri"/>
                <w:color w:val="000000"/>
                <w:sz w:val="16"/>
              </w:rPr>
              <w:t>z→1 et les vitesses limites coïncident — hypothèse ouverte.</w:t>
            </w:r>
          </w:p>
        </w:tc>
      </w:tr>
      <w:tr>
        <w:trPr>
          <w:cantSplit/>
        </w:trPr>
        <w:tc>
          <w:tcPr>
            <w:tcW w:type="dxa" w:w="900"/>
            <w:vAlign w:val="center"/>
          </w:tcPr>
          <w:p>
            <w:pPr>
              <w:spacing w:after="0" w:line="245" w:lineRule="auto"/>
            </w:pPr>
            <w:r>
              <w:rPr>
                <w:rFonts w:ascii="Calibri" w:hAnsi="Calibri"/>
                <w:color w:val="000000"/>
                <w:sz w:val="16"/>
              </w:rPr>
              <w:t>A49</w:t>
            </w:r>
          </w:p>
        </w:tc>
        <w:tc>
          <w:tcPr>
            <w:tcW w:type="dxa" w:w="1600"/>
            <w:vAlign w:val="center"/>
          </w:tcPr>
          <w:p>
            <w:pPr>
              <w:spacing w:after="0" w:line="245" w:lineRule="auto"/>
            </w:pPr>
            <w:r>
              <w:rPr>
                <w:rFonts w:ascii="Calibri" w:hAnsi="Calibri"/>
                <w:color w:val="000000"/>
                <w:sz w:val="16"/>
              </w:rPr>
              <w:t>MIXED-RG</w:t>
            </w:r>
          </w:p>
        </w:tc>
        <w:tc>
          <w:tcPr>
            <w:tcW w:type="dxa" w:w="6860"/>
            <w:vAlign w:val="center"/>
          </w:tcPr>
          <w:p>
            <w:pPr>
              <w:spacing w:after="0" w:line="245" w:lineRule="auto"/>
            </w:pPr>
            <w:r>
              <w:rPr>
                <w:rFonts w:ascii="Calibri" w:hAnsi="Calibri"/>
                <w:color w:val="000000"/>
                <w:sz w:val="16"/>
              </w:rPr>
              <w:t>Une Γ_k commune possède un point fixe à directions pertinentes finies — ouverte.</w:t>
            </w:r>
          </w:p>
        </w:tc>
      </w:tr>
      <w:tr>
        <w:trPr>
          <w:cantSplit/>
        </w:trPr>
        <w:tc>
          <w:tcPr>
            <w:tcW w:type="dxa" w:w="900"/>
            <w:vAlign w:val="center"/>
          </w:tcPr>
          <w:p>
            <w:pPr>
              <w:spacing w:after="0" w:line="245" w:lineRule="auto"/>
            </w:pPr>
            <w:r>
              <w:rPr>
                <w:rFonts w:ascii="Calibri" w:hAnsi="Calibri"/>
                <w:color w:val="000000"/>
                <w:sz w:val="16"/>
              </w:rPr>
              <w:t>A50</w:t>
            </w:r>
          </w:p>
        </w:tc>
        <w:tc>
          <w:tcPr>
            <w:tcW w:type="dxa" w:w="1600"/>
            <w:vAlign w:val="center"/>
          </w:tcPr>
          <w:p>
            <w:pPr>
              <w:spacing w:after="0" w:line="245" w:lineRule="auto"/>
            </w:pPr>
            <w:r>
              <w:rPr>
                <w:rFonts w:ascii="Calibri" w:hAnsi="Calibri"/>
                <w:color w:val="000000"/>
                <w:sz w:val="16"/>
              </w:rPr>
              <w:t>BLIND</w:t>
            </w:r>
          </w:p>
        </w:tc>
        <w:tc>
          <w:tcPr>
            <w:tcW w:type="dxa" w:w="6860"/>
            <w:vAlign w:val="center"/>
          </w:tcPr>
          <w:p>
            <w:pPr>
              <w:spacing w:after="0" w:line="245" w:lineRule="auto"/>
            </w:pPr>
            <w:r>
              <w:rPr>
                <w:rFonts w:ascii="Calibri" w:hAnsi="Calibri"/>
                <w:color w:val="000000"/>
                <w:sz w:val="16"/>
              </w:rPr>
              <w:t>Les critères et prédictions sont gelés avant confrontation externe.</w:t>
            </w:r>
          </w:p>
        </w:tc>
      </w:tr>
      <w:tr>
        <w:trPr>
          <w:cantSplit/>
        </w:trPr>
        <w:tc>
          <w:tcPr>
            <w:tcW w:type="dxa" w:w="900"/>
            <w:vAlign w:val="center"/>
          </w:tcPr>
          <w:p>
            <w:pPr>
              <w:spacing w:after="0" w:line="245" w:lineRule="auto"/>
            </w:pPr>
            <w:r>
              <w:rPr>
                <w:rFonts w:ascii="Calibri" w:hAnsi="Calibri"/>
                <w:color w:val="000000"/>
                <w:sz w:val="16"/>
              </w:rPr>
              <w:t>A51</w:t>
            </w:r>
          </w:p>
        </w:tc>
        <w:tc>
          <w:tcPr>
            <w:tcW w:type="dxa" w:w="1600"/>
            <w:vAlign w:val="center"/>
          </w:tcPr>
          <w:p>
            <w:pPr>
              <w:spacing w:after="0" w:line="245" w:lineRule="auto"/>
            </w:pPr>
            <w:r>
              <w:rPr>
                <w:rFonts w:ascii="Calibri" w:hAnsi="Calibri"/>
                <w:color w:val="000000"/>
                <w:sz w:val="16"/>
              </w:rPr>
              <w:t>MOSCO</w:t>
            </w:r>
          </w:p>
        </w:tc>
        <w:tc>
          <w:tcPr>
            <w:tcW w:type="dxa" w:w="6860"/>
            <w:vAlign w:val="center"/>
          </w:tcPr>
          <w:p>
            <w:pPr>
              <w:spacing w:after="0" w:line="245" w:lineRule="auto"/>
            </w:pPr>
            <w:r>
              <w:rPr>
                <w:rFonts w:ascii="Calibri" w:hAnsi="Calibri"/>
                <w:color w:val="000000"/>
                <w:sz w:val="16"/>
              </w:rPr>
              <w:t>Les formes de cutoff convergent au sens généralisé de Mosco — hypothèse ouverte.</w:t>
            </w:r>
          </w:p>
        </w:tc>
      </w:tr>
      <w:tr>
        <w:trPr>
          <w:cantSplit/>
        </w:trPr>
        <w:tc>
          <w:tcPr>
            <w:tcW w:type="dxa" w:w="900"/>
            <w:vAlign w:val="center"/>
          </w:tcPr>
          <w:p>
            <w:pPr>
              <w:spacing w:after="0" w:line="245" w:lineRule="auto"/>
            </w:pPr>
            <w:r>
              <w:rPr>
                <w:rFonts w:ascii="Calibri" w:hAnsi="Calibri"/>
                <w:color w:val="000000"/>
                <w:sz w:val="16"/>
              </w:rPr>
              <w:t>A52</w:t>
            </w:r>
          </w:p>
        </w:tc>
        <w:tc>
          <w:tcPr>
            <w:tcW w:type="dxa" w:w="1600"/>
            <w:vAlign w:val="center"/>
          </w:tcPr>
          <w:p>
            <w:pPr>
              <w:spacing w:after="0" w:line="245" w:lineRule="auto"/>
            </w:pPr>
            <w:r>
              <w:rPr>
                <w:rFonts w:ascii="Calibri" w:hAnsi="Calibri"/>
                <w:color w:val="000000"/>
                <w:sz w:val="16"/>
              </w:rPr>
              <w:t>LR-UNIFORM</w:t>
            </w:r>
          </w:p>
        </w:tc>
        <w:tc>
          <w:tcPr>
            <w:tcW w:type="dxa" w:w="6860"/>
            <w:vAlign w:val="center"/>
          </w:tcPr>
          <w:p>
            <w:pPr>
              <w:spacing w:after="0" w:line="245" w:lineRule="auto"/>
            </w:pPr>
            <w:r>
              <w:rPr>
                <w:rFonts w:ascii="Calibri" w:hAnsi="Calibri"/>
                <w:color w:val="000000"/>
                <w:sz w:val="16"/>
              </w:rPr>
              <w:t>La norme d’interaction (30) reste bornée au retrait des cutoffs — ouverte.</w:t>
            </w:r>
          </w:p>
        </w:tc>
      </w:tr>
      <w:tr>
        <w:trPr>
          <w:cantSplit/>
        </w:trPr>
        <w:tc>
          <w:tcPr>
            <w:tcW w:type="dxa" w:w="900"/>
            <w:vAlign w:val="center"/>
          </w:tcPr>
          <w:p>
            <w:pPr>
              <w:spacing w:after="0" w:line="245" w:lineRule="auto"/>
            </w:pPr>
            <w:r>
              <w:rPr>
                <w:rFonts w:ascii="Calibri" w:hAnsi="Calibri"/>
                <w:color w:val="000000"/>
                <w:sz w:val="16"/>
              </w:rPr>
              <w:t>A53</w:t>
            </w:r>
          </w:p>
        </w:tc>
        <w:tc>
          <w:tcPr>
            <w:tcW w:type="dxa" w:w="1600"/>
            <w:vAlign w:val="center"/>
          </w:tcPr>
          <w:p>
            <w:pPr>
              <w:spacing w:after="0" w:line="245" w:lineRule="auto"/>
            </w:pPr>
            <w:r>
              <w:rPr>
                <w:rFonts w:ascii="Calibri" w:hAnsi="Calibri"/>
                <w:color w:val="000000"/>
                <w:sz w:val="16"/>
              </w:rPr>
              <w:t>TT-SPECTRAL</w:t>
            </w:r>
          </w:p>
        </w:tc>
        <w:tc>
          <w:tcPr>
            <w:tcW w:type="dxa" w:w="6860"/>
            <w:vAlign w:val="center"/>
          </w:tcPr>
          <w:p>
            <w:pPr>
              <w:spacing w:after="0" w:line="245" w:lineRule="auto"/>
            </w:pPr>
            <w:r>
              <w:rPr>
                <w:rFonts w:ascii="Calibri" w:hAnsi="Calibri"/>
                <w:color w:val="000000"/>
                <w:sz w:val="16"/>
              </w:rPr>
              <w:t>La mesure TT limite possède Zδ(m²), Z&gt;0, sans pôle scalaire — ouverte.</w:t>
            </w:r>
          </w:p>
        </w:tc>
      </w:tr>
      <w:tr>
        <w:trPr>
          <w:cantSplit/>
        </w:trPr>
        <w:tc>
          <w:tcPr>
            <w:tcW w:type="dxa" w:w="900"/>
            <w:vAlign w:val="center"/>
          </w:tcPr>
          <w:p>
            <w:pPr>
              <w:spacing w:after="0" w:line="245" w:lineRule="auto"/>
            </w:pPr>
            <w:r>
              <w:rPr>
                <w:rFonts w:ascii="Calibri" w:hAnsi="Calibri"/>
                <w:color w:val="000000"/>
                <w:sz w:val="16"/>
              </w:rPr>
              <w:t>A54</w:t>
            </w:r>
          </w:p>
        </w:tc>
        <w:tc>
          <w:tcPr>
            <w:tcW w:type="dxa" w:w="1600"/>
            <w:vAlign w:val="center"/>
          </w:tcPr>
          <w:p>
            <w:pPr>
              <w:spacing w:after="0" w:line="245" w:lineRule="auto"/>
            </w:pPr>
            <w:r>
              <w:rPr>
                <w:rFonts w:ascii="Calibri" w:hAnsi="Calibri"/>
                <w:color w:val="000000"/>
                <w:sz w:val="16"/>
              </w:rPr>
              <w:t>CHIRAL-UNIFORM</w:t>
            </w:r>
          </w:p>
        </w:tc>
        <w:tc>
          <w:tcPr>
            <w:tcW w:type="dxa" w:w="6860"/>
            <w:vAlign w:val="center"/>
          </w:tcPr>
          <w:p>
            <w:pPr>
              <w:spacing w:after="0" w:line="245" w:lineRule="auto"/>
            </w:pPr>
            <w:r>
              <w:rPr>
                <w:rFonts w:ascii="Calibri" w:hAnsi="Calibri"/>
                <w:color w:val="000000"/>
                <w:sz w:val="16"/>
              </w:rPr>
              <w:t>Localité, index et gap miroir sont uniformes en géométrie/jauge — ouverte.</w:t>
            </w:r>
          </w:p>
        </w:tc>
      </w:tr>
      <w:tr>
        <w:trPr>
          <w:cantSplit/>
        </w:trPr>
        <w:tc>
          <w:tcPr>
            <w:tcW w:type="dxa" w:w="900"/>
            <w:vAlign w:val="center"/>
          </w:tcPr>
          <w:p>
            <w:pPr>
              <w:spacing w:after="0" w:line="245" w:lineRule="auto"/>
            </w:pPr>
            <w:r>
              <w:rPr>
                <w:rFonts w:ascii="Calibri" w:hAnsi="Calibri"/>
                <w:color w:val="000000"/>
                <w:sz w:val="16"/>
              </w:rPr>
              <w:t>A55</w:t>
            </w:r>
          </w:p>
        </w:tc>
        <w:tc>
          <w:tcPr>
            <w:tcW w:type="dxa" w:w="1600"/>
            <w:vAlign w:val="center"/>
          </w:tcPr>
          <w:p>
            <w:pPr>
              <w:spacing w:after="0" w:line="245" w:lineRule="auto"/>
            </w:pPr>
            <w:r>
              <w:rPr>
                <w:rFonts w:ascii="Calibri" w:hAnsi="Calibri"/>
                <w:color w:val="000000"/>
                <w:sz w:val="16"/>
              </w:rPr>
              <w:t>COSMO-STATE</w:t>
            </w:r>
          </w:p>
        </w:tc>
        <w:tc>
          <w:tcPr>
            <w:tcW w:type="dxa" w:w="6860"/>
            <w:vAlign w:val="center"/>
          </w:tcPr>
          <w:p>
            <w:pPr>
              <w:spacing w:after="0" w:line="245" w:lineRule="auto"/>
            </w:pPr>
            <w:r>
              <w:rPr>
                <w:rFonts w:ascii="Calibri" w:hAnsi="Calibri"/>
                <w:color w:val="000000"/>
                <w:sz w:val="16"/>
              </w:rPr>
              <w:t>Un état cosmologique et son scale setting sont sélectionnés par le modèle — ouverte.</w:t>
            </w:r>
          </w:p>
        </w:tc>
      </w:tr>
      <w:tr>
        <w:trPr>
          <w:cantSplit/>
        </w:trPr>
        <w:tc>
          <w:tcPr>
            <w:tcW w:type="dxa" w:w="900"/>
            <w:vAlign w:val="center"/>
          </w:tcPr>
          <w:p>
            <w:pPr>
              <w:spacing w:after="0" w:line="245" w:lineRule="auto"/>
            </w:pPr>
            <w:r>
              <w:rPr>
                <w:rFonts w:ascii="Calibri" w:hAnsi="Calibri"/>
                <w:color w:val="000000"/>
                <w:sz w:val="16"/>
              </w:rPr>
              <w:t>A56</w:t>
            </w:r>
          </w:p>
        </w:tc>
        <w:tc>
          <w:tcPr>
            <w:tcW w:type="dxa" w:w="1600"/>
            <w:vAlign w:val="center"/>
          </w:tcPr>
          <w:p>
            <w:pPr>
              <w:spacing w:after="0" w:line="245" w:lineRule="auto"/>
            </w:pPr>
            <w:r>
              <w:rPr>
                <w:rFonts w:ascii="Calibri" w:hAnsi="Calibri"/>
                <w:color w:val="000000"/>
                <w:sz w:val="16"/>
              </w:rPr>
              <w:t>REPLICATE</w:t>
            </w:r>
          </w:p>
        </w:tc>
        <w:tc>
          <w:tcPr>
            <w:tcW w:type="dxa" w:w="6860"/>
            <w:vAlign w:val="center"/>
          </w:tcPr>
          <w:p>
            <w:pPr>
              <w:spacing w:after="0" w:line="245" w:lineRule="auto"/>
            </w:pPr>
            <w:r>
              <w:rPr>
                <w:rFonts w:ascii="Calibri" w:hAnsi="Calibri"/>
                <w:color w:val="000000"/>
                <w:sz w:val="16"/>
              </w:rPr>
              <w:t>Deux implémentations externes reproduisent les observables gelées — empirique.</w:t>
            </w:r>
          </w:p>
        </w:tc>
      </w:tr>
    </w:tbl>
    <w:p>
      <w:pPr>
        <w:keepLines w:val="0"/>
        <w:spacing w:before="0" w:after="120" w:line="264" w:lineRule="auto"/>
        <w:jc w:val="left"/>
      </w:pPr>
      <w:r>
        <w:rPr>
          <w:rFonts w:ascii="Calibri" w:hAnsi="Calibri"/>
          <w:b w:val="0"/>
          <w:i w:val="0"/>
          <w:color w:val="000000"/>
          <w:sz w:val="22"/>
        </w:rPr>
      </w:r>
    </w:p>
    <w:p>
      <w:pPr>
        <w:pStyle w:val="Heading2"/>
        <w:keepNext/>
      </w:pPr>
      <w:r>
        <w:t>B. Comptabilité des choix non dérivés</w:t>
      </w:r>
    </w:p>
    <w:tbl>
      <w:tblPr>
        <w:tblStyle w:val="TableGrid"/>
        <w:tblW w:type="dxa" w:w="9360"/>
        <w:tblLayout w:type="fixed"/>
        <w:tblLook w:firstColumn="1" w:firstRow="1" w:lastColumn="0" w:lastRow="0" w:noHBand="0" w:noVBand="1" w:val="04A0"/>
        <w:jc w:val="left"/>
        <w:tblInd w:w="120" w:type="dxa"/>
      </w:tblPr>
      <w:tblGrid>
        <w:gridCol w:w="1700"/>
        <w:gridCol w:w="3920"/>
        <w:gridCol w:w="374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7"/>
              </w:rPr>
              <w:t>Choix</w:t>
            </w:r>
          </w:p>
        </w:tc>
        <w:tc>
          <w:tcPr>
            <w:tcW w:type="dxa" w:w="3920"/>
            <w:tcMar>
              <w:top w:w="80" w:type="dxa"/>
              <w:start w:w="120" w:type="dxa"/>
              <w:bottom w:w="80" w:type="dxa"/>
              <w:end w:w="120" w:type="dxa"/>
            </w:tcMar>
            <w:vAlign w:val="center"/>
            <w:shd w:fill="E8EEF5"/>
          </w:tcPr>
          <w:p>
            <w:pPr>
              <w:spacing w:after="0" w:line="240" w:lineRule="auto"/>
            </w:pPr>
            <w:r>
              <w:rPr>
                <w:rFonts w:ascii="Calibri" w:hAnsi="Calibri"/>
                <w:b/>
                <w:color w:val="0B2545"/>
                <w:sz w:val="17"/>
              </w:rPr>
              <w:t>Pourquoi il est présent</w:t>
            </w:r>
          </w:p>
        </w:tc>
        <w:tc>
          <w:tcPr>
            <w:tcW w:type="dxa" w:w="3740"/>
            <w:tcMar>
              <w:top w:w="80" w:type="dxa"/>
              <w:start w:w="120" w:type="dxa"/>
              <w:bottom w:w="80" w:type="dxa"/>
              <w:end w:w="120" w:type="dxa"/>
            </w:tcMar>
            <w:vAlign w:val="center"/>
            <w:shd w:fill="E8EEF5"/>
          </w:tcPr>
          <w:p>
            <w:pPr>
              <w:spacing w:after="0" w:line="240" w:lineRule="auto"/>
            </w:pPr>
            <w:r>
              <w:rPr>
                <w:rFonts w:ascii="Calibri" w:hAnsi="Calibri"/>
                <w:b/>
                <w:color w:val="0B2545"/>
                <w:sz w:val="17"/>
              </w:rPr>
              <w:t>Condition pour devenir dérivé</w:t>
            </w:r>
          </w:p>
        </w:tc>
      </w:tr>
      <w:tr>
        <w:trPr>
          <w:cantSplit/>
        </w:trPr>
        <w:tc>
          <w:tcPr>
            <w:tcW w:type="dxa" w:w="1700"/>
            <w:vAlign w:val="center"/>
          </w:tcPr>
          <w:p>
            <w:pPr>
              <w:spacing w:after="0" w:line="245" w:lineRule="auto"/>
            </w:pPr>
            <w:r>
              <w:rPr>
                <w:rFonts w:ascii="Calibri" w:hAnsi="Calibri"/>
                <w:color w:val="000000"/>
                <w:sz w:val="17"/>
              </w:rPr>
              <w:t>T³</w:t>
            </w:r>
          </w:p>
        </w:tc>
        <w:tc>
          <w:tcPr>
            <w:tcW w:type="dxa" w:w="3920"/>
            <w:vAlign w:val="center"/>
          </w:tcPr>
          <w:p>
            <w:pPr>
              <w:spacing w:after="0" w:line="245" w:lineRule="auto"/>
            </w:pPr>
            <w:r>
              <w:rPr>
                <w:rFonts w:ascii="Calibri" w:hAnsi="Calibri"/>
                <w:color w:val="000000"/>
                <w:sz w:val="17"/>
              </w:rPr>
              <w:t>Topologie historique et secteur torique contrôlable.</w:t>
            </w:r>
          </w:p>
        </w:tc>
        <w:tc>
          <w:tcPr>
            <w:tcW w:type="dxa" w:w="3740"/>
            <w:vAlign w:val="center"/>
          </w:tcPr>
          <w:p>
            <w:pPr>
              <w:spacing w:after="0" w:line="245" w:lineRule="auto"/>
            </w:pPr>
            <w:r>
              <w:rPr>
                <w:rFonts w:ascii="Calibri" w:hAnsi="Calibri"/>
                <w:color w:val="000000"/>
                <w:sz w:val="17"/>
              </w:rPr>
              <w:t>Sélection dynamique ou indépendance universelle.</w:t>
            </w:r>
          </w:p>
        </w:tc>
      </w:tr>
      <w:tr>
        <w:trPr>
          <w:cantSplit/>
        </w:trPr>
        <w:tc>
          <w:tcPr>
            <w:tcW w:type="dxa" w:w="1700"/>
            <w:vAlign w:val="center"/>
          </w:tcPr>
          <w:p>
            <w:pPr>
              <w:spacing w:after="0" w:line="245" w:lineRule="auto"/>
            </w:pPr>
            <w:r>
              <w:rPr>
                <w:rFonts w:ascii="Calibri" w:hAnsi="Calibri"/>
                <w:color w:val="000000"/>
                <w:sz w:val="17"/>
              </w:rPr>
              <w:t>Morse-tame</w:t>
            </w:r>
          </w:p>
        </w:tc>
        <w:tc>
          <w:tcPr>
            <w:tcW w:type="dxa" w:w="3920"/>
            <w:vAlign w:val="center"/>
          </w:tcPr>
          <w:p>
            <w:pPr>
              <w:spacing w:after="0" w:line="245" w:lineRule="auto"/>
            </w:pPr>
            <w:r>
              <w:rPr>
                <w:rFonts w:ascii="Calibri" w:hAnsi="Calibri"/>
                <w:color w:val="000000"/>
                <w:sz w:val="17"/>
              </w:rPr>
              <w:t>Normalisation exponentielle démontrable.</w:t>
            </w:r>
          </w:p>
        </w:tc>
        <w:tc>
          <w:tcPr>
            <w:tcW w:type="dxa" w:w="3740"/>
            <w:vAlign w:val="center"/>
          </w:tcPr>
          <w:p>
            <w:pPr>
              <w:spacing w:after="0" w:line="245" w:lineRule="auto"/>
            </w:pPr>
            <w:r>
              <w:rPr>
                <w:rFonts w:ascii="Calibri" w:hAnsi="Calibri"/>
                <w:color w:val="000000"/>
                <w:sz w:val="17"/>
              </w:rPr>
              <w:t>Même continuum dans une classe plus large.</w:t>
            </w:r>
          </w:p>
        </w:tc>
      </w:tr>
      <w:tr>
        <w:trPr>
          <w:cantSplit/>
        </w:trPr>
        <w:tc>
          <w:tcPr>
            <w:tcW w:type="dxa" w:w="1700"/>
            <w:vAlign w:val="center"/>
          </w:tcPr>
          <w:p>
            <w:pPr>
              <w:spacing w:after="0" w:line="245" w:lineRule="auto"/>
            </w:pPr>
            <w:r>
              <w:rPr>
                <w:rFonts w:ascii="Calibri" w:hAnsi="Calibri"/>
                <w:color w:val="000000"/>
                <w:sz w:val="17"/>
              </w:rPr>
              <w:t>Spin(10)</w:t>
            </w:r>
          </w:p>
        </w:tc>
        <w:tc>
          <w:tcPr>
            <w:tcW w:type="dxa" w:w="3920"/>
            <w:vAlign w:val="center"/>
          </w:tcPr>
          <w:p>
            <w:pPr>
              <w:spacing w:after="0" w:line="245" w:lineRule="auto"/>
            </w:pPr>
            <w:r>
              <w:rPr>
                <w:rFonts w:ascii="Calibri" w:hAnsi="Calibri"/>
                <w:color w:val="000000"/>
                <w:sz w:val="17"/>
              </w:rPr>
              <w:t>Chiralité/anomalies et GUT compact.</w:t>
            </w:r>
          </w:p>
        </w:tc>
        <w:tc>
          <w:tcPr>
            <w:tcW w:type="dxa" w:w="3740"/>
            <w:vAlign w:val="center"/>
          </w:tcPr>
          <w:p>
            <w:pPr>
              <w:spacing w:after="0" w:line="245" w:lineRule="auto"/>
            </w:pPr>
            <w:r>
              <w:rPr>
                <w:rFonts w:ascii="Calibri" w:hAnsi="Calibri"/>
                <w:color w:val="000000"/>
                <w:sz w:val="17"/>
              </w:rPr>
              <w:t>Émergence/selection depuis le substrat.</w:t>
            </w:r>
          </w:p>
        </w:tc>
      </w:tr>
      <w:tr>
        <w:trPr>
          <w:cantSplit/>
        </w:trPr>
        <w:tc>
          <w:tcPr>
            <w:tcW w:type="dxa" w:w="1700"/>
            <w:vAlign w:val="center"/>
          </w:tcPr>
          <w:p>
            <w:pPr>
              <w:spacing w:after="0" w:line="245" w:lineRule="auto"/>
            </w:pPr>
            <w:r>
              <w:rPr>
                <w:rFonts w:ascii="Calibri" w:hAnsi="Calibri"/>
                <w:color w:val="000000"/>
                <w:sz w:val="17"/>
              </w:rPr>
              <w:t>3×16</w:t>
            </w:r>
          </w:p>
        </w:tc>
        <w:tc>
          <w:tcPr>
            <w:tcW w:type="dxa" w:w="3920"/>
            <w:vAlign w:val="center"/>
          </w:tcPr>
          <w:p>
            <w:pPr>
              <w:spacing w:after="0" w:line="245" w:lineRule="auto"/>
            </w:pPr>
            <w:r>
              <w:rPr>
                <w:rFonts w:ascii="Calibri" w:hAnsi="Calibri"/>
                <w:color w:val="000000"/>
                <w:sz w:val="17"/>
              </w:rPr>
              <w:t>Contenu observé avec ν_R.</w:t>
            </w:r>
          </w:p>
        </w:tc>
        <w:tc>
          <w:tcPr>
            <w:tcW w:type="dxa" w:w="3740"/>
            <w:vAlign w:val="center"/>
          </w:tcPr>
          <w:p>
            <w:pPr>
              <w:spacing w:after="0" w:line="245" w:lineRule="auto"/>
            </w:pPr>
            <w:r>
              <w:rPr>
                <w:rFonts w:ascii="Calibri" w:hAnsi="Calibri"/>
                <w:color w:val="000000"/>
                <w:sz w:val="17"/>
              </w:rPr>
              <w:t>Mécanisme calculé de famille et hiérarchie.</w:t>
            </w:r>
          </w:p>
        </w:tc>
      </w:tr>
      <w:tr>
        <w:trPr>
          <w:cantSplit/>
        </w:trPr>
        <w:tc>
          <w:tcPr>
            <w:tcW w:type="dxa" w:w="1700"/>
            <w:vAlign w:val="center"/>
          </w:tcPr>
          <w:p>
            <w:pPr>
              <w:spacing w:after="0" w:line="245" w:lineRule="auto"/>
            </w:pPr>
            <w:r>
              <w:rPr>
                <w:rFonts w:ascii="Calibri" w:hAnsi="Calibri"/>
                <w:color w:val="000000"/>
                <w:sz w:val="17"/>
              </w:rPr>
              <w:t>54⊕126*⊕10 (126* conjuguée)</w:t>
            </w:r>
          </w:p>
        </w:tc>
        <w:tc>
          <w:tcPr>
            <w:tcW w:type="dxa" w:w="3920"/>
            <w:vAlign w:val="center"/>
          </w:tcPr>
          <w:p>
            <w:pPr>
              <w:spacing w:after="0" w:line="245" w:lineRule="auto"/>
            </w:pPr>
            <w:r>
              <w:rPr>
                <w:rFonts w:ascii="Calibri" w:hAnsi="Calibri"/>
                <w:color w:val="000000"/>
                <w:sz w:val="17"/>
              </w:rPr>
              <w:t>Chaîne de brisure réaliste candidate.</w:t>
            </w:r>
          </w:p>
        </w:tc>
        <w:tc>
          <w:tcPr>
            <w:tcW w:type="dxa" w:w="3740"/>
            <w:vAlign w:val="center"/>
          </w:tcPr>
          <w:p>
            <w:pPr>
              <w:spacing w:after="0" w:line="245" w:lineRule="auto"/>
            </w:pPr>
            <w:r>
              <w:rPr>
                <w:rFonts w:ascii="Calibri" w:hAnsi="Calibri"/>
                <w:color w:val="000000"/>
                <w:sz w:val="17"/>
              </w:rPr>
              <w:t>Sélection spectrale ou dynamique unique.</w:t>
            </w:r>
          </w:p>
        </w:tc>
      </w:tr>
      <w:tr>
        <w:trPr>
          <w:cantSplit/>
        </w:trPr>
        <w:tc>
          <w:tcPr>
            <w:tcW w:type="dxa" w:w="1700"/>
            <w:vAlign w:val="center"/>
          </w:tcPr>
          <w:p>
            <w:pPr>
              <w:spacing w:after="0" w:line="245" w:lineRule="auto"/>
            </w:pPr>
            <w:r>
              <w:rPr>
                <w:rFonts w:ascii="Calibri" w:hAnsi="Calibri"/>
                <w:color w:val="000000"/>
                <w:sz w:val="17"/>
              </w:rPr>
              <w:t>κ globale</w:t>
            </w:r>
          </w:p>
        </w:tc>
        <w:tc>
          <w:tcPr>
            <w:tcW w:type="dxa" w:w="3920"/>
            <w:vAlign w:val="center"/>
          </w:tcPr>
          <w:p>
            <w:pPr>
              <w:spacing w:after="0" w:line="245" w:lineRule="auto"/>
            </w:pPr>
            <w:r>
              <w:rPr>
                <w:rFonts w:ascii="Calibri" w:hAnsi="Calibri"/>
                <w:color w:val="000000"/>
                <w:sz w:val="17"/>
              </w:rPr>
              <w:t>Unité de temps.</w:t>
            </w:r>
          </w:p>
        </w:tc>
        <w:tc>
          <w:tcPr>
            <w:tcW w:type="dxa" w:w="3740"/>
            <w:vAlign w:val="center"/>
          </w:tcPr>
          <w:p>
            <w:pPr>
              <w:spacing w:after="0" w:line="245" w:lineRule="auto"/>
            </w:pPr>
            <w:r>
              <w:rPr>
                <w:rFonts w:ascii="Calibri" w:hAnsi="Calibri"/>
                <w:color w:val="000000"/>
                <w:sz w:val="17"/>
              </w:rPr>
              <w:t>Calibrage universel ou relation à G_N.</w:t>
            </w:r>
          </w:p>
        </w:tc>
      </w:tr>
      <w:tr>
        <w:trPr>
          <w:cantSplit/>
        </w:trPr>
        <w:tc>
          <w:tcPr>
            <w:tcW w:type="dxa" w:w="1700"/>
            <w:vAlign w:val="center"/>
          </w:tcPr>
          <w:p>
            <w:pPr>
              <w:spacing w:after="0" w:line="245" w:lineRule="auto"/>
            </w:pPr>
            <w:r>
              <w:rPr>
                <w:rFonts w:ascii="Calibri" w:hAnsi="Calibri"/>
                <w:color w:val="000000"/>
                <w:sz w:val="17"/>
              </w:rPr>
              <w:t>g_Γ</w:t>
            </w:r>
          </w:p>
        </w:tc>
        <w:tc>
          <w:tcPr>
            <w:tcW w:type="dxa" w:w="3920"/>
            <w:vAlign w:val="center"/>
          </w:tcPr>
          <w:p>
            <w:pPr>
              <w:spacing w:after="0" w:line="245" w:lineRule="auto"/>
            </w:pPr>
            <w:r>
              <w:rPr>
                <w:rFonts w:ascii="Calibri" w:hAnsi="Calibri"/>
                <w:color w:val="000000"/>
                <w:sz w:val="17"/>
              </w:rPr>
              <w:t>Fermeture Wilsonienne.</w:t>
            </w:r>
          </w:p>
        </w:tc>
        <w:tc>
          <w:tcPr>
            <w:tcW w:type="dxa" w:w="3740"/>
            <w:vAlign w:val="center"/>
          </w:tcPr>
          <w:p>
            <w:pPr>
              <w:spacing w:after="0" w:line="245" w:lineRule="auto"/>
            </w:pPr>
            <w:r>
              <w:rPr>
                <w:rFonts w:ascii="Calibri" w:hAnsi="Calibri"/>
                <w:color w:val="000000"/>
                <w:sz w:val="17"/>
              </w:rPr>
              <w:t>Point fixe et directions pertinentes mesurées.</w:t>
            </w:r>
          </w:p>
        </w:tc>
      </w:tr>
      <w:tr>
        <w:trPr>
          <w:cantSplit/>
        </w:trPr>
        <w:tc>
          <w:tcPr>
            <w:tcW w:type="dxa" w:w="1700"/>
            <w:vAlign w:val="center"/>
          </w:tcPr>
          <w:p>
            <w:pPr>
              <w:spacing w:after="0" w:line="245" w:lineRule="auto"/>
            </w:pPr>
            <w:r>
              <w:rPr>
                <w:rFonts w:ascii="Calibri" w:hAnsi="Calibri"/>
                <w:color w:val="000000"/>
                <w:sz w:val="17"/>
              </w:rPr>
              <w:t>μ/Λ</w:t>
            </w:r>
          </w:p>
        </w:tc>
        <w:tc>
          <w:tcPr>
            <w:tcW w:type="dxa" w:w="3920"/>
            <w:vAlign w:val="center"/>
          </w:tcPr>
          <w:p>
            <w:pPr>
              <w:spacing w:after="0" w:line="245" w:lineRule="auto"/>
            </w:pPr>
            <w:r>
              <w:rPr>
                <w:rFonts w:ascii="Calibri" w:hAnsi="Calibri"/>
                <w:color w:val="000000"/>
                <w:sz w:val="17"/>
              </w:rPr>
              <w:t>Contrôle du volume.</w:t>
            </w:r>
          </w:p>
        </w:tc>
        <w:tc>
          <w:tcPr>
            <w:tcW w:type="dxa" w:w="3740"/>
            <w:vAlign w:val="center"/>
          </w:tcPr>
          <w:p>
            <w:pPr>
              <w:spacing w:after="0" w:line="245" w:lineRule="auto"/>
            </w:pPr>
            <w:r>
              <w:rPr>
                <w:rFonts w:ascii="Calibri" w:hAnsi="Calibri"/>
                <w:color w:val="000000"/>
                <w:sz w:val="17"/>
              </w:rPr>
              <w:t>Valeur renormalisée prédite après scale setting.</w:t>
            </w:r>
          </w:p>
        </w:tc>
      </w:tr>
    </w:tbl>
    <w:p>
      <w:pPr>
        <w:keepLines w:val="0"/>
        <w:spacing w:before="0" w:after="120" w:line="264" w:lineRule="auto"/>
        <w:jc w:val="left"/>
      </w:pPr>
      <w:r>
        <w:rPr>
          <w:rFonts w:ascii="Calibri" w:hAnsi="Calibri"/>
          <w:b w:val="0"/>
          <w:i w:val="0"/>
          <w:color w:val="000000"/>
          <w:sz w:val="22"/>
        </w:rPr>
      </w:r>
    </w:p>
    <w:p>
      <w:pPr>
        <w:pStyle w:val="Heading2"/>
        <w:keepNext/>
      </w:pPr>
      <w:r>
        <w:t>C. Rétractations qui restent interdites</w:t>
      </w:r>
    </w:p>
    <w:tbl>
      <w:tblPr>
        <w:tblStyle w:val="TableGrid"/>
        <w:tblW w:type="dxa" w:w="9360"/>
        <w:tblLayout w:type="fixed"/>
        <w:tblLook w:firstColumn="1" w:firstRow="1" w:lastColumn="0" w:lastRow="0" w:noHBand="0" w:noVBand="1" w:val="04A0"/>
        <w:jc w:val="left"/>
        <w:tblInd w:w="120" w:type="dxa"/>
      </w:tblPr>
      <w:tblGrid>
        <w:gridCol w:w="4300"/>
        <w:gridCol w:w="5060"/>
      </w:tblGrid>
      <w:tr>
        <w:trPr>
          <w:tblHeader w:val="true"/>
          <w:cantSplit/>
          <w:tblHeader w:val="true"/>
        </w:trPr>
        <w:tc>
          <w:tcPr>
            <w:tcW w:type="dxa" w:w="4300"/>
            <w:tcMar>
              <w:top w:w="80" w:type="dxa"/>
              <w:start w:w="120" w:type="dxa"/>
              <w:bottom w:w="80" w:type="dxa"/>
              <w:end w:w="120" w:type="dxa"/>
            </w:tcMar>
            <w:vAlign w:val="center"/>
            <w:shd w:fill="E8EEF5"/>
          </w:tcPr>
          <w:p>
            <w:pPr>
              <w:spacing w:after="0" w:line="240" w:lineRule="auto"/>
            </w:pPr>
            <w:r>
              <w:rPr>
                <w:rFonts w:ascii="Calibri" w:hAnsi="Calibri"/>
                <w:b/>
                <w:color w:val="0B2545"/>
                <w:sz w:val="17"/>
              </w:rPr>
              <w:t>Énoncé interdit</w:t>
            </w:r>
          </w:p>
        </w:tc>
        <w:tc>
          <w:tcPr>
            <w:tcW w:type="dxa" w:w="5060"/>
            <w:tcMar>
              <w:top w:w="80" w:type="dxa"/>
              <w:start w:w="120" w:type="dxa"/>
              <w:bottom w:w="80" w:type="dxa"/>
              <w:end w:w="120" w:type="dxa"/>
            </w:tcMar>
            <w:vAlign w:val="center"/>
            <w:shd w:fill="E8EEF5"/>
          </w:tcPr>
          <w:p>
            <w:pPr>
              <w:spacing w:after="0" w:line="240" w:lineRule="auto"/>
            </w:pPr>
            <w:r>
              <w:rPr>
                <w:rFonts w:ascii="Calibri" w:hAnsi="Calibri"/>
                <w:b/>
                <w:color w:val="0B2545"/>
                <w:sz w:val="17"/>
              </w:rPr>
              <w:t>Raison</w:t>
            </w:r>
          </w:p>
        </w:tc>
      </w:tr>
      <w:tr>
        <w:trPr>
          <w:cantSplit/>
        </w:trPr>
        <w:tc>
          <w:tcPr>
            <w:tcW w:type="dxa" w:w="4300"/>
            <w:vAlign w:val="center"/>
          </w:tcPr>
          <w:p>
            <w:pPr>
              <w:spacing w:after="0" w:line="245" w:lineRule="auto"/>
            </w:pPr>
            <w:r>
              <w:rPr>
                <w:rFonts w:ascii="Calibri" w:hAnsi="Calibri"/>
                <w:color w:val="000000"/>
                <w:sz w:val="17"/>
              </w:rPr>
              <w:t>D_edge est l’ancien D du Blob.</w:t>
            </w:r>
          </w:p>
        </w:tc>
        <w:tc>
          <w:tcPr>
            <w:tcW w:type="dxa" w:w="5060"/>
            <w:vAlign w:val="center"/>
          </w:tcPr>
          <w:p>
            <w:pPr>
              <w:spacing w:after="0" w:line="245" w:lineRule="auto"/>
            </w:pPr>
            <w:r>
              <w:rPr>
                <w:rFonts w:ascii="Calibri" w:hAnsi="Calibri"/>
                <w:color w:val="000000"/>
                <w:sz w:val="17"/>
              </w:rPr>
              <w:t>Faux : arêtes de triangulation vs sommets du graphe.</w:t>
            </w:r>
          </w:p>
        </w:tc>
      </w:tr>
      <w:tr>
        <w:trPr>
          <w:cantSplit/>
        </w:trPr>
        <w:tc>
          <w:tcPr>
            <w:tcW w:type="dxa" w:w="4300"/>
            <w:vAlign w:val="center"/>
          </w:tcPr>
          <w:p>
            <w:pPr>
              <w:spacing w:after="0" w:line="245" w:lineRule="auto"/>
            </w:pPr>
            <w:r>
              <w:rPr>
                <w:rFonts w:ascii="Calibri" w:hAnsi="Calibri"/>
                <w:color w:val="000000"/>
                <w:sz w:val="17"/>
              </w:rPr>
              <w:t>D_edge est exactement ∫√gR².</w:t>
            </w:r>
          </w:p>
        </w:tc>
        <w:tc>
          <w:tcPr>
            <w:tcW w:type="dxa" w:w="5060"/>
            <w:vAlign w:val="center"/>
          </w:tcPr>
          <w:p>
            <w:pPr>
              <w:spacing w:after="0" w:line="245" w:lineRule="auto"/>
            </w:pPr>
            <w:r>
              <w:rPr>
                <w:rFonts w:ascii="Calibri" w:hAnsi="Calibri"/>
                <w:color w:val="000000"/>
                <w:sz w:val="17"/>
              </w:rPr>
              <w:t>Faux sans volumes/aires duaux et limite.</w:t>
            </w:r>
          </w:p>
        </w:tc>
      </w:tr>
      <w:tr>
        <w:trPr>
          <w:cantSplit/>
        </w:trPr>
        <w:tc>
          <w:tcPr>
            <w:tcW w:type="dxa" w:w="4300"/>
            <w:vAlign w:val="center"/>
          </w:tcPr>
          <w:p>
            <w:pPr>
              <w:spacing w:after="0" w:line="245" w:lineRule="auto"/>
            </w:pPr>
            <w:r>
              <w:rPr>
                <w:rFonts w:ascii="Calibri" w:hAnsi="Calibri"/>
                <w:color w:val="000000"/>
                <w:sz w:val="17"/>
              </w:rPr>
              <w:t>Deux routes du f-vecteur se confirment.</w:t>
            </w:r>
          </w:p>
        </w:tc>
        <w:tc>
          <w:tcPr>
            <w:tcW w:type="dxa" w:w="5060"/>
            <w:vAlign w:val="center"/>
          </w:tcPr>
          <w:p>
            <w:pPr>
              <w:spacing w:after="0" w:line="245" w:lineRule="auto"/>
            </w:pPr>
            <w:r>
              <w:rPr>
                <w:rFonts w:ascii="Calibri" w:hAnsi="Calibri"/>
                <w:color w:val="000000"/>
                <w:sz w:val="17"/>
              </w:rPr>
              <w:t>Même identité de Gram réécrite.</w:t>
            </w:r>
          </w:p>
        </w:tc>
      </w:tr>
      <w:tr>
        <w:trPr>
          <w:cantSplit/>
        </w:trPr>
        <w:tc>
          <w:tcPr>
            <w:tcW w:type="dxa" w:w="4300"/>
            <w:vAlign w:val="center"/>
          </w:tcPr>
          <w:p>
            <w:pPr>
              <w:spacing w:after="0" w:line="245" w:lineRule="auto"/>
            </w:pPr>
            <w:r>
              <w:rPr>
                <w:rFonts w:ascii="Calibri" w:hAnsi="Calibri"/>
                <w:color w:val="000000"/>
                <w:sz w:val="17"/>
              </w:rPr>
              <w:t>Δ=0 à volume fini.</w:t>
            </w:r>
          </w:p>
        </w:tc>
        <w:tc>
          <w:tcPr>
            <w:tcW w:type="dxa" w:w="5060"/>
            <w:vAlign w:val="center"/>
          </w:tcPr>
          <w:p>
            <w:pPr>
              <w:spacing w:after="0" w:line="245" w:lineRule="auto"/>
            </w:pPr>
            <w:r>
              <w:rPr>
                <w:rFonts w:ascii="Calibri" w:hAnsi="Calibri"/>
                <w:color w:val="000000"/>
                <w:sz w:val="17"/>
              </w:rPr>
              <w:t>Impossible : r★ irrationnel, f-vecteur rationnel.</w:t>
            </w:r>
          </w:p>
        </w:tc>
      </w:tr>
      <w:tr>
        <w:trPr>
          <w:cantSplit/>
        </w:trPr>
        <w:tc>
          <w:tcPr>
            <w:tcW w:type="dxa" w:w="4300"/>
            <w:vAlign w:val="center"/>
          </w:tcPr>
          <w:p>
            <w:pPr>
              <w:spacing w:after="0" w:line="245" w:lineRule="auto"/>
            </w:pPr>
            <w:r>
              <w:rPr>
                <w:rFonts w:ascii="Calibri" w:hAnsi="Calibri"/>
                <w:color w:val="000000"/>
                <w:sz w:val="17"/>
              </w:rPr>
              <w:t>Platitude moyenne implique D minimal unique.</w:t>
            </w:r>
          </w:p>
        </w:tc>
        <w:tc>
          <w:tcPr>
            <w:tcW w:type="dxa" w:w="5060"/>
            <w:vAlign w:val="center"/>
          </w:tcPr>
          <w:p>
            <w:pPr>
              <w:spacing w:after="0" w:line="245" w:lineRule="auto"/>
            </w:pPr>
            <w:r>
              <w:rPr>
                <w:rFonts w:ascii="Calibri" w:hAnsi="Calibri"/>
                <w:color w:val="000000"/>
                <w:sz w:val="17"/>
              </w:rPr>
              <w:t>Faux : fluctuations à somme fixée.</w:t>
            </w:r>
          </w:p>
        </w:tc>
      </w:tr>
      <w:tr>
        <w:trPr>
          <w:cantSplit/>
        </w:trPr>
        <w:tc>
          <w:tcPr>
            <w:tcW w:type="dxa" w:w="4300"/>
            <w:vAlign w:val="center"/>
          </w:tcPr>
          <w:p>
            <w:pPr>
              <w:spacing w:after="0" w:line="245" w:lineRule="auto"/>
            </w:pPr>
            <w:r>
              <w:rPr>
                <w:rFonts w:ascii="Calibri" w:hAnsi="Calibri"/>
                <w:color w:val="000000"/>
                <w:sz w:val="17"/>
              </w:rPr>
              <w:t>μ et b deviennent une seule direction.</w:t>
            </w:r>
          </w:p>
        </w:tc>
        <w:tc>
          <w:tcPr>
            <w:tcW w:type="dxa" w:w="5060"/>
            <w:vAlign w:val="center"/>
          </w:tcPr>
          <w:p>
            <w:pPr>
              <w:spacing w:after="0" w:line="245" w:lineRule="auto"/>
            </w:pPr>
            <w:r>
              <w:rPr>
                <w:rFonts w:ascii="Calibri" w:hAnsi="Calibri"/>
                <w:color w:val="000000"/>
                <w:sz w:val="17"/>
              </w:rPr>
              <w:t>Faux sans contrôle des excitations.</w:t>
            </w:r>
          </w:p>
        </w:tc>
      </w:tr>
      <w:tr>
        <w:trPr>
          <w:cantSplit/>
        </w:trPr>
        <w:tc>
          <w:tcPr>
            <w:tcW w:type="dxa" w:w="4300"/>
            <w:vAlign w:val="center"/>
          </w:tcPr>
          <w:p>
            <w:pPr>
              <w:spacing w:after="0" w:line="245" w:lineRule="auto"/>
            </w:pPr>
            <w:r>
              <w:rPr>
                <w:rFonts w:ascii="Calibri" w:hAnsi="Calibri"/>
                <w:color w:val="000000"/>
                <w:sz w:val="17"/>
              </w:rPr>
              <w:t>Six opérateurs ferment le RG.</w:t>
            </w:r>
          </w:p>
        </w:tc>
        <w:tc>
          <w:tcPr>
            <w:tcW w:type="dxa" w:w="5060"/>
            <w:vAlign w:val="center"/>
          </w:tcPr>
          <w:p>
            <w:pPr>
              <w:spacing w:after="0" w:line="245" w:lineRule="auto"/>
            </w:pPr>
            <w:r>
              <w:rPr>
                <w:rFonts w:ascii="Calibri" w:hAnsi="Calibri"/>
                <w:color w:val="000000"/>
                <w:sz w:val="17"/>
              </w:rPr>
              <w:t>Faux : un blocage engendre les tuples locaux.</w:t>
            </w:r>
          </w:p>
        </w:tc>
      </w:tr>
      <w:tr>
        <w:trPr>
          <w:cantSplit/>
        </w:trPr>
        <w:tc>
          <w:tcPr>
            <w:tcW w:type="dxa" w:w="4300"/>
            <w:vAlign w:val="center"/>
          </w:tcPr>
          <w:p>
            <w:pPr>
              <w:spacing w:after="0" w:line="245" w:lineRule="auto"/>
            </w:pPr>
            <w:r>
              <w:rPr>
                <w:rFonts w:ascii="Calibri" w:hAnsi="Calibri"/>
                <w:color w:val="000000"/>
                <w:sz w:val="17"/>
              </w:rPr>
              <w:t>B local implique −log(B†B) local.</w:t>
            </w:r>
          </w:p>
        </w:tc>
        <w:tc>
          <w:tcPr>
            <w:tcW w:type="dxa" w:w="5060"/>
            <w:vAlign w:val="center"/>
          </w:tcPr>
          <w:p>
            <w:pPr>
              <w:spacing w:after="0" w:line="245" w:lineRule="auto"/>
            </w:pPr>
            <w:r>
              <w:rPr>
                <w:rFonts w:ascii="Calibri" w:hAnsi="Calibri"/>
                <w:color w:val="000000"/>
                <w:sz w:val="17"/>
              </w:rPr>
              <w:t>Faux; H doit être défini directement.</w:t>
            </w:r>
          </w:p>
        </w:tc>
      </w:tr>
      <w:tr>
        <w:trPr>
          <w:cantSplit/>
        </w:trPr>
        <w:tc>
          <w:tcPr>
            <w:tcW w:type="dxa" w:w="4300"/>
            <w:vAlign w:val="center"/>
          </w:tcPr>
          <w:p>
            <w:pPr>
              <w:spacing w:after="0" w:line="245" w:lineRule="auto"/>
            </w:pPr>
            <w:r>
              <w:rPr>
                <w:rFonts w:ascii="Calibri" w:hAnsi="Calibri"/>
                <w:color w:val="000000"/>
                <w:sz w:val="17"/>
              </w:rPr>
              <w:t>π fixe le temps physique.</w:t>
            </w:r>
          </w:p>
        </w:tc>
        <w:tc>
          <w:tcPr>
            <w:tcW w:type="dxa" w:w="5060"/>
            <w:vAlign w:val="center"/>
          </w:tcPr>
          <w:p>
            <w:pPr>
              <w:spacing w:after="0" w:line="245" w:lineRule="auto"/>
            </w:pPr>
            <w:r>
              <w:rPr>
                <w:rFonts w:ascii="Calibri" w:hAnsi="Calibri"/>
                <w:color w:val="000000"/>
                <w:sz w:val="17"/>
              </w:rPr>
              <w:t>Faux; classes de générateurs réversibles non uniques.</w:t>
            </w:r>
          </w:p>
        </w:tc>
      </w:tr>
      <w:tr>
        <w:trPr>
          <w:cantSplit/>
        </w:trPr>
        <w:tc>
          <w:tcPr>
            <w:tcW w:type="dxa" w:w="4300"/>
            <w:vAlign w:val="center"/>
          </w:tcPr>
          <w:p>
            <w:pPr>
              <w:spacing w:after="0" w:line="245" w:lineRule="auto"/>
            </w:pPr>
            <w:r>
              <w:rPr>
                <w:rFonts w:ascii="Calibri" w:hAnsi="Calibri"/>
                <w:color w:val="000000"/>
                <w:sz w:val="17"/>
              </w:rPr>
              <w:t>b₁(T³)=3 dérive trois saveurs.</w:t>
            </w:r>
          </w:p>
        </w:tc>
        <w:tc>
          <w:tcPr>
            <w:tcW w:type="dxa" w:w="5060"/>
            <w:vAlign w:val="center"/>
          </w:tcPr>
          <w:p>
            <w:pPr>
              <w:spacing w:after="0" w:line="245" w:lineRule="auto"/>
            </w:pPr>
            <w:r>
              <w:rPr>
                <w:rFonts w:ascii="Calibri" w:hAnsi="Calibri"/>
                <w:color w:val="000000"/>
                <w:sz w:val="17"/>
              </w:rPr>
              <w:t>Faux sans brisure : A∝I et le bilinéaire Yukawa invariant vaut Y=0.</w:t>
            </w:r>
          </w:p>
        </w:tc>
      </w:tr>
      <w:tr>
        <w:trPr>
          <w:cantSplit/>
        </w:trPr>
        <w:tc>
          <w:tcPr>
            <w:tcW w:type="dxa" w:w="4300"/>
            <w:vAlign w:val="center"/>
          </w:tcPr>
          <w:p>
            <w:pPr>
              <w:spacing w:after="0" w:line="245" w:lineRule="auto"/>
            </w:pPr>
            <w:r>
              <w:rPr>
                <w:rFonts w:ascii="Calibri" w:hAnsi="Calibri"/>
                <w:color w:val="000000"/>
                <w:sz w:val="17"/>
              </w:rPr>
              <w:t>Normaliser T prédit Λ.</w:t>
            </w:r>
          </w:p>
        </w:tc>
        <w:tc>
          <w:tcPr>
            <w:tcW w:type="dxa" w:w="5060"/>
            <w:vAlign w:val="center"/>
          </w:tcPr>
          <w:p>
            <w:pPr>
              <w:spacing w:after="0" w:line="245" w:lineRule="auto"/>
            </w:pPr>
            <w:r>
              <w:rPr>
                <w:rFonts w:ascii="Calibri" w:hAnsi="Calibri"/>
                <w:color w:val="000000"/>
                <w:sz w:val="17"/>
              </w:rPr>
              <w:t>Faux; les gaps ignorent le décalage commun.</w:t>
            </w:r>
          </w:p>
        </w:tc>
      </w:tr>
      <w:tr>
        <w:trPr>
          <w:cantSplit/>
        </w:trPr>
        <w:tc>
          <w:tcPr>
            <w:tcW w:type="dxa" w:w="4300"/>
            <w:vAlign w:val="center"/>
          </w:tcPr>
          <w:p>
            <w:pPr>
              <w:spacing w:after="0" w:line="245" w:lineRule="auto"/>
            </w:pPr>
            <w:r>
              <w:rPr>
                <w:rFonts w:ascii="Calibri" w:hAnsi="Calibri"/>
                <w:color w:val="000000"/>
                <w:sz w:val="17"/>
              </w:rPr>
              <w:t>Localité à chaque cutoff donne un cône causal limite.</w:t>
            </w:r>
          </w:p>
        </w:tc>
        <w:tc>
          <w:tcPr>
            <w:tcW w:type="dxa" w:w="5060"/>
            <w:vAlign w:val="center"/>
          </w:tcPr>
          <w:p>
            <w:pPr>
              <w:spacing w:after="0" w:line="245" w:lineRule="auto"/>
            </w:pPr>
            <w:r>
              <w:rPr>
                <w:rFonts w:ascii="Calibri" w:hAnsi="Calibri"/>
                <w:color w:val="000000"/>
                <w:sz w:val="17"/>
              </w:rPr>
              <w:t>Faux sans borne LR uniforme indépendante de n_max.</w:t>
            </w:r>
          </w:p>
        </w:tc>
      </w:tr>
      <w:tr>
        <w:trPr>
          <w:cantSplit/>
        </w:trPr>
        <w:tc>
          <w:tcPr>
            <w:tcW w:type="dxa" w:w="4300"/>
            <w:vAlign w:val="center"/>
          </w:tcPr>
          <w:p>
            <w:pPr>
              <w:spacing w:after="0" w:line="245" w:lineRule="auto"/>
            </w:pPr>
            <w:r>
              <w:rPr>
                <w:rFonts w:ascii="Calibri" w:hAnsi="Calibri"/>
                <w:color w:val="000000"/>
                <w:sz w:val="17"/>
              </w:rPr>
              <w:t>La branche projectable+U(1) est déjà quantiquement fermée.</w:t>
            </w:r>
          </w:p>
        </w:tc>
        <w:tc>
          <w:tcPr>
            <w:tcW w:type="dxa" w:w="5060"/>
            <w:vAlign w:val="center"/>
          </w:tcPr>
          <w:p>
            <w:pPr>
              <w:spacing w:after="0" w:line="245" w:lineRule="auto"/>
            </w:pPr>
            <w:r>
              <w:rPr>
                <w:rFonts w:ascii="Calibri" w:hAnsi="Calibri"/>
                <w:color w:val="000000"/>
                <w:sz w:val="17"/>
              </w:rPr>
              <w:t>Faux : renormalisation, suppression scalaire et matière ne sont pas un même théorème.</w:t>
            </w:r>
          </w:p>
        </w:tc>
      </w:tr>
      <w:tr>
        <w:trPr>
          <w:cantSplit/>
        </w:trPr>
        <w:tc>
          <w:tcPr>
            <w:tcW w:type="dxa" w:w="4300"/>
            <w:vAlign w:val="center"/>
          </w:tcPr>
          <w:p>
            <w:pPr>
              <w:spacing w:after="0" w:line="245" w:lineRule="auto"/>
            </w:pPr>
            <w:r>
              <w:rPr>
                <w:rFonts w:ascii="Calibri" w:hAnsi="Calibri"/>
                <w:color w:val="000000"/>
                <w:sz w:val="17"/>
              </w:rPr>
              <w:t>Le SM nu s’unifie à une boucle.</w:t>
            </w:r>
          </w:p>
        </w:tc>
        <w:tc>
          <w:tcPr>
            <w:tcW w:type="dxa" w:w="5060"/>
            <w:vAlign w:val="center"/>
          </w:tcPr>
          <w:p>
            <w:pPr>
              <w:spacing w:after="0" w:line="245" w:lineRule="auto"/>
            </w:pPr>
            <w:r>
              <w:rPr>
                <w:rFonts w:ascii="Calibri" w:hAnsi="Calibri"/>
                <w:color w:val="000000"/>
                <w:sz w:val="17"/>
              </w:rPr>
              <w:t>Faux pour les entrées déclarées : les trois croisements sont séparés.</w:t>
            </w:r>
          </w:p>
        </w:tc>
      </w:tr>
      <w:tr>
        <w:trPr>
          <w:cantSplit/>
        </w:trPr>
        <w:tc>
          <w:tcPr>
            <w:tcW w:type="dxa" w:w="4300"/>
            <w:vAlign w:val="center"/>
          </w:tcPr>
          <w:p>
            <w:pPr>
              <w:spacing w:after="0" w:line="245" w:lineRule="auto"/>
            </w:pPr>
            <w:r>
              <w:rPr>
                <w:rFonts w:ascii="Calibri" w:hAnsi="Calibri"/>
                <w:color w:val="000000"/>
                <w:sz w:val="17"/>
              </w:rPr>
              <w:t>Annuler les anomalies prouve le gap miroir.</w:t>
            </w:r>
          </w:p>
        </w:tc>
        <w:tc>
          <w:tcPr>
            <w:tcW w:type="dxa" w:w="5060"/>
            <w:vAlign w:val="center"/>
          </w:tcPr>
          <w:p>
            <w:pPr>
              <w:spacing w:after="0" w:line="245" w:lineRule="auto"/>
            </w:pPr>
            <w:r>
              <w:rPr>
                <w:rFonts w:ascii="Calibri" w:hAnsi="Calibri"/>
                <w:color w:val="000000"/>
                <w:sz w:val="17"/>
              </w:rPr>
              <w:t>Faux : nécessité algébrique, pas borne spectrale uniforme.</w:t>
            </w:r>
          </w:p>
        </w:tc>
      </w:tr>
    </w:tbl>
    <w:p>
      <w:pPr>
        <w:keepLines w:val="0"/>
        <w:spacing w:before="0" w:after="120" w:line="264" w:lineRule="auto"/>
        <w:jc w:val="left"/>
      </w:pPr>
      <w:r>
        <w:rPr>
          <w:rFonts w:ascii="Calibri" w:hAnsi="Calibri"/>
          <w:b w:val="0"/>
          <w:i w:val="0"/>
          <w:color w:val="000000"/>
          <w:sz w:val="22"/>
        </w:rPr>
      </w:r>
    </w:p>
    <w:p>
      <w:pPr>
        <w:pStyle w:val="Heading2"/>
        <w:keepNext/>
      </w:pPr>
      <w:r>
        <w:t>D. Références primaires arXiv</w:t>
      </w:r>
    </w:p>
    <w:p>
      <w:pPr>
        <w:keepLines/>
        <w:spacing w:after="40" w:line="252" w:lineRule="auto"/>
        <w:ind w:left="403" w:hanging="403"/>
      </w:pPr>
      <w:r>
        <w:rPr>
          <w:rFonts w:ascii="Calibri" w:hAnsi="Calibri"/>
          <w:color w:val="000000"/>
          <w:sz w:val="17"/>
        </w:rPr>
        <w:t xml:space="preserve">1. B. Benedetti. </w:t>
      </w:r>
      <w:r>
        <w:rPr>
          <w:rFonts w:ascii="Calibri" w:hAnsi="Calibri"/>
          <w:i/>
          <w:color w:val="000000"/>
          <w:sz w:val="17"/>
        </w:rPr>
        <w:t>Discrete Morse theory for manifolds with boundary</w:t>
      </w:r>
      <w:r>
        <w:rPr>
          <w:rFonts w:ascii="Calibri" w:hAnsi="Calibri"/>
          <w:color w:val="5F6B78"/>
          <w:sz w:val="17"/>
        </w:rPr>
        <w:t>. Trans. AMS / comptage Morse. https://arxiv.org/abs/1007.3175</w:t>
      </w:r>
    </w:p>
    <w:p>
      <w:pPr>
        <w:keepLines/>
        <w:spacing w:after="40" w:line="252" w:lineRule="auto"/>
        <w:ind w:left="403" w:hanging="403"/>
      </w:pPr>
      <w:r>
        <w:rPr>
          <w:rFonts w:ascii="Calibri" w:hAnsi="Calibri"/>
          <w:color w:val="000000"/>
          <w:sz w:val="17"/>
        </w:rPr>
        <w:t xml:space="preserve">2. B. Benedetti. </w:t>
      </w:r>
      <w:r>
        <w:rPr>
          <w:rFonts w:ascii="Calibri" w:hAnsi="Calibri"/>
          <w:i/>
          <w:color w:val="000000"/>
          <w:sz w:val="17"/>
        </w:rPr>
        <w:t>Smoothing discrete Morse theory</w:t>
      </w:r>
      <w:r>
        <w:rPr>
          <w:rFonts w:ascii="Calibri" w:hAnsi="Calibri"/>
          <w:color w:val="5F6B78"/>
          <w:sz w:val="17"/>
        </w:rPr>
        <w:t>. Ann. Sc. Norm. Sup.. https://arxiv.org/abs/1212.0885</w:t>
      </w:r>
    </w:p>
    <w:p>
      <w:pPr>
        <w:keepLines/>
        <w:spacing w:after="40" w:line="252" w:lineRule="auto"/>
        <w:ind w:left="403" w:hanging="403"/>
      </w:pPr>
      <w:r>
        <w:rPr>
          <w:rFonts w:ascii="Calibri" w:hAnsi="Calibri"/>
          <w:color w:val="000000"/>
          <w:sz w:val="17"/>
        </w:rPr>
        <w:t xml:space="preserve">3. A. Durhuus, T. Jonsson. </w:t>
      </w:r>
      <w:r>
        <w:rPr>
          <w:rFonts w:ascii="Calibri" w:hAnsi="Calibri"/>
          <w:i/>
          <w:color w:val="000000"/>
          <w:sz w:val="17"/>
        </w:rPr>
        <w:t>Exponential bounds on the number of causal triangulations</w:t>
      </w:r>
      <w:r>
        <w:rPr>
          <w:rFonts w:ascii="Calibri" w:hAnsi="Calibri"/>
          <w:color w:val="5F6B78"/>
          <w:sz w:val="17"/>
        </w:rPr>
        <w:t>. Commun. Math. Phys.. https://arxiv.org/abs/1408.2101</w:t>
      </w:r>
    </w:p>
    <w:p>
      <w:pPr>
        <w:keepLines/>
        <w:spacing w:after="40" w:line="252" w:lineRule="auto"/>
        <w:ind w:left="403" w:hanging="403"/>
      </w:pPr>
      <w:r>
        <w:rPr>
          <w:rFonts w:ascii="Calibri" w:hAnsi="Calibri"/>
          <w:color w:val="000000"/>
          <w:sz w:val="17"/>
        </w:rPr>
        <w:t xml:space="preserve">4. C. Castelnovo et al.. </w:t>
      </w:r>
      <w:r>
        <w:rPr>
          <w:rFonts w:ascii="Calibri" w:hAnsi="Calibri"/>
          <w:i/>
          <w:color w:val="000000"/>
          <w:sz w:val="17"/>
        </w:rPr>
        <w:t>Generalized Rokhsar–Kivelson Hamiltonians and stochastic matrix form</w:t>
      </w:r>
      <w:r>
        <w:rPr>
          <w:rFonts w:ascii="Calibri" w:hAnsi="Calibri"/>
          <w:color w:val="5F6B78"/>
          <w:sz w:val="17"/>
        </w:rPr>
        <w:t>. Ann. Phys.. https://arxiv.org/abs/cond-mat/0502068</w:t>
      </w:r>
    </w:p>
    <w:p>
      <w:pPr>
        <w:keepLines/>
        <w:spacing w:after="40" w:line="252" w:lineRule="auto"/>
        <w:ind w:left="403" w:hanging="403"/>
      </w:pPr>
      <w:r>
        <w:rPr>
          <w:rFonts w:ascii="Calibri" w:hAnsi="Calibri"/>
          <w:color w:val="000000"/>
          <w:sz w:val="17"/>
        </w:rPr>
        <w:t xml:space="preserve">5. J. Ambjørn et al.. </w:t>
      </w:r>
      <w:r>
        <w:rPr>
          <w:rFonts w:ascii="Calibri" w:hAnsi="Calibri"/>
          <w:i/>
          <w:color w:val="000000"/>
          <w:sz w:val="17"/>
        </w:rPr>
        <w:t>Transfer matrix method in four-dimensional CDT</w:t>
      </w:r>
      <w:r>
        <w:rPr>
          <w:rFonts w:ascii="Calibri" w:hAnsi="Calibri"/>
          <w:color w:val="5F6B78"/>
          <w:sz w:val="17"/>
        </w:rPr>
        <w:t>. JHEP. https://arxiv.org/abs/1302.2210</w:t>
      </w:r>
    </w:p>
    <w:p>
      <w:pPr>
        <w:keepLines/>
        <w:spacing w:after="40" w:line="252" w:lineRule="auto"/>
        <w:ind w:left="403" w:hanging="403"/>
      </w:pPr>
      <w:r>
        <w:rPr>
          <w:rFonts w:ascii="Calibri" w:hAnsi="Calibri"/>
          <w:color w:val="000000"/>
          <w:sz w:val="17"/>
        </w:rPr>
        <w:t xml:space="preserve">6. J. Ambjørn et al.. </w:t>
      </w:r>
      <w:r>
        <w:rPr>
          <w:rFonts w:ascii="Calibri" w:hAnsi="Calibri"/>
          <w:i/>
          <w:color w:val="000000"/>
          <w:sz w:val="17"/>
        </w:rPr>
        <w:t>Four-dimensional CDT with toroidal topology</w:t>
      </w:r>
      <w:r>
        <w:rPr>
          <w:rFonts w:ascii="Calibri" w:hAnsi="Calibri"/>
          <w:color w:val="5F6B78"/>
          <w:sz w:val="17"/>
        </w:rPr>
        <w:t>. Nucl. Phys. B. https://arxiv.org/abs/1705.07653</w:t>
      </w:r>
    </w:p>
    <w:p>
      <w:pPr>
        <w:keepLines/>
        <w:spacing w:after="40" w:line="252" w:lineRule="auto"/>
        <w:ind w:left="403" w:hanging="403"/>
      </w:pPr>
      <w:r>
        <w:rPr>
          <w:rFonts w:ascii="Calibri" w:hAnsi="Calibri"/>
          <w:color w:val="000000"/>
          <w:sz w:val="17"/>
        </w:rPr>
        <w:t xml:space="preserve">7. P. Hořava, C. Melby-Thompson. </w:t>
      </w:r>
      <w:r>
        <w:rPr>
          <w:rFonts w:ascii="Calibri" w:hAnsi="Calibri"/>
          <w:i/>
          <w:color w:val="000000"/>
          <w:sz w:val="17"/>
        </w:rPr>
        <w:t>General Covariance in Quantum Gravity at a Lifshitz Point</w:t>
      </w:r>
      <w:r>
        <w:rPr>
          <w:rFonts w:ascii="Calibri" w:hAnsi="Calibri"/>
          <w:color w:val="5F6B78"/>
          <w:sz w:val="17"/>
        </w:rPr>
        <w:t>. Phys. Rev. D. https://arxiv.org/abs/1007.2410</w:t>
      </w:r>
    </w:p>
    <w:p>
      <w:pPr>
        <w:keepLines/>
        <w:spacing w:after="40" w:line="252" w:lineRule="auto"/>
        <w:ind w:left="403" w:hanging="403"/>
      </w:pPr>
      <w:r>
        <w:rPr>
          <w:rFonts w:ascii="Calibri" w:hAnsi="Calibri"/>
          <w:color w:val="000000"/>
          <w:sz w:val="17"/>
        </w:rPr>
        <w:t xml:space="preserve">8. A. Barvinsky et al.. </w:t>
      </w:r>
      <w:r>
        <w:rPr>
          <w:rFonts w:ascii="Calibri" w:hAnsi="Calibri"/>
          <w:i/>
          <w:color w:val="000000"/>
          <w:sz w:val="17"/>
        </w:rPr>
        <w:t>Renormalization of Hořava Gravity</w:t>
      </w:r>
      <w:r>
        <w:rPr>
          <w:rFonts w:ascii="Calibri" w:hAnsi="Calibri"/>
          <w:color w:val="5F6B78"/>
          <w:sz w:val="17"/>
        </w:rPr>
        <w:t>. Phys. Rev. D. https://arxiv.org/abs/1512.02250</w:t>
      </w:r>
    </w:p>
    <w:p>
      <w:pPr>
        <w:keepLines/>
        <w:spacing w:after="40" w:line="252" w:lineRule="auto"/>
        <w:ind w:left="403" w:hanging="403"/>
      </w:pPr>
      <w:r>
        <w:rPr>
          <w:rFonts w:ascii="Calibri" w:hAnsi="Calibri"/>
          <w:color w:val="000000"/>
          <w:sz w:val="17"/>
        </w:rPr>
        <w:t xml:space="preserve">9. A. Coates et al.. </w:t>
      </w:r>
      <w:r>
        <w:rPr>
          <w:rFonts w:ascii="Calibri" w:hAnsi="Calibri"/>
          <w:i/>
          <w:color w:val="000000"/>
          <w:sz w:val="17"/>
        </w:rPr>
        <w:t>Revisiting Lorentz violation in Hořava gravity</w:t>
      </w:r>
      <w:r>
        <w:rPr>
          <w:rFonts w:ascii="Calibri" w:hAnsi="Calibri"/>
          <w:color w:val="5F6B78"/>
          <w:sz w:val="17"/>
        </w:rPr>
        <w:t>. JHEP. https://arxiv.org/abs/1805.10299</w:t>
      </w:r>
    </w:p>
    <w:p>
      <w:pPr>
        <w:keepLines/>
        <w:spacing w:after="40" w:line="252" w:lineRule="auto"/>
        <w:ind w:left="403" w:hanging="403"/>
      </w:pPr>
      <w:r>
        <w:rPr>
          <w:rFonts w:ascii="Calibri" w:hAnsi="Calibri"/>
          <w:color w:val="000000"/>
          <w:sz w:val="17"/>
        </w:rPr>
        <w:t xml:space="preserve">10. M. Lüscher. </w:t>
      </w:r>
      <w:r>
        <w:rPr>
          <w:rFonts w:ascii="Calibri" w:hAnsi="Calibri"/>
          <w:i/>
          <w:color w:val="000000"/>
          <w:sz w:val="17"/>
        </w:rPr>
        <w:t>Exact chiral symmetry and the Ginsparg–Wilson relation</w:t>
      </w:r>
      <w:r>
        <w:rPr>
          <w:rFonts w:ascii="Calibri" w:hAnsi="Calibri"/>
          <w:color w:val="5F6B78"/>
          <w:sz w:val="17"/>
        </w:rPr>
        <w:t>. Phys. Lett. B. https://arxiv.org/abs/hep-lat/9802011</w:t>
      </w:r>
    </w:p>
    <w:p>
      <w:pPr>
        <w:keepLines/>
        <w:spacing w:after="40" w:line="252" w:lineRule="auto"/>
        <w:ind w:left="403" w:hanging="403"/>
      </w:pPr>
      <w:r>
        <w:rPr>
          <w:rFonts w:ascii="Calibri" w:hAnsi="Calibri"/>
          <w:color w:val="000000"/>
          <w:sz w:val="17"/>
        </w:rPr>
        <w:t xml:space="preserve">11. M. Lüscher. </w:t>
      </w:r>
      <w:r>
        <w:rPr>
          <w:rFonts w:ascii="Calibri" w:hAnsi="Calibri"/>
          <w:i/>
          <w:color w:val="000000"/>
          <w:sz w:val="17"/>
        </w:rPr>
        <w:t>Abelian chiral gauge theories on the lattice with exact gauge invariance</w:t>
      </w:r>
      <w:r>
        <w:rPr>
          <w:rFonts w:ascii="Calibri" w:hAnsi="Calibri"/>
          <w:color w:val="5F6B78"/>
          <w:sz w:val="17"/>
        </w:rPr>
        <w:t>. Nucl. Phys. B. https://arxiv.org/abs/hep-lat/9811032</w:t>
      </w:r>
    </w:p>
    <w:p>
      <w:pPr>
        <w:keepLines/>
        <w:spacing w:after="40" w:line="252" w:lineRule="auto"/>
        <w:ind w:left="403" w:hanging="403"/>
      </w:pPr>
      <w:r>
        <w:rPr>
          <w:rFonts w:ascii="Calibri" w:hAnsi="Calibri"/>
          <w:color w:val="000000"/>
          <w:sz w:val="17"/>
        </w:rPr>
        <w:t xml:space="preserve">12. M. Lüscher. </w:t>
      </w:r>
      <w:r>
        <w:rPr>
          <w:rFonts w:ascii="Calibri" w:hAnsi="Calibri"/>
          <w:i/>
          <w:color w:val="000000"/>
          <w:sz w:val="17"/>
        </w:rPr>
        <w:t>Lattice regularization of chiral gauge theories to all orders</w:t>
      </w:r>
      <w:r>
        <w:rPr>
          <w:rFonts w:ascii="Calibri" w:hAnsi="Calibri"/>
          <w:color w:val="5F6B78"/>
          <w:sz w:val="17"/>
        </w:rPr>
        <w:t>. JHEP. https://arxiv.org/abs/hep-lat/0006014</w:t>
      </w:r>
    </w:p>
    <w:p>
      <w:pPr>
        <w:keepLines/>
        <w:spacing w:after="40" w:line="252" w:lineRule="auto"/>
        <w:ind w:left="403" w:hanging="403"/>
      </w:pPr>
      <w:r>
        <w:rPr>
          <w:rFonts w:ascii="Calibri" w:hAnsi="Calibri"/>
          <w:color w:val="000000"/>
          <w:sz w:val="17"/>
        </w:rPr>
        <w:t xml:space="preserve">13. X.-G. Wen. </w:t>
      </w:r>
      <w:r>
        <w:rPr>
          <w:rFonts w:ascii="Calibri" w:hAnsi="Calibri"/>
          <w:i/>
          <w:color w:val="000000"/>
          <w:sz w:val="17"/>
        </w:rPr>
        <w:t>A lattice non-perturbative definition of an SO(10) chiral gauge theory</w:t>
      </w:r>
      <w:r>
        <w:rPr>
          <w:rFonts w:ascii="Calibri" w:hAnsi="Calibri"/>
          <w:color w:val="5F6B78"/>
          <w:sz w:val="17"/>
        </w:rPr>
        <w:t>. Chin. Phys. Lett.. https://arxiv.org/abs/1305.1045</w:t>
      </w:r>
    </w:p>
    <w:p>
      <w:pPr>
        <w:keepLines/>
        <w:spacing w:after="40" w:line="252" w:lineRule="auto"/>
        <w:ind w:left="403" w:hanging="403"/>
      </w:pPr>
      <w:r>
        <w:rPr>
          <w:rFonts w:ascii="Calibri" w:hAnsi="Calibri"/>
          <w:color w:val="000000"/>
          <w:sz w:val="17"/>
        </w:rPr>
        <w:t xml:space="preserve">14. S. Catterall et al.. </w:t>
      </w:r>
      <w:r>
        <w:rPr>
          <w:rFonts w:ascii="Calibri" w:hAnsi="Calibri"/>
          <w:i/>
          <w:color w:val="000000"/>
          <w:sz w:val="17"/>
        </w:rPr>
        <w:t>Kähler–Dirac fermions on Euclidean dynamical triangulations</w:t>
      </w:r>
      <w:r>
        <w:rPr>
          <w:rFonts w:ascii="Calibri" w:hAnsi="Calibri"/>
          <w:color w:val="5F6B78"/>
          <w:sz w:val="17"/>
        </w:rPr>
        <w:t>. Phys. Rev. D. https://arxiv.org/abs/1810.10626</w:t>
      </w:r>
    </w:p>
    <w:p>
      <w:pPr>
        <w:keepLines/>
        <w:spacing w:after="40" w:line="252" w:lineRule="auto"/>
        <w:ind w:left="403" w:hanging="403"/>
      </w:pPr>
      <w:r>
        <w:rPr>
          <w:rFonts w:ascii="Calibri" w:hAnsi="Calibri"/>
          <w:color w:val="000000"/>
          <w:sz w:val="17"/>
        </w:rPr>
        <w:t xml:space="preserve">15. K. S. Babu, S. Khan. </w:t>
      </w:r>
      <w:r>
        <w:rPr>
          <w:rFonts w:ascii="Calibri" w:hAnsi="Calibri"/>
          <w:i/>
          <w:color w:val="000000"/>
          <w:sz w:val="17"/>
        </w:rPr>
        <w:t>A Minimal Non-Supersymmetric SO(10) Model</w:t>
      </w:r>
      <w:r>
        <w:rPr>
          <w:rFonts w:ascii="Calibri" w:hAnsi="Calibri"/>
          <w:color w:val="5F6B78"/>
          <w:sz w:val="17"/>
        </w:rPr>
        <w:t>. Phys. Rev. D. https://arxiv.org/abs/1507.06712</w:t>
      </w:r>
    </w:p>
    <w:p>
      <w:pPr>
        <w:keepLines/>
        <w:spacing w:after="40" w:line="252" w:lineRule="auto"/>
        <w:ind w:left="403" w:hanging="403"/>
      </w:pPr>
      <w:r>
        <w:rPr>
          <w:rFonts w:ascii="Calibri" w:hAnsi="Calibri"/>
          <w:color w:val="000000"/>
          <w:sz w:val="17"/>
        </w:rPr>
        <w:t xml:space="preserve">16. K. Jarkovská et al.. </w:t>
      </w:r>
      <w:r>
        <w:rPr>
          <w:rFonts w:ascii="Calibri" w:hAnsi="Calibri"/>
          <w:i/>
          <w:color w:val="000000"/>
          <w:sz w:val="17"/>
        </w:rPr>
        <w:t>The trouble with the minimal renormalizable SO(10) GUT</w:t>
      </w:r>
      <w:r>
        <w:rPr>
          <w:rFonts w:ascii="Calibri" w:hAnsi="Calibri"/>
          <w:color w:val="5F6B78"/>
          <w:sz w:val="17"/>
        </w:rPr>
        <w:t>. Phys. Rev. D. https://arxiv.org/abs/2304.14227</w:t>
      </w:r>
    </w:p>
    <w:p>
      <w:pPr>
        <w:keepLines/>
        <w:spacing w:after="40" w:line="252" w:lineRule="auto"/>
        <w:ind w:left="403" w:hanging="403"/>
      </w:pPr>
      <w:r>
        <w:rPr>
          <w:rFonts w:ascii="Calibri" w:hAnsi="Calibri"/>
          <w:color w:val="000000"/>
          <w:sz w:val="17"/>
        </w:rPr>
        <w:t xml:space="preserve">17. Z. Wan, J. Wang. </w:t>
      </w:r>
      <w:r>
        <w:rPr>
          <w:rFonts w:ascii="Calibri" w:hAnsi="Calibri"/>
          <w:i/>
          <w:color w:val="000000"/>
          <w:sz w:val="17"/>
        </w:rPr>
        <w:t>Anomalies, topological terms and dynamical constraints via cobordisms</w:t>
      </w:r>
      <w:r>
        <w:rPr>
          <w:rFonts w:ascii="Calibri" w:hAnsi="Calibri"/>
          <w:color w:val="5F6B78"/>
          <w:sz w:val="17"/>
        </w:rPr>
        <w:t>. JHEP. https://arxiv.org/abs/1910.14668</w:t>
      </w:r>
    </w:p>
    <w:p>
      <w:pPr>
        <w:keepLines/>
        <w:spacing w:after="40" w:line="252" w:lineRule="auto"/>
        <w:ind w:left="403" w:hanging="403"/>
      </w:pPr>
      <w:r>
        <w:rPr>
          <w:rFonts w:ascii="Calibri" w:hAnsi="Calibri"/>
          <w:color w:val="000000"/>
          <w:sz w:val="17"/>
        </w:rPr>
        <w:t xml:space="preserve">18. F. Nesti, R. Percacci. </w:t>
      </w:r>
      <w:r>
        <w:rPr>
          <w:rFonts w:ascii="Calibri" w:hAnsi="Calibri"/>
          <w:i/>
          <w:color w:val="000000"/>
          <w:sz w:val="17"/>
        </w:rPr>
        <w:t>Chirality in unified theories of gravity</w:t>
      </w:r>
      <w:r>
        <w:rPr>
          <w:rFonts w:ascii="Calibri" w:hAnsi="Calibri"/>
          <w:color w:val="5F6B78"/>
          <w:sz w:val="17"/>
        </w:rPr>
        <w:t>. Phys. Rev. D. https://arxiv.org/abs/0909.4537</w:t>
      </w:r>
    </w:p>
    <w:p>
      <w:pPr>
        <w:keepLines/>
        <w:spacing w:after="40" w:line="252" w:lineRule="auto"/>
        <w:ind w:left="403" w:hanging="403"/>
      </w:pPr>
      <w:r>
        <w:rPr>
          <w:rFonts w:ascii="Calibri" w:hAnsi="Calibri"/>
          <w:color w:val="000000"/>
          <w:sz w:val="17"/>
        </w:rPr>
        <w:t xml:space="preserve">19. A. Eichhorn. </w:t>
      </w:r>
      <w:r>
        <w:rPr>
          <w:rFonts w:ascii="Calibri" w:hAnsi="Calibri"/>
          <w:i/>
          <w:color w:val="000000"/>
          <w:sz w:val="17"/>
        </w:rPr>
        <w:t>An asymptotically safe guide to quantum gravity and matter</w:t>
      </w:r>
      <w:r>
        <w:rPr>
          <w:rFonts w:ascii="Calibri" w:hAnsi="Calibri"/>
          <w:color w:val="5F6B78"/>
          <w:sz w:val="17"/>
        </w:rPr>
        <w:t>. Front. Astron. Space Sci.. https://arxiv.org/abs/1810.07615</w:t>
      </w:r>
    </w:p>
    <w:p>
      <w:pPr>
        <w:keepLines/>
        <w:spacing w:after="40" w:line="252" w:lineRule="auto"/>
        <w:ind w:left="403" w:hanging="403"/>
      </w:pPr>
      <w:r>
        <w:rPr>
          <w:rFonts w:ascii="Calibri" w:hAnsi="Calibri"/>
          <w:color w:val="000000"/>
          <w:sz w:val="17"/>
        </w:rPr>
        <w:t xml:space="preserve">20. B. Nachtergaele et al.. </w:t>
      </w:r>
      <w:r>
        <w:rPr>
          <w:rFonts w:ascii="Calibri" w:hAnsi="Calibri"/>
          <w:i/>
          <w:color w:val="000000"/>
          <w:sz w:val="17"/>
        </w:rPr>
        <w:t>Quasi-locality bounds for quantum lattice systems</w:t>
      </w:r>
      <w:r>
        <w:rPr>
          <w:rFonts w:ascii="Calibri" w:hAnsi="Calibri"/>
          <w:color w:val="5F6B78"/>
          <w:sz w:val="17"/>
        </w:rPr>
        <w:t>. Encyclopedia Math. Phys.. https://arxiv.org/abs/1810.02428</w:t>
      </w:r>
    </w:p>
    <w:p>
      <w:pPr>
        <w:keepLines/>
        <w:spacing w:after="40" w:line="252" w:lineRule="auto"/>
        <w:ind w:left="403" w:hanging="403"/>
      </w:pPr>
      <w:r>
        <w:rPr>
          <w:rFonts w:ascii="Calibri" w:hAnsi="Calibri"/>
          <w:color w:val="000000"/>
          <w:sz w:val="17"/>
        </w:rPr>
        <w:t xml:space="preserve">21. Y. Kikukawa, K. Usui. </w:t>
      </w:r>
      <w:r>
        <w:rPr>
          <w:rFonts w:ascii="Calibri" w:hAnsi="Calibri"/>
          <w:i/>
          <w:color w:val="000000"/>
          <w:sz w:val="17"/>
        </w:rPr>
        <w:t>Reflection positivity of free overlap fermions</w:t>
      </w:r>
      <w:r>
        <w:rPr>
          <w:rFonts w:ascii="Calibri" w:hAnsi="Calibri"/>
          <w:color w:val="5F6B78"/>
          <w:sz w:val="17"/>
        </w:rPr>
        <w:t>. Phys. Rev. D. https://arxiv.org/abs/1005.3751</w:t>
      </w:r>
    </w:p>
    <w:p>
      <w:pPr>
        <w:keepLines/>
        <w:spacing w:after="40" w:line="252" w:lineRule="auto"/>
        <w:ind w:left="403" w:hanging="403"/>
      </w:pPr>
      <w:r>
        <w:rPr>
          <w:rFonts w:ascii="Calibri" w:hAnsi="Calibri"/>
          <w:color w:val="000000"/>
          <w:sz w:val="17"/>
        </w:rPr>
        <w:t xml:space="preserve">22. T. Lang, K. Liegener, T. Thiemann. </w:t>
      </w:r>
      <w:r>
        <w:rPr>
          <w:rFonts w:ascii="Calibri" w:hAnsi="Calibri"/>
          <w:i/>
          <w:color w:val="000000"/>
          <w:sz w:val="17"/>
        </w:rPr>
        <w:t>Hamiltonian Renormalisation I: Derivation from Osterwalder–Schrader Reconstruction</w:t>
      </w:r>
      <w:r>
        <w:rPr>
          <w:rFonts w:ascii="Calibri" w:hAnsi="Calibri"/>
          <w:color w:val="5F6B78"/>
          <w:sz w:val="17"/>
        </w:rPr>
        <w:t>. Class. Quantum Grav.. https://arxiv.org/abs/1711.05685</w:t>
      </w:r>
    </w:p>
    <w:p>
      <w:pPr>
        <w:keepLines/>
        <w:spacing w:after="40" w:line="252" w:lineRule="auto"/>
        <w:ind w:left="403" w:hanging="403"/>
      </w:pPr>
      <w:r>
        <w:rPr>
          <w:rFonts w:ascii="Calibri" w:hAnsi="Calibri"/>
          <w:color w:val="000000"/>
          <w:sz w:val="17"/>
        </w:rPr>
        <w:t xml:space="preserve">23. M. Grothaus, S. Wittmann. </w:t>
      </w:r>
      <w:r>
        <w:rPr>
          <w:rFonts w:ascii="Calibri" w:hAnsi="Calibri"/>
          <w:i/>
          <w:color w:val="000000"/>
          <w:sz w:val="17"/>
        </w:rPr>
        <w:t>Mosco convergence of gradient forms with non-convex interaction potential</w:t>
      </w:r>
      <w:r>
        <w:rPr>
          <w:rFonts w:ascii="Calibri" w:hAnsi="Calibri"/>
          <w:color w:val="5F6B78"/>
          <w:sz w:val="17"/>
        </w:rPr>
        <w:t>. Integral Equations Operator Theory. https://arxiv.org/abs/2105.05140</w:t>
      </w:r>
    </w:p>
    <w:p>
      <w:pPr>
        <w:keepLines/>
        <w:spacing w:after="40" w:line="252" w:lineRule="auto"/>
        <w:ind w:left="403" w:hanging="403"/>
      </w:pPr>
      <w:r>
        <w:rPr>
          <w:rFonts w:ascii="Calibri" w:hAnsi="Calibri"/>
          <w:color w:val="000000"/>
          <w:sz w:val="17"/>
        </w:rPr>
        <w:t xml:space="preserve">24. A. Giuliani, V. Mastropietro, S. Rychkov. </w:t>
      </w:r>
      <w:r>
        <w:rPr>
          <w:rFonts w:ascii="Calibri" w:hAnsi="Calibri"/>
          <w:i/>
          <w:color w:val="000000"/>
          <w:sz w:val="17"/>
        </w:rPr>
        <w:t>Gentle introduction to rigorous Renormalization Group</w:t>
      </w:r>
      <w:r>
        <w:rPr>
          <w:rFonts w:ascii="Calibri" w:hAnsi="Calibri"/>
          <w:color w:val="5F6B78"/>
          <w:sz w:val="17"/>
        </w:rPr>
        <w:t>. JHEP. https://arxiv.org/abs/2008.04361</w:t>
      </w:r>
    </w:p>
    <w:p>
      <w:pPr>
        <w:keepLines/>
        <w:spacing w:after="40" w:line="252" w:lineRule="auto"/>
        <w:ind w:left="403" w:hanging="403"/>
      </w:pPr>
      <w:r>
        <w:rPr>
          <w:rFonts w:ascii="Calibri" w:hAnsi="Calibri"/>
          <w:color w:val="000000"/>
          <w:sz w:val="17"/>
        </w:rPr>
        <w:t xml:space="preserve">25. J. Ambjørn et al.. </w:t>
      </w:r>
      <w:r>
        <w:rPr>
          <w:rFonts w:ascii="Calibri" w:hAnsi="Calibri"/>
          <w:i/>
          <w:color w:val="000000"/>
          <w:sz w:val="17"/>
        </w:rPr>
        <w:t>Second- and First-Order Phase Transitions in CDT</w:t>
      </w:r>
      <w:r>
        <w:rPr>
          <w:rFonts w:ascii="Calibri" w:hAnsi="Calibri"/>
          <w:color w:val="5F6B78"/>
          <w:sz w:val="17"/>
        </w:rPr>
        <w:t>. Phys. Rev. D. https://arxiv.org/abs/1205.1229</w:t>
      </w:r>
    </w:p>
    <w:p>
      <w:pPr>
        <w:keepLines/>
        <w:spacing w:after="40" w:line="252" w:lineRule="auto"/>
        <w:ind w:left="403" w:hanging="403"/>
      </w:pPr>
      <w:r>
        <w:rPr>
          <w:rFonts w:ascii="Calibri" w:hAnsi="Calibri"/>
          <w:color w:val="000000"/>
          <w:sz w:val="17"/>
        </w:rPr>
        <w:t xml:space="preserve">26. J. Ambjørn et al.. </w:t>
      </w:r>
      <w:r>
        <w:rPr>
          <w:rFonts w:ascii="Calibri" w:hAnsi="Calibri"/>
          <w:i/>
          <w:color w:val="000000"/>
          <w:sz w:val="17"/>
        </w:rPr>
        <w:t>The Nonperturbative Quantum de Sitter Universe</w:t>
      </w:r>
      <w:r>
        <w:rPr>
          <w:rFonts w:ascii="Calibri" w:hAnsi="Calibri"/>
          <w:color w:val="5F6B78"/>
          <w:sz w:val="17"/>
        </w:rPr>
        <w:t>. Phys. Rev. D. https://arxiv.org/abs/0807.4481</w:t>
      </w:r>
    </w:p>
    <w:p>
      <w:pPr>
        <w:keepLines/>
        <w:spacing w:after="40" w:line="252" w:lineRule="auto"/>
        <w:ind w:left="403" w:hanging="403"/>
      </w:pPr>
      <w:r>
        <w:rPr>
          <w:rFonts w:ascii="Calibri" w:hAnsi="Calibri"/>
          <w:color w:val="000000"/>
          <w:sz w:val="17"/>
        </w:rPr>
        <w:t xml:space="preserve">27. A. Barvinsky, A. Kurov, S. Sibiryakov. </w:t>
      </w:r>
      <w:r>
        <w:rPr>
          <w:rFonts w:ascii="Calibri" w:hAnsi="Calibri"/>
          <w:i/>
          <w:color w:val="000000"/>
          <w:sz w:val="17"/>
        </w:rPr>
        <w:t>Beta functions of (3+1)-dimensional projectable Hořava gravity</w:t>
      </w:r>
      <w:r>
        <w:rPr>
          <w:rFonts w:ascii="Calibri" w:hAnsi="Calibri"/>
          <w:color w:val="5F6B78"/>
          <w:sz w:val="17"/>
        </w:rPr>
        <w:t>. Phys. Rev. D. https://arxiv.org/abs/2110.14688</w:t>
      </w:r>
    </w:p>
    <w:p>
      <w:pPr>
        <w:keepLines/>
        <w:spacing w:after="40" w:line="252" w:lineRule="auto"/>
        <w:ind w:left="403" w:hanging="403"/>
      </w:pPr>
      <w:r>
        <w:rPr>
          <w:rFonts w:ascii="Calibri" w:hAnsi="Calibri"/>
          <w:color w:val="000000"/>
          <w:sz w:val="17"/>
        </w:rPr>
        <w:t xml:space="preserve">28. A. Barvinsky, A. Kurov, S. Sibiryakov. </w:t>
      </w:r>
      <w:r>
        <w:rPr>
          <w:rFonts w:ascii="Calibri" w:hAnsi="Calibri"/>
          <w:i/>
          <w:color w:val="000000"/>
          <w:sz w:val="17"/>
        </w:rPr>
        <w:t>Asymptotic freedom in (3+1)-dimensional projectable Hořava gravity</w:t>
      </w:r>
      <w:r>
        <w:rPr>
          <w:rFonts w:ascii="Calibri" w:hAnsi="Calibri"/>
          <w:color w:val="5F6B78"/>
          <w:sz w:val="17"/>
        </w:rPr>
        <w:t>. Phys. Rev. D. https://arxiv.org/abs/2310.07841</w:t>
      </w:r>
    </w:p>
    <w:p>
      <w:pPr>
        <w:keepLines/>
        <w:spacing w:after="40" w:line="252" w:lineRule="auto"/>
        <w:ind w:left="403" w:hanging="403"/>
      </w:pPr>
      <w:r>
        <w:rPr>
          <w:rFonts w:ascii="Calibri" w:hAnsi="Calibri"/>
          <w:color w:val="000000"/>
          <w:sz w:val="17"/>
        </w:rPr>
        <w:t xml:space="preserve">29. A. Barvinsky, A. Kurov, S. Sibiryakov. </w:t>
      </w:r>
      <w:r>
        <w:rPr>
          <w:rFonts w:ascii="Calibri" w:hAnsi="Calibri"/>
          <w:i/>
          <w:color w:val="000000"/>
          <w:sz w:val="17"/>
        </w:rPr>
        <w:t>Renormalization group flow of projectable Hořava gravity in (3+1) dimensions</w:t>
      </w:r>
      <w:r>
        <w:rPr>
          <w:rFonts w:ascii="Calibri" w:hAnsi="Calibri"/>
          <w:color w:val="5F6B78"/>
          <w:sz w:val="17"/>
        </w:rPr>
        <w:t>. prépublication. https://arxiv.org/abs/2411.13574</w:t>
      </w:r>
    </w:p>
    <w:p>
      <w:pPr>
        <w:keepLines/>
        <w:spacing w:after="40" w:line="252" w:lineRule="auto"/>
        <w:ind w:left="403" w:hanging="403"/>
      </w:pPr>
      <w:r>
        <w:rPr>
          <w:rFonts w:ascii="Calibri" w:hAnsi="Calibri"/>
          <w:color w:val="000000"/>
          <w:sz w:val="17"/>
        </w:rPr>
        <w:t xml:space="preserve">30. J. Bellorín, C. Bórquez, B. Droguett. </w:t>
      </w:r>
      <w:r>
        <w:rPr>
          <w:rFonts w:ascii="Calibri" w:hAnsi="Calibri"/>
          <w:i/>
          <w:color w:val="000000"/>
          <w:sz w:val="17"/>
        </w:rPr>
        <w:t>BRST symmetry and unitarity of the Hořava theory</w:t>
      </w:r>
      <w:r>
        <w:rPr>
          <w:rFonts w:ascii="Calibri" w:hAnsi="Calibri"/>
          <w:color w:val="5F6B78"/>
          <w:sz w:val="17"/>
        </w:rPr>
        <w:t>. Phys. Rev. D. https://arxiv.org/abs/2212.14079</w:t>
      </w:r>
    </w:p>
    <w:p>
      <w:pPr>
        <w:keepLines/>
        <w:spacing w:after="40" w:line="252" w:lineRule="auto"/>
        <w:ind w:left="403" w:hanging="403"/>
      </w:pPr>
      <w:r>
        <w:rPr>
          <w:rFonts w:ascii="Calibri" w:hAnsi="Calibri"/>
          <w:color w:val="000000"/>
          <w:sz w:val="17"/>
        </w:rPr>
        <w:t xml:space="preserve">31. M. Hertzberg, M. Sandora. </w:t>
      </w:r>
      <w:r>
        <w:rPr>
          <w:rFonts w:ascii="Calibri" w:hAnsi="Calibri"/>
          <w:i/>
          <w:color w:val="000000"/>
          <w:sz w:val="17"/>
        </w:rPr>
        <w:t>Special Relativity from Soft Gravitons</w:t>
      </w:r>
      <w:r>
        <w:rPr>
          <w:rFonts w:ascii="Calibri" w:hAnsi="Calibri"/>
          <w:color w:val="5F6B78"/>
          <w:sz w:val="17"/>
        </w:rPr>
        <w:t>. Phys. Rev. D. https://arxiv.org/abs/1704.05071</w:t>
      </w:r>
    </w:p>
    <w:p>
      <w:pPr>
        <w:keepLines/>
        <w:spacing w:after="40" w:line="252" w:lineRule="auto"/>
        <w:ind w:left="403" w:hanging="403"/>
      </w:pPr>
      <w:r>
        <w:rPr>
          <w:rFonts w:ascii="Calibri" w:hAnsi="Calibri"/>
          <w:color w:val="000000"/>
          <w:sz w:val="17"/>
        </w:rPr>
        <w:t xml:space="preserve">32. N. Christiansen et al.. </w:t>
      </w:r>
      <w:r>
        <w:rPr>
          <w:rFonts w:ascii="Calibri" w:hAnsi="Calibri"/>
          <w:i/>
          <w:color w:val="000000"/>
          <w:sz w:val="17"/>
        </w:rPr>
        <w:t>One force to rule them all: asymptotic safety of gravity with matter</w:t>
      </w:r>
      <w:r>
        <w:rPr>
          <w:rFonts w:ascii="Calibri" w:hAnsi="Calibri"/>
          <w:color w:val="5F6B78"/>
          <w:sz w:val="17"/>
        </w:rPr>
        <w:t>. Phys. Rev. D. https://arxiv.org/abs/1710.04669</w:t>
      </w:r>
    </w:p>
    <w:p>
      <w:pPr>
        <w:keepLines/>
        <w:spacing w:after="40" w:line="252" w:lineRule="auto"/>
        <w:ind w:left="403" w:hanging="403"/>
      </w:pPr>
      <w:r>
        <w:rPr>
          <w:rFonts w:ascii="Calibri" w:hAnsi="Calibri"/>
          <w:color w:val="000000"/>
          <w:sz w:val="17"/>
        </w:rPr>
        <w:t xml:space="preserve">33. I. Oda. </w:t>
      </w:r>
      <w:r>
        <w:rPr>
          <w:rFonts w:ascii="Calibri" w:hAnsi="Calibri"/>
          <w:i/>
          <w:color w:val="000000"/>
          <w:sz w:val="17"/>
        </w:rPr>
        <w:t>Weinberg’s No Go Theorem in Quantum Gravity</w:t>
      </w:r>
      <w:r>
        <w:rPr>
          <w:rFonts w:ascii="Calibri" w:hAnsi="Calibri"/>
          <w:color w:val="5F6B78"/>
          <w:sz w:val="17"/>
        </w:rPr>
        <w:t>. Phys. Rev. D. https://arxiv.org/abs/1706.05804</w:t>
      </w:r>
    </w:p>
    <w:p>
      <w:pPr>
        <w:keepLines/>
        <w:spacing w:after="40" w:line="252" w:lineRule="auto"/>
        <w:ind w:left="403" w:hanging="403"/>
      </w:pPr>
      <w:r>
        <w:rPr>
          <w:rFonts w:ascii="Calibri" w:hAnsi="Calibri"/>
          <w:color w:val="000000"/>
          <w:sz w:val="17"/>
        </w:rPr>
        <w:t xml:space="preserve">34. LIGO/Virgo/Fermi/INTEGRAL. </w:t>
      </w:r>
      <w:r>
        <w:rPr>
          <w:rFonts w:ascii="Calibri" w:hAnsi="Calibri"/>
          <w:i/>
          <w:color w:val="000000"/>
          <w:sz w:val="17"/>
        </w:rPr>
        <w:t>Gravitational Waves and Gamma-rays from GW170817/GRB 170817A</w:t>
      </w:r>
      <w:r>
        <w:rPr>
          <w:rFonts w:ascii="Calibri" w:hAnsi="Calibri"/>
          <w:color w:val="5F6B78"/>
          <w:sz w:val="17"/>
        </w:rPr>
        <w:t>. Astrophys. J. Lett.. https://arxiv.org/abs/1710.05834</w:t>
      </w:r>
    </w:p>
    <w:p>
      <w:pPr>
        <w:keepLines/>
        <w:spacing w:after="40" w:line="252" w:lineRule="auto"/>
        <w:ind w:left="403" w:hanging="403"/>
      </w:pPr>
      <w:r>
        <w:rPr>
          <w:rFonts w:ascii="Calibri" w:hAnsi="Calibri"/>
          <w:color w:val="000000"/>
          <w:sz w:val="17"/>
        </w:rPr>
        <w:t xml:space="preserve">35. Super-Kamiokande Collaboration. </w:t>
      </w:r>
      <w:r>
        <w:rPr>
          <w:rFonts w:ascii="Calibri" w:hAnsi="Calibri"/>
          <w:i/>
          <w:color w:val="000000"/>
          <w:sz w:val="17"/>
        </w:rPr>
        <w:t>Search for proton decay via p→e+π0 and p→μ+π0</w:t>
      </w:r>
      <w:r>
        <w:rPr>
          <w:rFonts w:ascii="Calibri" w:hAnsi="Calibri"/>
          <w:color w:val="5F6B78"/>
          <w:sz w:val="17"/>
        </w:rPr>
        <w:t>. Phys. Rev. D. https://arxiv.org/abs/2010.16098</w:t>
      </w:r>
    </w:p>
    <w:p>
      <w:pPr>
        <w:pStyle w:val="Heading2"/>
        <w:keepNext/>
      </w:pPr>
      <w:r>
        <w:t>E. Conclusion formelle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Porte réellement fermée dans cette passe. </w:t>
            </w:r>
            <w:r>
              <w:rPr>
                <w:rFonts w:ascii="Calibri" w:hAnsi="Calibri"/>
                <w:color w:val="1F5E46"/>
                <w:sz w:val="22"/>
              </w:rPr>
              <w:t>Il n’existe plus d’ambiguïté sur ce qu’est la candidature : β1.1 définit un système quantique régularisé complet, positif et local au cutoff, avec un secteur unifié de jauge chiral et une liste finie de décisions explicites. Les sept portes disposent chacune d’une attaque et d’un veto.</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Frontière non négociable. </w:t>
            </w:r>
            <w:r>
              <w:rPr>
                <w:rFonts w:ascii="Calibri" w:hAnsi="Calibri"/>
                <w:color w:val="7A5A00"/>
                <w:sz w:val="22"/>
              </w:rPr>
              <w:t>Une ToE au sens physique exige encore les prémisses U0–U6. Les appeler « fermées » avant continuum, spectre, cosmologie et réplication détruirait précisément la rigueur gagnée. La campagne doit désormais avancer sur le vecteur commun (Mosco/OS, TT, chiralité, RG mixte, cosmologie, prédiction), sans reporter une porte à une future reformulation.</w:t>
            </w:r>
          </w:p>
        </w:tc>
      </w:tr>
    </w:tbl>
    <w:p>
      <w:pPr>
        <w:keepLines w:val="0"/>
        <w:spacing w:before="0" w:after="40" w:line="264" w:lineRule="auto"/>
        <w:jc w:val="left"/>
      </w:pPr>
      <w:r>
        <w:rPr>
          <w:rFonts w:ascii="Calibri" w:hAnsi="Calibri"/>
          <w:b w:val="0"/>
          <w:i w:val="0"/>
          <w:color w:val="000000"/>
          <w:sz w:val="22"/>
        </w:rPr>
      </w:r>
    </w:p>
    <w:p>
      <w:pPr>
        <w:keepLines w:val="0"/>
        <w:spacing w:before="120" w:after="0" w:line="264" w:lineRule="auto"/>
        <w:jc w:val="left"/>
      </w:pPr>
      <w:r>
        <w:rPr>
          <w:rFonts w:ascii="Calibri" w:hAnsi="Calibri"/>
          <w:b/>
          <w:i w:val="0"/>
          <w:color w:val="0B2545"/>
          <w:sz w:val="22"/>
        </w:rPr>
        <w:t>Le Blob n’est donc plus seulement une intuition, ni encore une théorie du tout validée. Il est, à l’issue de cette passe, une candidature mathématique auditée dont l’échec ou le succès peut être décidé sans changer les règles.</w:t>
      </w:r>
    </w:p>
    <w:sectPr w:rsidR="00FC693F" w:rsidRPr="0006063C" w:rsidSect="00034616">
      <w:headerReference w:type="default" r:id="rId11"/>
      <w:footerReference w:type="default" r:id="rId12"/>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8"/>
        <w:sz w:val="16"/>
      </w:rPr>
      <w:t>BLOB PRINCIPLE / M2-W   |   AUDIT INTÉGRAL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8"/>
        <w:sz w:val="16"/>
      </w:rPr>
      <w:t>BLOB PRINCIPLE / M2-W   |   REGISTRE DE PREUVES ET PORTES G0–G6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BLOB–TOE β1.1 — passe unique intégrale des sept portes</dc:title>
  <dc:subject>Spécification mathématique candidate, preuves au cutoff et attaque commune G0–G6</dc:subject>
  <dc:creator>Rudolphe M. — programme Blob; Sentius — audit et formalisation</dc:creator>
  <cp:keywords>Blob Principle, M2-W, quantum gravity, Spin(10), transfer matrix, Hořava, chiral gauge theory, Theory of Everything</cp:keywords>
  <dc:description>Design preset: standard_business_brief; header template: editorial_cover.</dc:description>
  <cp:lastModifiedBy/>
  <cp:revision>1</cp:revision>
  <dcterms:created xsi:type="dcterms:W3CDTF">2013-12-23T23:15:00Z</dcterms:created>
  <dcterms:modified xsi:type="dcterms:W3CDTF">2013-12-23T23:15:00Z</dcterms:modified>
  <cp:category/>
</cp:coreProperties>
</file>