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720" w:line="300" w:lineRule="auto"/>
        <w:jc w:val="left"/>
      </w:pPr>
      <w:r>
        <w:rPr>
          <w:rFonts w:ascii="Calibri" w:hAnsi="Calibri"/>
          <w:b w:val="0"/>
          <w:i w:val="0"/>
          <w:color w:val="000000"/>
          <w:sz w:val="22"/>
        </w:rPr>
      </w:r>
    </w:p>
    <w:p>
      <w:pPr>
        <w:keepLines w:val="0"/>
        <w:spacing w:before="0" w:after="360" w:line="300" w:lineRule="auto"/>
        <w:jc w:val="center"/>
      </w:pPr>
      <w:r>
        <w:rPr>
          <w:rFonts w:ascii="Calibri" w:hAnsi="Calibri"/>
          <w:b/>
          <w:i w:val="0"/>
          <w:color w:val="2E74B5"/>
          <w:sz w:val="20"/>
        </w:rPr>
        <w:t>PASSE DE RIGUEUR MAXIMALE • G0–G6</w:t>
      </w:r>
    </w:p>
    <w:p>
      <w:pPr>
        <w:keepLines/>
        <w:spacing w:before="0" w:after="160" w:line="300" w:lineRule="auto"/>
        <w:jc w:val="center"/>
      </w:pPr>
      <w:r>
        <w:rPr>
          <w:rFonts w:ascii="Calibri" w:hAnsi="Calibri"/>
          <w:b/>
          <w:i w:val="0"/>
          <w:color w:val="0B2545"/>
          <w:sz w:val="60"/>
        </w:rPr>
        <w:t>BLOB–TOE V317–RIGOR</w:t>
      </w:r>
    </w:p>
    <w:p>
      <w:pPr>
        <w:keepLines/>
        <w:spacing w:before="0" w:after="560" w:line="300" w:lineRule="auto"/>
        <w:jc w:val="center"/>
      </w:pPr>
      <w:r>
        <w:rPr>
          <w:rFonts w:ascii="Calibri" w:hAnsi="Calibri"/>
          <w:b/>
          <w:i w:val="0"/>
          <w:color w:val="1F4D78"/>
          <w:sz w:val="29"/>
        </w:rPr>
        <w:t>RG opératoriel de Feshbach–Schur, preuve assistée de point fixe,</w:t>
        <w:br/>
        <w:t>continuum OS/RAQ et programme complet des sept portes</w:t>
      </w:r>
    </w:p>
    <w:p>
      <w:pPr>
        <w:keepLines w:val="0"/>
        <w:spacing w:before="0" w:after="960" w:line="300" w:lineRule="auto"/>
        <w:jc w:val="center"/>
      </w:pPr>
      <w:r>
        <w:rPr>
          <w:rFonts w:ascii="Calibri" w:hAnsi="Calibri"/>
          <w:b w:val="0"/>
          <w:i/>
          <w:color w:val="5F6B78"/>
          <w:sz w:val="21"/>
        </w:rPr>
        <w:t>Dossier de recherche contradictoire — théorèmes, conditions, réfutations et protocole exécutable</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cantSplit/>
          <w:tblHeader w:val="true"/>
        </w:trPr>
        <w:tc>
          <w:tcPr>
            <w:tcW w:type="dxa" w:w="3120"/>
            <w:tcMar>
              <w:top w:w="80" w:type="dxa"/>
              <w:start w:w="120" w:type="dxa"/>
              <w:bottom w:w="80" w:type="dxa"/>
              <w:end w:w="120" w:type="dxa"/>
            </w:tcMar>
            <w:vAlign w:val="center"/>
            <w:shd w:fill="E8EEF5"/>
          </w:tcPr>
          <w:p>
            <w:pPr>
              <w:spacing w:after="0" w:line="240" w:lineRule="auto"/>
            </w:pPr>
            <w:r>
              <w:rPr>
                <w:rFonts w:ascii="Calibri" w:hAnsi="Calibri"/>
                <w:b/>
                <w:color w:val="0B2545"/>
                <w:sz w:val="18"/>
              </w:rPr>
              <w:t>7 / 7</w:t>
            </w:r>
          </w:p>
        </w:tc>
        <w:tc>
          <w:tcPr>
            <w:tcW w:type="dxa" w:w="3120"/>
            <w:tcMar>
              <w:top w:w="80" w:type="dxa"/>
              <w:start w:w="120" w:type="dxa"/>
              <w:bottom w:w="80" w:type="dxa"/>
              <w:end w:w="120" w:type="dxa"/>
            </w:tcMar>
            <w:vAlign w:val="center"/>
            <w:shd w:fill="E8EEF5"/>
          </w:tcPr>
          <w:p>
            <w:pPr>
              <w:spacing w:after="0" w:line="240" w:lineRule="auto"/>
            </w:pPr>
            <w:r>
              <w:rPr>
                <w:rFonts w:ascii="Calibri" w:hAnsi="Calibri"/>
                <w:b/>
                <w:color w:val="0B2545"/>
                <w:sz w:val="18"/>
              </w:rPr>
              <w:t>11</w:t>
            </w:r>
          </w:p>
        </w:tc>
        <w:tc>
          <w:tcPr>
            <w:tcW w:type="dxa" w:w="3120"/>
            <w:tcMar>
              <w:top w:w="80" w:type="dxa"/>
              <w:start w:w="120" w:type="dxa"/>
              <w:bottom w:w="80" w:type="dxa"/>
              <w:end w:w="120" w:type="dxa"/>
            </w:tcMar>
            <w:vAlign w:val="center"/>
            <w:shd w:fill="E8EEF5"/>
          </w:tcPr>
          <w:p>
            <w:pPr>
              <w:spacing w:after="0" w:line="240" w:lineRule="auto"/>
            </w:pPr>
            <w:r>
              <w:rPr>
                <w:rFonts w:ascii="Calibri" w:hAnsi="Calibri"/>
                <w:b/>
                <w:color w:val="0B2545"/>
                <w:sz w:val="18"/>
              </w:rPr>
              <w:t>0 / 7</w:t>
            </w:r>
          </w:p>
        </w:tc>
      </w:tr>
      <w:tr>
        <w:trPr>
          <w:cantSplit/>
        </w:trPr>
        <w:tc>
          <w:tcPr>
            <w:tcW w:type="dxa" w:w="3120"/>
            <w:vAlign w:val="center"/>
          </w:tcPr>
          <w:p>
            <w:pPr>
              <w:spacing w:after="0" w:line="245" w:lineRule="auto"/>
            </w:pPr>
            <w:r>
              <w:rPr>
                <w:rFonts w:ascii="Calibri" w:hAnsi="Calibri"/>
                <w:color w:val="000000"/>
                <w:sz w:val="18"/>
              </w:rPr>
              <w:t>portes dotées d’un certificat de fermeture explicite</w:t>
            </w:r>
          </w:p>
        </w:tc>
        <w:tc>
          <w:tcPr>
            <w:tcW w:type="dxa" w:w="3120"/>
            <w:vAlign w:val="center"/>
          </w:tcPr>
          <w:p>
            <w:pPr>
              <w:spacing w:after="0" w:line="245" w:lineRule="auto"/>
            </w:pPr>
            <w:r>
              <w:rPr>
                <w:rFonts w:ascii="Calibri" w:hAnsi="Calibri"/>
                <w:color w:val="000000"/>
                <w:sz w:val="18"/>
              </w:rPr>
              <w:t>contrôles structuraux exécutables ajoutés</w:t>
            </w:r>
          </w:p>
        </w:tc>
        <w:tc>
          <w:tcPr>
            <w:tcW w:type="dxa" w:w="3120"/>
            <w:vAlign w:val="center"/>
          </w:tcPr>
          <w:p>
            <w:pPr>
              <w:spacing w:after="0" w:line="245" w:lineRule="auto"/>
            </w:pPr>
            <w:r>
              <w:rPr>
                <w:rFonts w:ascii="Calibri" w:hAnsi="Calibri"/>
                <w:color w:val="000000"/>
                <w:sz w:val="18"/>
              </w:rPr>
              <w:t>portes physiques validées à ce jour</w:t>
            </w:r>
          </w:p>
        </w:tc>
      </w:tr>
    </w:tbl>
    <w:p>
      <w:pPr>
        <w:keepLines w:val="0"/>
        <w:spacing w:before="0" w:after="16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de vérité. </w:t>
            </w:r>
            <w:r>
              <w:rPr>
                <w:rFonts w:ascii="Calibri" w:hAnsi="Calibri"/>
                <w:color w:val="7A5A00"/>
                <w:sz w:val="22"/>
              </w:rPr>
              <w:t>Cette passe renforce fortement la candidature et ferme plusieurs sous-portes mathématiques. Elle ne transforme pas des hypothèses en résultats physiques : aucun point fixe BLOB, continuum quatre-dimensionnel, graviton, spectre du Modèle standard, valeur de Λ ni prédiction aveugle n’est démontré. Le score physique reste donc 0/7.</w:t>
            </w:r>
          </w:p>
        </w:tc>
      </w:tr>
    </w:tbl>
    <w:p>
      <w:pPr>
        <w:keepLines w:val="0"/>
        <w:spacing w:before="0" w:after="40" w:line="264" w:lineRule="auto"/>
        <w:jc w:val="left"/>
      </w:pPr>
      <w:r>
        <w:rPr>
          <w:rFonts w:ascii="Calibri" w:hAnsi="Calibri"/>
          <w:b w:val="0"/>
          <w:i w:val="0"/>
          <w:color w:val="000000"/>
          <w:sz w:val="22"/>
        </w:rPr>
      </w:r>
    </w:p>
    <w:p>
      <w:pPr>
        <w:keepLines w:val="0"/>
        <w:spacing w:before="0" w:after="60" w:line="300" w:lineRule="auto"/>
        <w:jc w:val="center"/>
      </w:pPr>
      <w:r>
        <w:rPr>
          <w:rFonts w:ascii="Calibri" w:hAnsi="Calibri"/>
          <w:b w:val="0"/>
          <w:i w:val="0"/>
          <w:color w:val="5F6B78"/>
          <w:sz w:val="18"/>
        </w:rPr>
        <w:t>Programme : Rudolphe Mirante • Formalisation, audit et certificats : Sentius</w:t>
      </w:r>
    </w:p>
    <w:p>
      <w:pPr>
        <w:keepLines w:val="0"/>
        <w:spacing w:before="0" w:after="0" w:line="300" w:lineRule="auto"/>
        <w:jc w:val="center"/>
      </w:pPr>
      <w:r>
        <w:rPr>
          <w:rFonts w:ascii="Calibri" w:hAnsi="Calibri"/>
          <w:b w:val="0"/>
          <w:i w:val="0"/>
          <w:color w:val="5F6B78"/>
          <w:sz w:val="18"/>
        </w:rPr>
        <w:t>29 juillet 2026 • Europe/Paris</w:t>
      </w:r>
    </w:p>
    <w:p>
      <w:pPr>
        <w:sectPr>
          <w:headerReference w:type="default" r:id="rId9"/>
          <w:footerReference w:type="default" r:id="rId10"/>
          <w:pgSz w:w="12240" w:h="15840"/>
          <w:pgMar w:top="1440" w:right="1440" w:bottom="1440" w:left="1440" w:header="605" w:footer="605" w:gutter="0"/>
          <w:cols w:space="720"/>
          <w:docGrid w:linePitch="360"/>
        </w:sectPr>
      </w:pPr>
    </w:p>
    <w:p>
      <w:pPr>
        <w:pStyle w:val="Heading1"/>
        <w:keepNext/>
      </w:pPr>
      <w:r>
        <w:t>Synthèse exécutable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Résultat principal. </w:t>
            </w:r>
            <w:r>
              <w:rPr>
                <w:rFonts w:ascii="Calibri" w:hAnsi="Calibri"/>
                <w:color w:val="0B2545"/>
                <w:sz w:val="22"/>
              </w:rPr>
              <w:t>Le dossier est réorganisé autour de quatre objets distincts : théorie au cutoff, flot RG dans un espace complet d’interactions, reconstruction continuum OS/RAQ, puis théorie physique GR+SM. La voie centrale devient un RG isospectral de Feshbach–Schur, contrôlé par une preuve assistée par ordinateur dans un espace de Banach avec queues rigoureuses. C’est le premier domino susceptible de convertir une recherche de pic en théorème de point fixe.</w:t>
            </w:r>
          </w:p>
        </w:tc>
      </w:tr>
    </w:tbl>
    <w:p>
      <w:pPr>
        <w:keepLines w:val="0"/>
        <w:spacing w:before="0" w:after="40" w:line="264" w:lineRule="auto"/>
        <w:jc w:val="left"/>
      </w:pPr>
      <w:r>
        <w:rPr>
          <w:rFonts w:ascii="Calibri" w:hAnsi="Calibri"/>
          <w:b w:val="0"/>
          <w:i w:val="0"/>
          <w:color w:val="000000"/>
          <w:sz w:val="22"/>
        </w:rPr>
      </w:r>
    </w:p>
    <w:p>
      <w:pPr>
        <w:pStyle w:val="Heading2"/>
        <w:keepNext/>
      </w:pPr>
      <w:r>
        <w:t>Ce qui est effectivement gagné</w:t>
      </w:r>
    </w:p>
    <w:p>
      <w:pPr>
        <w:pStyle w:val="ListBullet"/>
        <w:spacing w:after="80" w:line="300" w:lineRule="auto"/>
      </w:pPr>
      <w:r>
        <w:rPr>
          <w:rFonts w:ascii="Calibri" w:hAnsi="Calibri"/>
          <w:color w:val="000000"/>
          <w:sz w:val="22"/>
        </w:rPr>
        <w:t>Le FAIL edge-only ne peut plus être extrapolé au plein espace de Wilson : un contre-exemple polynomial exact l’interdit.</w:t>
      </w:r>
    </w:p>
    <w:p>
      <w:pPr>
        <w:pStyle w:val="ListBullet"/>
        <w:spacing w:after="80" w:line="300" w:lineRule="auto"/>
      </w:pPr>
      <w:r>
        <w:rPr>
          <w:rFonts w:ascii="Calibri" w:hAnsi="Calibri"/>
          <w:color w:val="000000"/>
          <w:sz w:val="22"/>
        </w:rPr>
        <w:t>La normalisation auxiliaire sur toutes les gluages de N tétraèdres reçoit une borne améliorée en 2N log N + O(N), indépendante de DM3.</w:t>
      </w:r>
    </w:p>
    <w:p>
      <w:pPr>
        <w:pStyle w:val="ListBullet"/>
        <w:spacing w:after="80" w:line="300" w:lineRule="auto"/>
      </w:pPr>
      <w:r>
        <w:rPr>
          <w:rFonts w:ascii="Calibri" w:hAnsi="Calibri"/>
          <w:color w:val="000000"/>
          <w:sz w:val="22"/>
        </w:rPr>
        <w:t>La réduction de Feshbach–Schur préserve exactement noyau, positivité et symétries sous des hypothèses écrites.</w:t>
      </w:r>
    </w:p>
    <w:p>
      <w:pPr>
        <w:pStyle w:val="ListBullet"/>
        <w:spacing w:after="80" w:line="300" w:lineRule="auto"/>
      </w:pPr>
      <w:r>
        <w:rPr>
          <w:rFonts w:ascii="Calibri" w:hAnsi="Calibri"/>
          <w:color w:val="000000"/>
          <w:sz w:val="22"/>
        </w:rPr>
        <w:t>La localité du Schur est séparée en deux énoncés : densification générique [FAIL], décroissance exponentielle sous contraction du résolvant [T-C].</w:t>
      </w:r>
    </w:p>
    <w:p>
      <w:pPr>
        <w:pStyle w:val="ListBullet"/>
        <w:spacing w:after="80" w:line="300" w:lineRule="auto"/>
      </w:pPr>
      <w:r>
        <w:rPr>
          <w:rFonts w:ascii="Calibri" w:hAnsi="Calibri"/>
          <w:color w:val="000000"/>
          <w:sz w:val="22"/>
        </w:rPr>
        <w:t>Un certificat de type rayons-polynômes donne une condition finie et vérifiable d’existence, unicité et isolement d’un point fixe.</w:t>
      </w:r>
    </w:p>
    <w:p>
      <w:pPr>
        <w:pStyle w:val="ListBullet"/>
        <w:spacing w:after="80" w:line="300" w:lineRule="auto"/>
      </w:pPr>
      <w:r>
        <w:rPr>
          <w:rFonts w:ascii="Calibri" w:hAnsi="Calibri"/>
          <w:color w:val="000000"/>
          <w:sz w:val="22"/>
        </w:rPr>
        <w:t>La branche canonique à volume fixé est exactement insensible à une énergie du vide additive; la valeur absolue de Λ reste indéterminée.</w:t>
      </w:r>
    </w:p>
    <w:p>
      <w:pPr>
        <w:pStyle w:val="ListBullet"/>
        <w:spacing w:after="80" w:line="300" w:lineRule="auto"/>
      </w:pPr>
      <w:r>
        <w:rPr>
          <w:rFonts w:ascii="Calibri" w:hAnsi="Calibri"/>
          <w:color w:val="000000"/>
          <w:sz w:val="22"/>
        </w:rPr>
        <w:t>Les sept portes disposent désormais d’une chaîne preuve → observable → seuil PASS → critère de mort, sans saut sémantique.</w:t>
      </w:r>
    </w:p>
    <w:p>
      <w:pPr>
        <w:pStyle w:val="Heading2"/>
        <w:keepNext/>
      </w:pPr>
      <w:r>
        <w:t>Ce qui n’est pas gagné</w:t>
      </w:r>
    </w:p>
    <w:tbl>
      <w:tblPr>
        <w:tblStyle w:val="TableGrid"/>
        <w:tblW w:type="dxa" w:w="9360"/>
        <w:tblLayout w:type="fixed"/>
        <w:tblLook w:firstColumn="1" w:firstRow="1" w:lastColumn="0" w:lastRow="0" w:noHBand="0" w:noVBand="1" w:val="04A0"/>
        <w:jc w:val="left"/>
        <w:tblInd w:w="120" w:type="dxa"/>
      </w:tblPr>
      <w:tblGrid>
        <w:gridCol w:w="1700"/>
        <w:gridCol w:w="3800"/>
        <w:gridCol w:w="3860"/>
      </w:tblGrid>
      <w:tr>
        <w:trPr>
          <w:tblHeader w:val="true"/>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0B2545"/>
                <w:sz w:val="16"/>
              </w:rPr>
              <w:t>Objet</w:t>
            </w:r>
          </w:p>
        </w:tc>
        <w:tc>
          <w:tcPr>
            <w:tcW w:type="dxa" w:w="3800"/>
            <w:tcMar>
              <w:top w:w="80" w:type="dxa"/>
              <w:start w:w="120" w:type="dxa"/>
              <w:bottom w:w="80" w:type="dxa"/>
              <w:end w:w="120" w:type="dxa"/>
            </w:tcMar>
            <w:vAlign w:val="center"/>
            <w:shd w:fill="E8EEF5"/>
          </w:tcPr>
          <w:p>
            <w:pPr>
              <w:spacing w:after="0" w:line="240" w:lineRule="auto"/>
            </w:pPr>
            <w:r>
              <w:rPr>
                <w:rFonts w:ascii="Calibri" w:hAnsi="Calibri"/>
                <w:b/>
                <w:color w:val="0B2545"/>
                <w:sz w:val="16"/>
              </w:rPr>
              <w:t>Pourquoi il reste ouvert</w:t>
            </w:r>
          </w:p>
        </w:tc>
        <w:tc>
          <w:tcPr>
            <w:tcW w:type="dxa" w:w="3860"/>
            <w:tcMar>
              <w:top w:w="80" w:type="dxa"/>
              <w:start w:w="120" w:type="dxa"/>
              <w:bottom w:w="80" w:type="dxa"/>
              <w:end w:w="120" w:type="dxa"/>
            </w:tcMar>
            <w:vAlign w:val="center"/>
            <w:shd w:fill="E8EEF5"/>
          </w:tcPr>
          <w:p>
            <w:pPr>
              <w:spacing w:after="0" w:line="240" w:lineRule="auto"/>
            </w:pPr>
            <w:r>
              <w:rPr>
                <w:rFonts w:ascii="Calibri" w:hAnsi="Calibri"/>
                <w:b/>
                <w:color w:val="0B2545"/>
                <w:sz w:val="16"/>
              </w:rPr>
              <w:t>Preuve exigée</w:t>
            </w:r>
          </w:p>
        </w:tc>
      </w:tr>
      <w:tr>
        <w:trPr>
          <w:cantSplit/>
        </w:trPr>
        <w:tc>
          <w:tcPr>
            <w:tcW w:type="dxa" w:w="1700"/>
            <w:vAlign w:val="center"/>
          </w:tcPr>
          <w:p>
            <w:pPr>
              <w:spacing w:after="0" w:line="245" w:lineRule="auto"/>
            </w:pPr>
            <w:r>
              <w:rPr>
                <w:rFonts w:ascii="Calibri" w:hAnsi="Calibri"/>
                <w:color w:val="000000"/>
                <w:sz w:val="16"/>
              </w:rPr>
              <w:t>Point fixe BLOB</w:t>
            </w:r>
          </w:p>
        </w:tc>
        <w:tc>
          <w:tcPr>
            <w:tcW w:type="dxa" w:w="3800"/>
            <w:vAlign w:val="center"/>
          </w:tcPr>
          <w:p>
            <w:pPr>
              <w:spacing w:after="0" w:line="245" w:lineRule="auto"/>
            </w:pPr>
            <w:r>
              <w:rPr>
                <w:rFonts w:ascii="Calibri" w:hAnsi="Calibri"/>
                <w:color w:val="000000"/>
                <w:sz w:val="16"/>
              </w:rPr>
              <w:t>Aucune borne CAP sur le vrai opérateur RG.</w:t>
            </w:r>
          </w:p>
        </w:tc>
        <w:tc>
          <w:tcPr>
            <w:tcW w:type="dxa" w:w="3860"/>
            <w:vAlign w:val="center"/>
          </w:tcPr>
          <w:p>
            <w:pPr>
              <w:spacing w:after="0" w:line="245" w:lineRule="auto"/>
            </w:pPr>
            <w:r>
              <w:rPr>
                <w:rFonts w:ascii="Calibri" w:hAnsi="Calibri"/>
                <w:color w:val="000000"/>
                <w:sz w:val="16"/>
              </w:rPr>
              <w:t>Boule certifiée, queues et spectre de DR.</w:t>
            </w:r>
          </w:p>
        </w:tc>
      </w:tr>
      <w:tr>
        <w:trPr>
          <w:cantSplit/>
        </w:trPr>
        <w:tc>
          <w:tcPr>
            <w:tcW w:type="dxa" w:w="1700"/>
            <w:vAlign w:val="center"/>
          </w:tcPr>
          <w:p>
            <w:pPr>
              <w:spacing w:after="0" w:line="245" w:lineRule="auto"/>
            </w:pPr>
            <w:r>
              <w:rPr>
                <w:rFonts w:ascii="Calibri" w:hAnsi="Calibri"/>
                <w:color w:val="000000"/>
                <w:sz w:val="16"/>
              </w:rPr>
              <w:t>Continuum Lorentzien</w:t>
            </w:r>
          </w:p>
        </w:tc>
        <w:tc>
          <w:tcPr>
            <w:tcW w:type="dxa" w:w="3800"/>
            <w:vAlign w:val="center"/>
          </w:tcPr>
          <w:p>
            <w:pPr>
              <w:spacing w:after="0" w:line="245" w:lineRule="auto"/>
            </w:pPr>
            <w:r>
              <w:rPr>
                <w:rFonts w:ascii="Calibri" w:hAnsi="Calibri"/>
                <w:color w:val="000000"/>
                <w:sz w:val="16"/>
              </w:rPr>
              <w:t>RP au cutoff ne suffit pas.</w:t>
            </w:r>
          </w:p>
        </w:tc>
        <w:tc>
          <w:tcPr>
            <w:tcW w:type="dxa" w:w="3860"/>
            <w:vAlign w:val="center"/>
          </w:tcPr>
          <w:p>
            <w:pPr>
              <w:spacing w:after="0" w:line="245" w:lineRule="auto"/>
            </w:pPr>
            <w:r>
              <w:rPr>
                <w:rFonts w:ascii="Calibri" w:hAnsi="Calibri"/>
                <w:color w:val="000000"/>
                <w:sz w:val="16"/>
              </w:rPr>
              <w:t>Limites de Schwinger OS0–OS5 ou voie RAQ, z→1.</w:t>
            </w:r>
          </w:p>
        </w:tc>
      </w:tr>
      <w:tr>
        <w:trPr>
          <w:cantSplit/>
        </w:trPr>
        <w:tc>
          <w:tcPr>
            <w:tcW w:type="dxa" w:w="1700"/>
            <w:vAlign w:val="center"/>
          </w:tcPr>
          <w:p>
            <w:pPr>
              <w:spacing w:after="0" w:line="245" w:lineRule="auto"/>
            </w:pPr>
            <w:r>
              <w:rPr>
                <w:rFonts w:ascii="Calibri" w:hAnsi="Calibri"/>
                <w:color w:val="000000"/>
                <w:sz w:val="16"/>
              </w:rPr>
              <w:t>Graviton</w:t>
            </w:r>
          </w:p>
        </w:tc>
        <w:tc>
          <w:tcPr>
            <w:tcW w:type="dxa" w:w="3800"/>
            <w:vAlign w:val="center"/>
          </w:tcPr>
          <w:p>
            <w:pPr>
              <w:spacing w:after="0" w:line="245" w:lineRule="auto"/>
            </w:pPr>
            <w:r>
              <w:rPr>
                <w:rFonts w:ascii="Calibri" w:hAnsi="Calibri"/>
                <w:color w:val="000000"/>
                <w:sz w:val="16"/>
              </w:rPr>
              <w:t>Un plateau TT fini n’est pas un pôle.</w:t>
            </w:r>
          </w:p>
        </w:tc>
        <w:tc>
          <w:tcPr>
            <w:tcW w:type="dxa" w:w="3860"/>
            <w:vAlign w:val="center"/>
          </w:tcPr>
          <w:p>
            <w:pPr>
              <w:spacing w:after="0" w:line="245" w:lineRule="auto"/>
            </w:pPr>
            <w:r>
              <w:rPr>
                <w:rFonts w:ascii="Calibri" w:hAnsi="Calibri"/>
                <w:color w:val="000000"/>
                <w:sz w:val="16"/>
              </w:rPr>
              <w:t>Pôle positif sans masse, deux hélicités, couplage universel.</w:t>
            </w:r>
          </w:p>
        </w:tc>
      </w:tr>
      <w:tr>
        <w:trPr>
          <w:cantSplit/>
        </w:trPr>
        <w:tc>
          <w:tcPr>
            <w:tcW w:type="dxa" w:w="1700"/>
            <w:vAlign w:val="center"/>
          </w:tcPr>
          <w:p>
            <w:pPr>
              <w:spacing w:after="0" w:line="245" w:lineRule="auto"/>
            </w:pPr>
            <w:r>
              <w:rPr>
                <w:rFonts w:ascii="Calibri" w:hAnsi="Calibri"/>
                <w:color w:val="000000"/>
                <w:sz w:val="16"/>
              </w:rPr>
              <w:t>Modèle standard</w:t>
            </w:r>
          </w:p>
        </w:tc>
        <w:tc>
          <w:tcPr>
            <w:tcW w:type="dxa" w:w="3800"/>
            <w:vAlign w:val="center"/>
          </w:tcPr>
          <w:p>
            <w:pPr>
              <w:spacing w:after="0" w:line="245" w:lineRule="auto"/>
            </w:pPr>
            <w:r>
              <w:rPr>
                <w:rFonts w:ascii="Calibri" w:hAnsi="Calibri"/>
                <w:color w:val="000000"/>
                <w:sz w:val="16"/>
              </w:rPr>
              <w:t>Spin(10) et anomalies ne construisent pas le régulateur chiral.</w:t>
            </w:r>
          </w:p>
        </w:tc>
        <w:tc>
          <w:tcPr>
            <w:tcW w:type="dxa" w:w="3860"/>
            <w:vAlign w:val="center"/>
          </w:tcPr>
          <w:p>
            <w:pPr>
              <w:spacing w:after="0" w:line="245" w:lineRule="auto"/>
            </w:pPr>
            <w:r>
              <w:rPr>
                <w:rFonts w:ascii="Calibri" w:hAnsi="Calibri"/>
                <w:color w:val="000000"/>
                <w:sz w:val="16"/>
              </w:rPr>
              <w:t>GW/localité/mesure/miroir/gauging puis spectre.</w:t>
            </w:r>
          </w:p>
        </w:tc>
      </w:tr>
      <w:tr>
        <w:trPr>
          <w:cantSplit/>
        </w:trPr>
        <w:tc>
          <w:tcPr>
            <w:tcW w:type="dxa" w:w="1700"/>
            <w:vAlign w:val="center"/>
          </w:tcPr>
          <w:p>
            <w:pPr>
              <w:spacing w:after="0" w:line="245" w:lineRule="auto"/>
            </w:pPr>
            <w:r>
              <w:rPr>
                <w:rFonts w:ascii="Calibri" w:hAnsi="Calibri"/>
                <w:color w:val="000000"/>
                <w:sz w:val="16"/>
              </w:rPr>
              <w:t>Λ observée</w:t>
            </w:r>
          </w:p>
        </w:tc>
        <w:tc>
          <w:tcPr>
            <w:tcW w:type="dxa" w:w="3800"/>
            <w:vAlign w:val="center"/>
          </w:tcPr>
          <w:p>
            <w:pPr>
              <w:spacing w:after="0" w:line="245" w:lineRule="auto"/>
            </w:pPr>
            <w:r>
              <w:rPr>
                <w:rFonts w:ascii="Calibri" w:hAnsi="Calibri"/>
                <w:color w:val="000000"/>
                <w:sz w:val="16"/>
              </w:rPr>
              <w:t>Le volume fixe supprime seulement les décalages additifs.</w:t>
            </w:r>
          </w:p>
        </w:tc>
        <w:tc>
          <w:tcPr>
            <w:tcW w:type="dxa" w:w="3860"/>
            <w:vAlign w:val="center"/>
          </w:tcPr>
          <w:p>
            <w:pPr>
              <w:spacing w:after="0" w:line="245" w:lineRule="auto"/>
            </w:pPr>
            <w:r>
              <w:rPr>
                <w:rFonts w:ascii="Calibri" w:hAnsi="Calibri"/>
                <w:color w:val="000000"/>
                <w:sz w:val="16"/>
              </w:rPr>
              <w:t>Valeur absolue et cosmologie dérivées sans ajustement.</w:t>
            </w:r>
          </w:p>
        </w:tc>
      </w:tr>
      <w:tr>
        <w:trPr>
          <w:cantSplit/>
        </w:trPr>
        <w:tc>
          <w:tcPr>
            <w:tcW w:type="dxa" w:w="1700"/>
            <w:vAlign w:val="center"/>
          </w:tcPr>
          <w:p>
            <w:pPr>
              <w:spacing w:after="0" w:line="245" w:lineRule="auto"/>
            </w:pPr>
            <w:r>
              <w:rPr>
                <w:rFonts w:ascii="Calibri" w:hAnsi="Calibri"/>
                <w:color w:val="000000"/>
                <w:sz w:val="16"/>
              </w:rPr>
              <w:t>Validation</w:t>
            </w:r>
          </w:p>
        </w:tc>
        <w:tc>
          <w:tcPr>
            <w:tcW w:type="dxa" w:w="3800"/>
            <w:vAlign w:val="center"/>
          </w:tcPr>
          <w:p>
            <w:pPr>
              <w:spacing w:after="0" w:line="245" w:lineRule="auto"/>
            </w:pPr>
            <w:r>
              <w:rPr>
                <w:rFonts w:ascii="Calibri" w:hAnsi="Calibri"/>
                <w:color w:val="000000"/>
                <w:sz w:val="16"/>
              </w:rPr>
              <w:t>Une preuve interne n’est pas une réplication.</w:t>
            </w:r>
          </w:p>
        </w:tc>
        <w:tc>
          <w:tcPr>
            <w:tcW w:type="dxa" w:w="3860"/>
            <w:vAlign w:val="center"/>
          </w:tcPr>
          <w:p>
            <w:pPr>
              <w:spacing w:after="0" w:line="245" w:lineRule="auto"/>
            </w:pPr>
            <w:r>
              <w:rPr>
                <w:rFonts w:ascii="Calibri" w:hAnsi="Calibri"/>
                <w:color w:val="000000"/>
                <w:sz w:val="16"/>
              </w:rPr>
              <w:t>Prédiction gelée et deux reproductions indépendantes.</w:t>
            </w:r>
          </w:p>
        </w:tc>
      </w:tr>
    </w:tbl>
    <w:p>
      <w:pPr>
        <w:keepLines w:val="0"/>
        <w:spacing w:before="0" w:after="120" w:line="264" w:lineRule="auto"/>
        <w:jc w:val="left"/>
      </w:pPr>
      <w:r>
        <w:rPr>
          <w:rFonts w:ascii="Calibri" w:hAnsi="Calibri"/>
          <w:b w:val="0"/>
          <w:i w:val="0"/>
          <w:color w:val="000000"/>
          <w:sz w:val="22"/>
        </w:rPr>
      </w:r>
    </w:p>
    <w:p>
      <w:pPr>
        <w:pStyle w:val="Heading2"/>
        <w:keepNext/>
      </w:pPr>
      <w:r>
        <w:t>Critère de dépassement des autres candidatures</w:t>
      </w:r>
    </w:p>
    <w:p>
      <w:pPr>
        <w:keepLines w:val="0"/>
        <w:spacing w:before="0" w:after="120" w:line="300" w:lineRule="auto"/>
        <w:jc w:val="left"/>
      </w:pPr>
      <w:r>
        <w:rPr>
          <w:rFonts w:ascii="Calibri" w:hAnsi="Calibri"/>
          <w:b w:val="0"/>
          <w:i w:val="0"/>
          <w:color w:val="000000"/>
          <w:sz w:val="22"/>
        </w:rPr>
        <w:t>Le mot « dépasser » n’est autorisé que sur un axe muni d’un certificat plus fort. BLOB pourra revendiquer un avantage méthodologique si, et seulement si, il publie simultanément : (i) un point fixe CAP dans un espace non tronqué; (ii) un continuum OS/RAQ non topologique; (iii) un secteur chiral local complet sur géométrie dynamique; (iv) un pôle TT positif à deux hélicités; et (v) au moins une prédiction chiffrée gelée avant confrontation. Avant cela, il s’agit d’une candidature structurée, pas d’une ToE acquise.</w:t>
      </w:r>
    </w:p>
    <w:p>
      <w:pPr>
        <w:pStyle w:val="Heading2"/>
        <w:keepNext/>
      </w:pPr>
      <w:r>
        <w:t>Carte du dossier</w:t>
      </w:r>
    </w:p>
    <w:p>
      <w:pPr>
        <w:pStyle w:val="ListBullet"/>
        <w:spacing w:after="80" w:line="300" w:lineRule="auto"/>
      </w:pPr>
      <w:r>
        <w:rPr>
          <w:rFonts w:ascii="Calibri" w:hAnsi="Calibri"/>
          <w:color w:val="000000"/>
          <w:sz w:val="22"/>
        </w:rPr>
        <w:t>I. Contrat des sept portes et registre gelé.</w:t>
      </w:r>
    </w:p>
    <w:p>
      <w:pPr>
        <w:pStyle w:val="ListBullet"/>
        <w:spacing w:after="80" w:line="300" w:lineRule="auto"/>
      </w:pPr>
      <w:r>
        <w:rPr>
          <w:rFonts w:ascii="Calibri" w:hAnsi="Calibri"/>
          <w:color w:val="000000"/>
          <w:sz w:val="22"/>
        </w:rPr>
        <w:t>II. Leçons importées de l’arXiv et limites de transfert.</w:t>
      </w:r>
    </w:p>
    <w:p>
      <w:pPr>
        <w:pStyle w:val="ListBullet"/>
        <w:spacing w:after="80" w:line="300" w:lineRule="auto"/>
      </w:pPr>
      <w:r>
        <w:rPr>
          <w:rFonts w:ascii="Calibri" w:hAnsi="Calibri"/>
          <w:color w:val="000000"/>
          <w:sz w:val="22"/>
        </w:rPr>
        <w:t>III. Architecture mathématique à quatre niveaux.</w:t>
      </w:r>
    </w:p>
    <w:p>
      <w:pPr>
        <w:pStyle w:val="ListBullet"/>
        <w:spacing w:after="80" w:line="300" w:lineRule="auto"/>
      </w:pPr>
      <w:r>
        <w:rPr>
          <w:rFonts w:ascii="Calibri" w:hAnsi="Calibri"/>
          <w:color w:val="000000"/>
          <w:sz w:val="22"/>
        </w:rPr>
        <w:t>IV. Nouveaux théorèmes, preuves et contre-exemples.</w:t>
      </w:r>
    </w:p>
    <w:p>
      <w:pPr>
        <w:pStyle w:val="ListBullet"/>
        <w:spacing w:after="80" w:line="300" w:lineRule="auto"/>
      </w:pPr>
      <w:r>
        <w:rPr>
          <w:rFonts w:ascii="Calibri" w:hAnsi="Calibri"/>
          <w:color w:val="000000"/>
          <w:sz w:val="22"/>
        </w:rPr>
        <w:t>V. RG officiel Feshbach–Schur + CAP.</w:t>
      </w:r>
    </w:p>
    <w:p>
      <w:pPr>
        <w:pStyle w:val="ListBullet"/>
        <w:spacing w:after="80" w:line="300" w:lineRule="auto"/>
      </w:pPr>
      <w:r>
        <w:rPr>
          <w:rFonts w:ascii="Calibri" w:hAnsi="Calibri"/>
          <w:color w:val="000000"/>
          <w:sz w:val="22"/>
        </w:rPr>
        <w:t>VI. Attaque rigoureuse G0–G6.</w:t>
      </w:r>
    </w:p>
    <w:p>
      <w:pPr>
        <w:pStyle w:val="ListBullet"/>
        <w:spacing w:after="80" w:line="300" w:lineRule="auto"/>
      </w:pPr>
      <w:r>
        <w:rPr>
          <w:rFonts w:ascii="Calibri" w:hAnsi="Calibri"/>
          <w:color w:val="000000"/>
          <w:sz w:val="22"/>
        </w:rPr>
        <w:t>VII. Comparaison équitable avec cordes, boucles/GFT, CDT et Hořava.</w:t>
      </w:r>
    </w:p>
    <w:p>
      <w:pPr>
        <w:pStyle w:val="ListBullet"/>
        <w:spacing w:after="80" w:line="300" w:lineRule="auto"/>
      </w:pPr>
      <w:r>
        <w:rPr>
          <w:rFonts w:ascii="Calibri" w:hAnsi="Calibri"/>
          <w:color w:val="000000"/>
          <w:sz w:val="22"/>
        </w:rPr>
        <w:t>VIII. Double auto-audit et protocole de campagne.</w:t>
      </w:r>
    </w:p>
    <w:p>
      <w:pPr>
        <w:pStyle w:val="ListBullet"/>
        <w:spacing w:after="80" w:line="300" w:lineRule="auto"/>
      </w:pPr>
      <w:r>
        <w:rPr>
          <w:rFonts w:ascii="Calibri" w:hAnsi="Calibri"/>
          <w:color w:val="000000"/>
          <w:sz w:val="22"/>
        </w:rPr>
        <w:t>Annexes : sortie du vérificateur, registre, références et empreintes.</w:t>
      </w:r>
    </w:p>
    <w:p>
      <w:pPr>
        <w:pStyle w:val="Heading1"/>
        <w:keepNext/>
        <w:pageBreakBefore/>
      </w:pPr>
      <w:r>
        <w:t>PARTIE I — Contrat des sept portes</w:t>
      </w:r>
    </w:p>
    <w:p>
      <w:pPr>
        <w:keepLines w:val="0"/>
        <w:spacing w:before="0" w:after="120" w:line="300" w:lineRule="auto"/>
        <w:jc w:val="left"/>
      </w:pPr>
      <w:r>
        <w:rPr>
          <w:rFonts w:ascii="Calibri" w:hAnsi="Calibri"/>
          <w:b w:val="0"/>
          <w:i w:val="0"/>
          <w:color w:val="000000"/>
          <w:sz w:val="22"/>
        </w:rPr>
        <w:t>Une porte physique n’est fermée que si toutes ses prémisses sont satisfaites dans la même suite de cutoffs, sur une trajectoire de couplages gelée, avec erreurs statistiques, systématiques et de troncature séparées. Un théorème conditionnel ferme une implication; il ne valide pas ses hypothèses. Un FAIL demeure inscrit et ne peut être effacé par une nouvelle paramétrisation.</w:t>
      </w:r>
    </w:p>
    <w:p>
      <w:pPr>
        <w:keepLines/>
        <w:spacing w:before="60" w:after="140" w:line="240" w:lineRule="auto"/>
        <w:jc w:val="center"/>
      </w:pPr>
      <w:r>
        <w:rPr>
          <w:rFonts w:ascii="Cambria Math" w:hAnsi="Cambria Math"/>
          <w:color w:val="0B2545"/>
          <w:sz w:val="21"/>
        </w:rPr>
        <w:t>G0 → G1 → G2 ;   G0 → G3 ;   (G2,G3) → G4 ;   (G1,G3,G4) → G5 ;   (G0,…,G5) → G6.</w:t>
      </w:r>
    </w:p>
    <w:tbl>
      <w:tblPr>
        <w:tblStyle w:val="TableGrid"/>
        <w:tblW w:type="dxa" w:w="9360"/>
        <w:tblLayout w:type="fixed"/>
        <w:tblLook w:firstColumn="1" w:firstRow="1" w:lastColumn="0" w:lastRow="0" w:noHBand="0" w:noVBand="1" w:val="04A0"/>
        <w:jc w:val="left"/>
        <w:tblInd w:w="120" w:type="dxa"/>
      </w:tblPr>
      <w:tblGrid>
        <w:gridCol w:w="1700"/>
        <w:gridCol w:w="5460"/>
        <w:gridCol w:w="2200"/>
      </w:tblGrid>
      <w:tr>
        <w:trPr>
          <w:tblHeader w:val="true"/>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0B2545"/>
                <w:sz w:val="16"/>
              </w:rPr>
              <w:t>Porte</w:t>
            </w:r>
          </w:p>
        </w:tc>
        <w:tc>
          <w:tcPr>
            <w:tcW w:type="dxa" w:w="5460"/>
            <w:tcMar>
              <w:top w:w="80" w:type="dxa"/>
              <w:start w:w="120" w:type="dxa"/>
              <w:bottom w:w="80" w:type="dxa"/>
              <w:end w:w="120" w:type="dxa"/>
            </w:tcMar>
            <w:vAlign w:val="center"/>
            <w:shd w:fill="E8EEF5"/>
          </w:tcPr>
          <w:p>
            <w:pPr>
              <w:spacing w:after="0" w:line="240" w:lineRule="auto"/>
            </w:pPr>
            <w:r>
              <w:rPr>
                <w:rFonts w:ascii="Calibri" w:hAnsi="Calibri"/>
                <w:b/>
                <w:color w:val="0B2545"/>
                <w:sz w:val="16"/>
              </w:rPr>
              <w:t>Définition de fermeture</w:t>
            </w:r>
          </w:p>
        </w:tc>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6"/>
              </w:rPr>
              <w:t>Statut V317</w:t>
            </w:r>
          </w:p>
        </w:tc>
      </w:tr>
      <w:tr>
        <w:trPr>
          <w:cantSplit/>
        </w:trPr>
        <w:tc>
          <w:tcPr>
            <w:tcW w:type="dxa" w:w="1700"/>
            <w:vAlign w:val="center"/>
          </w:tcPr>
          <w:p>
            <w:pPr>
              <w:spacing w:after="0" w:line="245" w:lineRule="auto"/>
            </w:pPr>
            <w:r>
              <w:rPr>
                <w:rFonts w:ascii="Calibri" w:hAnsi="Calibri"/>
                <w:color w:val="000000"/>
                <w:sz w:val="16"/>
              </w:rPr>
              <w:t>G0 — modèle/RG</w:t>
            </w:r>
          </w:p>
        </w:tc>
        <w:tc>
          <w:tcPr>
            <w:tcW w:type="dxa" w:w="5460"/>
            <w:vAlign w:val="center"/>
          </w:tcPr>
          <w:p>
            <w:pPr>
              <w:spacing w:after="0" w:line="245" w:lineRule="auto"/>
            </w:pPr>
            <w:r>
              <w:rPr>
                <w:rFonts w:ascii="Calibri" w:hAnsi="Calibri"/>
                <w:color w:val="000000"/>
                <w:sz w:val="16"/>
              </w:rPr>
              <w:t>Objet canonique, point fixe, directions pertinentes, universalité et matching.</w:t>
            </w:r>
          </w:p>
        </w:tc>
        <w:tc>
          <w:tcPr>
            <w:tcW w:type="dxa" w:w="2200"/>
            <w:vAlign w:val="center"/>
            <w:shd w:fill="FFF4D6"/>
          </w:tcPr>
          <w:p>
            <w:pPr>
              <w:spacing w:after="0" w:line="245" w:lineRule="auto"/>
            </w:pPr>
            <w:r>
              <w:rPr>
                <w:rFonts w:ascii="Calibri" w:hAnsi="Calibri"/>
                <w:b/>
                <w:color w:val="7A5A00"/>
                <w:sz w:val="17"/>
              </w:rPr>
              <w:t>OUVERTE [T-C]</w:t>
            </w:r>
          </w:p>
        </w:tc>
      </w:tr>
      <w:tr>
        <w:trPr>
          <w:cantSplit/>
        </w:trPr>
        <w:tc>
          <w:tcPr>
            <w:tcW w:type="dxa" w:w="1700"/>
            <w:vAlign w:val="center"/>
          </w:tcPr>
          <w:p>
            <w:pPr>
              <w:spacing w:after="0" w:line="245" w:lineRule="auto"/>
            </w:pPr>
            <w:r>
              <w:rPr>
                <w:rFonts w:ascii="Calibri" w:hAnsi="Calibri"/>
                <w:color w:val="000000"/>
                <w:sz w:val="16"/>
              </w:rPr>
              <w:t>G1 — continuum</w:t>
            </w:r>
          </w:p>
        </w:tc>
        <w:tc>
          <w:tcPr>
            <w:tcW w:type="dxa" w:w="5460"/>
            <w:vAlign w:val="center"/>
          </w:tcPr>
          <w:p>
            <w:pPr>
              <w:spacing w:after="0" w:line="245" w:lineRule="auto"/>
            </w:pPr>
            <w:r>
              <w:rPr>
                <w:rFonts w:ascii="Calibri" w:hAnsi="Calibri"/>
                <w:color w:val="000000"/>
                <w:sz w:val="16"/>
              </w:rPr>
              <w:t>Limite euclidienne OS/RAQ, causalité, localité et Lorentz commune.</w:t>
            </w:r>
          </w:p>
        </w:tc>
        <w:tc>
          <w:tcPr>
            <w:tcW w:type="dxa" w:w="2200"/>
            <w:vAlign w:val="center"/>
            <w:shd w:fill="FFF4D6"/>
          </w:tcPr>
          <w:p>
            <w:pPr>
              <w:spacing w:after="0" w:line="245" w:lineRule="auto"/>
            </w:pPr>
            <w:r>
              <w:rPr>
                <w:rFonts w:ascii="Calibri" w:hAnsi="Calibri"/>
                <w:b/>
                <w:color w:val="7A5A00"/>
                <w:sz w:val="17"/>
              </w:rPr>
              <w:t>OUVERTE [EMP]</w:t>
            </w:r>
          </w:p>
        </w:tc>
      </w:tr>
      <w:tr>
        <w:trPr>
          <w:cantSplit/>
        </w:trPr>
        <w:tc>
          <w:tcPr>
            <w:tcW w:type="dxa" w:w="1700"/>
            <w:vAlign w:val="center"/>
          </w:tcPr>
          <w:p>
            <w:pPr>
              <w:spacing w:after="0" w:line="245" w:lineRule="auto"/>
            </w:pPr>
            <w:r>
              <w:rPr>
                <w:rFonts w:ascii="Calibri" w:hAnsi="Calibri"/>
                <w:color w:val="000000"/>
                <w:sz w:val="16"/>
              </w:rPr>
              <w:t>G2 — gravité</w:t>
            </w:r>
          </w:p>
        </w:tc>
        <w:tc>
          <w:tcPr>
            <w:tcW w:type="dxa" w:w="5460"/>
            <w:vAlign w:val="center"/>
          </w:tcPr>
          <w:p>
            <w:pPr>
              <w:spacing w:after="0" w:line="245" w:lineRule="auto"/>
            </w:pPr>
            <w:r>
              <w:rPr>
                <w:rFonts w:ascii="Calibri" w:hAnsi="Calibri"/>
                <w:color w:val="000000"/>
                <w:sz w:val="16"/>
              </w:rPr>
              <w:t>Pôle TT positif sans masse, deux hélicités, absence de fantôme, GN universel.</w:t>
            </w:r>
          </w:p>
        </w:tc>
        <w:tc>
          <w:tcPr>
            <w:tcW w:type="dxa" w:w="2200"/>
            <w:vAlign w:val="center"/>
            <w:shd w:fill="FFF4D6"/>
          </w:tcPr>
          <w:p>
            <w:pPr>
              <w:spacing w:after="0" w:line="245" w:lineRule="auto"/>
            </w:pPr>
            <w:r>
              <w:rPr>
                <w:rFonts w:ascii="Calibri" w:hAnsi="Calibri"/>
                <w:b/>
                <w:color w:val="7A5A00"/>
                <w:sz w:val="17"/>
              </w:rPr>
              <w:t>OUVERTE [EMP]</w:t>
            </w:r>
          </w:p>
        </w:tc>
      </w:tr>
      <w:tr>
        <w:trPr>
          <w:cantSplit/>
        </w:trPr>
        <w:tc>
          <w:tcPr>
            <w:tcW w:type="dxa" w:w="1700"/>
            <w:vAlign w:val="center"/>
          </w:tcPr>
          <w:p>
            <w:pPr>
              <w:spacing w:after="0" w:line="245" w:lineRule="auto"/>
            </w:pPr>
            <w:r>
              <w:rPr>
                <w:rFonts w:ascii="Calibri" w:hAnsi="Calibri"/>
                <w:color w:val="000000"/>
                <w:sz w:val="16"/>
              </w:rPr>
              <w:t>G3 — SM</w:t>
            </w:r>
          </w:p>
        </w:tc>
        <w:tc>
          <w:tcPr>
            <w:tcW w:type="dxa" w:w="5460"/>
            <w:vAlign w:val="center"/>
          </w:tcPr>
          <w:p>
            <w:pPr>
              <w:spacing w:after="0" w:line="245" w:lineRule="auto"/>
            </w:pPr>
            <w:r>
              <w:rPr>
                <w:rFonts w:ascii="Calibri" w:hAnsi="Calibri"/>
                <w:color w:val="000000"/>
                <w:sz w:val="16"/>
              </w:rPr>
              <w:t>Régulateur chiral local, anomalies/globalité, Higgs, 3 familles et spectre.</w:t>
            </w:r>
          </w:p>
        </w:tc>
        <w:tc>
          <w:tcPr>
            <w:tcW w:type="dxa" w:w="2200"/>
            <w:vAlign w:val="center"/>
            <w:shd w:fill="FFF4D6"/>
          </w:tcPr>
          <w:p>
            <w:pPr>
              <w:spacing w:after="0" w:line="245" w:lineRule="auto"/>
            </w:pPr>
            <w:r>
              <w:rPr>
                <w:rFonts w:ascii="Calibri" w:hAnsi="Calibri"/>
                <w:b/>
                <w:color w:val="7A5A00"/>
                <w:sz w:val="17"/>
              </w:rPr>
              <w:t>OUVERTE [EMP]</w:t>
            </w:r>
          </w:p>
        </w:tc>
      </w:tr>
      <w:tr>
        <w:trPr>
          <w:cantSplit/>
        </w:trPr>
        <w:tc>
          <w:tcPr>
            <w:tcW w:type="dxa" w:w="1700"/>
            <w:vAlign w:val="center"/>
          </w:tcPr>
          <w:p>
            <w:pPr>
              <w:spacing w:after="0" w:line="245" w:lineRule="auto"/>
            </w:pPr>
            <w:r>
              <w:rPr>
                <w:rFonts w:ascii="Calibri" w:hAnsi="Calibri"/>
                <w:color w:val="000000"/>
                <w:sz w:val="16"/>
              </w:rPr>
              <w:t>G4 — 4 forces</w:t>
            </w:r>
          </w:p>
        </w:tc>
        <w:tc>
          <w:tcPr>
            <w:tcW w:type="dxa" w:w="5460"/>
            <w:vAlign w:val="center"/>
          </w:tcPr>
          <w:p>
            <w:pPr>
              <w:spacing w:after="0" w:line="245" w:lineRule="auto"/>
            </w:pPr>
            <w:r>
              <w:rPr>
                <w:rFonts w:ascii="Calibri" w:hAnsi="Calibri"/>
                <w:color w:val="000000"/>
                <w:sz w:val="16"/>
              </w:rPr>
              <w:t>Flot unique, jauges unifiées et relation non triviale au secteur gravité.</w:t>
            </w:r>
          </w:p>
        </w:tc>
        <w:tc>
          <w:tcPr>
            <w:tcW w:type="dxa" w:w="2200"/>
            <w:vAlign w:val="center"/>
            <w:shd w:fill="FFF4D6"/>
          </w:tcPr>
          <w:p>
            <w:pPr>
              <w:spacing w:after="0" w:line="245" w:lineRule="auto"/>
            </w:pPr>
            <w:r>
              <w:rPr>
                <w:rFonts w:ascii="Calibri" w:hAnsi="Calibri"/>
                <w:b/>
                <w:color w:val="7A5A00"/>
                <w:sz w:val="17"/>
              </w:rPr>
              <w:t>OUVERTE [EMP]</w:t>
            </w:r>
          </w:p>
        </w:tc>
      </w:tr>
      <w:tr>
        <w:trPr>
          <w:cantSplit/>
        </w:trPr>
        <w:tc>
          <w:tcPr>
            <w:tcW w:type="dxa" w:w="1700"/>
            <w:vAlign w:val="center"/>
          </w:tcPr>
          <w:p>
            <w:pPr>
              <w:spacing w:after="0" w:line="245" w:lineRule="auto"/>
            </w:pPr>
            <w:r>
              <w:rPr>
                <w:rFonts w:ascii="Calibri" w:hAnsi="Calibri"/>
                <w:color w:val="000000"/>
                <w:sz w:val="16"/>
              </w:rPr>
              <w:t>G5 — cosmologie</w:t>
            </w:r>
          </w:p>
        </w:tc>
        <w:tc>
          <w:tcPr>
            <w:tcW w:type="dxa" w:w="5460"/>
            <w:vAlign w:val="center"/>
          </w:tcPr>
          <w:p>
            <w:pPr>
              <w:spacing w:after="0" w:line="245" w:lineRule="auto"/>
            </w:pPr>
            <w:r>
              <w:rPr>
                <w:rFonts w:ascii="Calibri" w:hAnsi="Calibri"/>
                <w:color w:val="000000"/>
                <w:sz w:val="16"/>
              </w:rPr>
              <w:t>Λ absolue, fond cosmologique et perturbations dérivés sans réglage a posteriori.</w:t>
            </w:r>
          </w:p>
        </w:tc>
        <w:tc>
          <w:tcPr>
            <w:tcW w:type="dxa" w:w="2200"/>
            <w:vAlign w:val="center"/>
            <w:shd w:fill="FFF4D6"/>
          </w:tcPr>
          <w:p>
            <w:pPr>
              <w:spacing w:after="0" w:line="245" w:lineRule="auto"/>
            </w:pPr>
            <w:r>
              <w:rPr>
                <w:rFonts w:ascii="Calibri" w:hAnsi="Calibri"/>
                <w:b/>
                <w:color w:val="7A5A00"/>
                <w:sz w:val="17"/>
              </w:rPr>
              <w:t>OUVERTE [EMP]</w:t>
            </w:r>
          </w:p>
        </w:tc>
      </w:tr>
      <w:tr>
        <w:trPr>
          <w:cantSplit/>
        </w:trPr>
        <w:tc>
          <w:tcPr>
            <w:tcW w:type="dxa" w:w="1700"/>
            <w:vAlign w:val="center"/>
          </w:tcPr>
          <w:p>
            <w:pPr>
              <w:spacing w:after="0" w:line="245" w:lineRule="auto"/>
            </w:pPr>
            <w:r>
              <w:rPr>
                <w:rFonts w:ascii="Calibri" w:hAnsi="Calibri"/>
                <w:color w:val="000000"/>
                <w:sz w:val="16"/>
              </w:rPr>
              <w:t>G6 — prédiction</w:t>
            </w:r>
          </w:p>
        </w:tc>
        <w:tc>
          <w:tcPr>
            <w:tcW w:type="dxa" w:w="5460"/>
            <w:vAlign w:val="center"/>
          </w:tcPr>
          <w:p>
            <w:pPr>
              <w:spacing w:after="0" w:line="245" w:lineRule="auto"/>
            </w:pPr>
            <w:r>
              <w:rPr>
                <w:rFonts w:ascii="Calibri" w:hAnsi="Calibri"/>
                <w:color w:val="000000"/>
                <w:sz w:val="16"/>
              </w:rPr>
              <w:t>Prédiction gelée, falsifiable, puis deux réplications indépendantes.</w:t>
            </w:r>
          </w:p>
        </w:tc>
        <w:tc>
          <w:tcPr>
            <w:tcW w:type="dxa" w:w="2200"/>
            <w:vAlign w:val="center"/>
            <w:shd w:fill="FFF4D6"/>
          </w:tcPr>
          <w:p>
            <w:pPr>
              <w:spacing w:after="0" w:line="245" w:lineRule="auto"/>
            </w:pPr>
            <w:r>
              <w:rPr>
                <w:rFonts w:ascii="Calibri" w:hAnsi="Calibri"/>
                <w:b/>
                <w:color w:val="7A5A00"/>
                <w:sz w:val="17"/>
              </w:rPr>
              <w:t>OUVERTE [EMP]</w:t>
            </w:r>
          </w:p>
        </w:tc>
      </w:tr>
    </w:tbl>
    <w:p>
      <w:pPr>
        <w:keepLines w:val="0"/>
        <w:spacing w:before="0" w:after="120" w:line="264" w:lineRule="auto"/>
        <w:jc w:val="left"/>
      </w:pPr>
      <w:r>
        <w:rPr>
          <w:rFonts w:ascii="Calibri" w:hAnsi="Calibri"/>
          <w:b w:val="0"/>
          <w:i w:val="0"/>
          <w:color w:val="000000"/>
          <w:sz w:val="22"/>
        </w:rPr>
      </w:r>
    </w:p>
    <w:p>
      <w:pPr>
        <w:pStyle w:val="Heading2"/>
        <w:keepNext/>
      </w:pPr>
      <w:r>
        <w:t>Registre gelé : acquis antérieurs et nouveaux résultats</w:t>
      </w:r>
    </w:p>
    <w:tbl>
      <w:tblPr>
        <w:tblStyle w:val="TableGrid"/>
        <w:tblW w:type="dxa" w:w="9360"/>
        <w:tblLayout w:type="fixed"/>
        <w:tblLook w:firstColumn="1" w:firstRow="1" w:lastColumn="0" w:lastRow="0" w:noHBand="0" w:noVBand="1" w:val="04A0"/>
        <w:jc w:val="left"/>
        <w:tblInd w:w="120" w:type="dxa"/>
      </w:tblPr>
      <w:tblGrid>
        <w:gridCol w:w="1700"/>
        <w:gridCol w:w="1980"/>
        <w:gridCol w:w="5680"/>
      </w:tblGrid>
      <w:tr>
        <w:trPr>
          <w:tblHeader w:val="true"/>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0B2545"/>
                <w:sz w:val="15"/>
              </w:rPr>
              <w:t>Identifiant</w:t>
            </w:r>
          </w:p>
        </w:tc>
        <w:tc>
          <w:tcPr>
            <w:tcW w:type="dxa" w:w="1980"/>
            <w:tcMar>
              <w:top w:w="80" w:type="dxa"/>
              <w:start w:w="120" w:type="dxa"/>
              <w:bottom w:w="80" w:type="dxa"/>
              <w:end w:w="120" w:type="dxa"/>
            </w:tcMar>
            <w:vAlign w:val="center"/>
            <w:shd w:fill="E8EEF5"/>
          </w:tcPr>
          <w:p>
            <w:pPr>
              <w:spacing w:after="0" w:line="240" w:lineRule="auto"/>
            </w:pPr>
            <w:r>
              <w:rPr>
                <w:rFonts w:ascii="Calibri" w:hAnsi="Calibri"/>
                <w:b/>
                <w:color w:val="0B2545"/>
                <w:sz w:val="15"/>
              </w:rPr>
              <w:t>Verdict</w:t>
            </w:r>
          </w:p>
        </w:tc>
        <w:tc>
          <w:tcPr>
            <w:tcW w:type="dxa" w:w="5680"/>
            <w:tcMar>
              <w:top w:w="80" w:type="dxa"/>
              <w:start w:w="120" w:type="dxa"/>
              <w:bottom w:w="80" w:type="dxa"/>
              <w:end w:w="120" w:type="dxa"/>
            </w:tcMar>
            <w:vAlign w:val="center"/>
            <w:shd w:fill="E8EEF5"/>
          </w:tcPr>
          <w:p>
            <w:pPr>
              <w:spacing w:after="0" w:line="240" w:lineRule="auto"/>
            </w:pPr>
            <w:r>
              <w:rPr>
                <w:rFonts w:ascii="Calibri" w:hAnsi="Calibri"/>
                <w:b/>
                <w:color w:val="0B2545"/>
                <w:sz w:val="15"/>
              </w:rPr>
              <w:t>Portée exacte</w:t>
            </w:r>
          </w:p>
        </w:tc>
      </w:tr>
      <w:tr>
        <w:trPr>
          <w:cantSplit/>
        </w:trPr>
        <w:tc>
          <w:tcPr>
            <w:tcW w:type="dxa" w:w="1700"/>
            <w:vAlign w:val="center"/>
          </w:tcPr>
          <w:p>
            <w:pPr>
              <w:spacing w:after="0" w:line="245" w:lineRule="auto"/>
            </w:pPr>
            <w:r>
              <w:rPr>
                <w:rFonts w:ascii="Calibri" w:hAnsi="Calibri"/>
                <w:color w:val="000000"/>
                <w:sz w:val="15"/>
              </w:rPr>
              <w:t>RP-CUTOFF</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Positivité de transfert/réflexion sous A0–A7; aucun continuum.</w:t>
            </w:r>
          </w:p>
        </w:tc>
      </w:tr>
      <w:tr>
        <w:trPr>
          <w:cantSplit/>
        </w:trPr>
        <w:tc>
          <w:tcPr>
            <w:tcW w:type="dxa" w:w="1700"/>
            <w:vAlign w:val="center"/>
          </w:tcPr>
          <w:p>
            <w:pPr>
              <w:spacing w:after="0" w:line="245" w:lineRule="auto"/>
            </w:pPr>
            <w:r>
              <w:rPr>
                <w:rFonts w:ascii="Calibri" w:hAnsi="Calibri"/>
                <w:color w:val="000000"/>
                <w:sz w:val="15"/>
              </w:rPr>
              <w:t>TOP-KIN</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Pachner conserve T³; platitude intégrée seulement asymptotique.</w:t>
            </w:r>
          </w:p>
        </w:tc>
      </w:tr>
      <w:tr>
        <w:trPr>
          <w:cantSplit/>
        </w:trPr>
        <w:tc>
          <w:tcPr>
            <w:tcW w:type="dxa" w:w="1700"/>
            <w:vAlign w:val="center"/>
          </w:tcPr>
          <w:p>
            <w:pPr>
              <w:spacing w:after="0" w:line="245" w:lineRule="auto"/>
            </w:pPr>
            <w:r>
              <w:rPr>
                <w:rFonts w:ascii="Calibri" w:hAnsi="Calibri"/>
                <w:color w:val="000000"/>
                <w:sz w:val="15"/>
              </w:rPr>
              <w:t>PAR-RANK</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Rang identifiable et veto anti-faux-pic dans un modèle fixé.</w:t>
            </w:r>
          </w:p>
        </w:tc>
      </w:tr>
      <w:tr>
        <w:trPr>
          <w:cantSplit/>
        </w:trPr>
        <w:tc>
          <w:tcPr>
            <w:tcW w:type="dxa" w:w="1700"/>
            <w:vAlign w:val="center"/>
          </w:tcPr>
          <w:p>
            <w:pPr>
              <w:spacing w:after="0" w:line="245" w:lineRule="auto"/>
            </w:pPr>
            <w:r>
              <w:rPr>
                <w:rFonts w:ascii="Calibri" w:hAnsi="Calibri"/>
                <w:color w:val="000000"/>
                <w:sz w:val="15"/>
              </w:rPr>
              <w:t>RG-1CELL</w:t>
            </w:r>
          </w:p>
        </w:tc>
        <w:tc>
          <w:tcPr>
            <w:tcW w:type="dxa" w:w="1980"/>
            <w:vAlign w:val="center"/>
            <w:shd w:fill="FDECEC"/>
          </w:tcPr>
          <w:p>
            <w:pPr>
              <w:spacing w:after="0" w:line="245" w:lineRule="auto"/>
            </w:pPr>
            <w:r>
              <w:rPr>
                <w:rFonts w:ascii="Calibri" w:hAnsi="Calibri"/>
                <w:b/>
                <w:color w:val="9B1C1C"/>
                <w:sz w:val="17"/>
              </w:rPr>
              <w:t>FERMÉE [FAIL]</w:t>
            </w:r>
          </w:p>
        </w:tc>
        <w:tc>
          <w:tcPr>
            <w:tcW w:type="dxa" w:w="5680"/>
            <w:vAlign w:val="center"/>
          </w:tcPr>
          <w:p>
            <w:pPr>
              <w:spacing w:after="0" w:line="245" w:lineRule="auto"/>
            </w:pPr>
            <w:r>
              <w:rPr>
                <w:rFonts w:ascii="Calibri" w:hAnsi="Calibri"/>
                <w:color w:val="000000"/>
                <w:sz w:val="15"/>
              </w:rPr>
              <w:t>La famille edge-only n’est pas fermée sous blocage.</w:t>
            </w:r>
          </w:p>
        </w:tc>
      </w:tr>
      <w:tr>
        <w:trPr>
          <w:cantSplit/>
        </w:trPr>
        <w:tc>
          <w:tcPr>
            <w:tcW w:type="dxa" w:w="1700"/>
            <w:vAlign w:val="center"/>
          </w:tcPr>
          <w:p>
            <w:pPr>
              <w:spacing w:after="0" w:line="245" w:lineRule="auto"/>
            </w:pPr>
            <w:r>
              <w:rPr>
                <w:rFonts w:ascii="Calibri" w:hAnsi="Calibri"/>
                <w:color w:val="000000"/>
                <w:sz w:val="15"/>
              </w:rPr>
              <w:t>RG-RAY</w:t>
            </w:r>
          </w:p>
        </w:tc>
        <w:tc>
          <w:tcPr>
            <w:tcW w:type="dxa" w:w="1980"/>
            <w:vAlign w:val="center"/>
            <w:shd w:fill="FDECEC"/>
          </w:tcPr>
          <w:p>
            <w:pPr>
              <w:spacing w:after="0" w:line="245" w:lineRule="auto"/>
            </w:pPr>
            <w:r>
              <w:rPr>
                <w:rFonts w:ascii="Calibri" w:hAnsi="Calibri"/>
                <w:b/>
                <w:color w:val="9B1C1C"/>
                <w:sz w:val="17"/>
              </w:rPr>
              <w:t>FERMÉE [FAIL]</w:t>
            </w:r>
          </w:p>
        </w:tc>
        <w:tc>
          <w:tcPr>
            <w:tcW w:type="dxa" w:w="5680"/>
            <w:vAlign w:val="center"/>
          </w:tcPr>
          <w:p>
            <w:pPr>
              <w:spacing w:after="0" w:line="245" w:lineRule="auto"/>
            </w:pPr>
            <w:r>
              <w:rPr>
                <w:rFonts w:ascii="Calibri" w:hAnsi="Calibri"/>
                <w:color w:val="000000"/>
                <w:sz w:val="15"/>
              </w:rPr>
              <w:t>Le rapport Δ/X₅₆ n’est pas invariant.</w:t>
            </w:r>
          </w:p>
        </w:tc>
      </w:tr>
      <w:tr>
        <w:trPr>
          <w:cantSplit/>
        </w:trPr>
        <w:tc>
          <w:tcPr>
            <w:tcW w:type="dxa" w:w="1700"/>
            <w:vAlign w:val="center"/>
          </w:tcPr>
          <w:p>
            <w:pPr>
              <w:spacing w:after="0" w:line="245" w:lineRule="auto"/>
            </w:pPr>
            <w:r>
              <w:rPr>
                <w:rFonts w:ascii="Calibri" w:hAnsi="Calibri"/>
                <w:color w:val="000000"/>
                <w:sz w:val="15"/>
              </w:rPr>
              <w:t>H-LOCAL←B</w:t>
            </w:r>
          </w:p>
        </w:tc>
        <w:tc>
          <w:tcPr>
            <w:tcW w:type="dxa" w:w="1980"/>
            <w:vAlign w:val="center"/>
            <w:shd w:fill="FDECEC"/>
          </w:tcPr>
          <w:p>
            <w:pPr>
              <w:spacing w:after="0" w:line="245" w:lineRule="auto"/>
            </w:pPr>
            <w:r>
              <w:rPr>
                <w:rFonts w:ascii="Calibri" w:hAnsi="Calibri"/>
                <w:b/>
                <w:color w:val="9B1C1C"/>
                <w:sz w:val="17"/>
              </w:rPr>
              <w:t>FERMÉE [FAIL]</w:t>
            </w:r>
          </w:p>
        </w:tc>
        <w:tc>
          <w:tcPr>
            <w:tcW w:type="dxa" w:w="5680"/>
            <w:vAlign w:val="center"/>
          </w:tcPr>
          <w:p>
            <w:pPr>
              <w:spacing w:after="0" w:line="245" w:lineRule="auto"/>
            </w:pPr>
            <w:r>
              <w:rPr>
                <w:rFonts w:ascii="Calibri" w:hAnsi="Calibri"/>
                <w:color w:val="000000"/>
                <w:sz w:val="15"/>
              </w:rPr>
              <w:t>B local n’implique pas −log(B†B) local.</w:t>
            </w:r>
          </w:p>
        </w:tc>
      </w:tr>
      <w:tr>
        <w:trPr>
          <w:cantSplit/>
        </w:trPr>
        <w:tc>
          <w:tcPr>
            <w:tcW w:type="dxa" w:w="1700"/>
            <w:vAlign w:val="center"/>
          </w:tcPr>
          <w:p>
            <w:pPr>
              <w:spacing w:after="0" w:line="245" w:lineRule="auto"/>
            </w:pPr>
            <w:r>
              <w:rPr>
                <w:rFonts w:ascii="Calibri" w:hAnsi="Calibri"/>
                <w:color w:val="000000"/>
                <w:sz w:val="15"/>
              </w:rPr>
              <w:t>GEN-WELLPOSED</w:t>
            </w:r>
          </w:p>
        </w:tc>
        <w:tc>
          <w:tcPr>
            <w:tcW w:type="dxa" w:w="1980"/>
            <w:vAlign w:val="center"/>
            <w:shd w:fill="E8F3ED"/>
          </w:tcPr>
          <w:p>
            <w:pPr>
              <w:spacing w:after="0" w:line="245" w:lineRule="auto"/>
            </w:pPr>
            <w:r>
              <w:rPr>
                <w:rFonts w:ascii="Calibri" w:hAnsi="Calibri"/>
                <w:b/>
                <w:color w:val="1F5E46"/>
                <w:sz w:val="17"/>
              </w:rPr>
              <w:t>FERMÉE [T-C]</w:t>
            </w:r>
          </w:p>
        </w:tc>
        <w:tc>
          <w:tcPr>
            <w:tcW w:type="dxa" w:w="5680"/>
            <w:vAlign w:val="center"/>
          </w:tcPr>
          <w:p>
            <w:pPr>
              <w:spacing w:after="0" w:line="245" w:lineRule="auto"/>
            </w:pPr>
            <w:r>
              <w:rPr>
                <w:rFonts w:ascii="Calibri" w:hAnsi="Calibri"/>
                <w:color w:val="000000"/>
                <w:sz w:val="15"/>
              </w:rPr>
              <w:t>Générateur auto-adjoint sous taux et mesure contrôlés.</w:t>
            </w:r>
          </w:p>
        </w:tc>
      </w:tr>
      <w:tr>
        <w:trPr>
          <w:cantSplit/>
        </w:trPr>
        <w:tc>
          <w:tcPr>
            <w:tcW w:type="dxa" w:w="1700"/>
            <w:vAlign w:val="center"/>
          </w:tcPr>
          <w:p>
            <w:pPr>
              <w:spacing w:after="0" w:line="245" w:lineRule="auto"/>
            </w:pPr>
            <w:r>
              <w:rPr>
                <w:rFonts w:ascii="Calibri" w:hAnsi="Calibri"/>
                <w:color w:val="000000"/>
                <w:sz w:val="15"/>
              </w:rPr>
              <w:t>VOL-COVER</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Confinement auxiliaire sans cutoff dur; pas une action physique.</w:t>
            </w:r>
          </w:p>
        </w:tc>
      </w:tr>
      <w:tr>
        <w:trPr>
          <w:cantSplit/>
        </w:trPr>
        <w:tc>
          <w:tcPr>
            <w:tcW w:type="dxa" w:w="1700"/>
            <w:vAlign w:val="center"/>
          </w:tcPr>
          <w:p>
            <w:pPr>
              <w:spacing w:after="0" w:line="245" w:lineRule="auto"/>
            </w:pPr>
            <w:r>
              <w:rPr>
                <w:rFonts w:ascii="Calibri" w:hAnsi="Calibri"/>
                <w:color w:val="000000"/>
                <w:sz w:val="15"/>
              </w:rPr>
              <w:t>NORM-DM3</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Normalisation suffisante sur la branche Morse-tame/DM3 [R32].</w:t>
            </w:r>
          </w:p>
        </w:tc>
      </w:tr>
      <w:tr>
        <w:trPr>
          <w:cantSplit/>
        </w:trPr>
        <w:tc>
          <w:tcPr>
            <w:tcW w:type="dxa" w:w="1700"/>
            <w:vAlign w:val="center"/>
          </w:tcPr>
          <w:p>
            <w:pPr>
              <w:spacing w:after="0" w:line="245" w:lineRule="auto"/>
            </w:pPr>
            <w:r>
              <w:rPr>
                <w:rFonts w:ascii="Calibri" w:hAnsi="Calibri"/>
                <w:color w:val="000000"/>
                <w:sz w:val="15"/>
              </w:rPr>
              <w:t>P−1</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L’absence de zéro projeté n’exclut pas un zéro hors sous-espace.</w:t>
            </w:r>
          </w:p>
        </w:tc>
      </w:tr>
      <w:tr>
        <w:trPr>
          <w:cantSplit/>
        </w:trPr>
        <w:tc>
          <w:tcPr>
            <w:tcW w:type="dxa" w:w="1700"/>
            <w:vAlign w:val="center"/>
          </w:tcPr>
          <w:p>
            <w:pPr>
              <w:spacing w:after="0" w:line="245" w:lineRule="auto"/>
            </w:pPr>
            <w:r>
              <w:rPr>
                <w:rFonts w:ascii="Calibri" w:hAnsi="Calibri"/>
                <w:color w:val="000000"/>
                <w:sz w:val="15"/>
              </w:rPr>
              <w:t>FINITE-N</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À cutoff fini, Z et les corrélateurs sont analytiques.</w:t>
            </w:r>
          </w:p>
        </w:tc>
      </w:tr>
      <w:tr>
        <w:trPr>
          <w:cantSplit/>
        </w:trPr>
        <w:tc>
          <w:tcPr>
            <w:tcW w:type="dxa" w:w="1700"/>
            <w:vAlign w:val="center"/>
          </w:tcPr>
          <w:p>
            <w:pPr>
              <w:spacing w:after="0" w:line="245" w:lineRule="auto"/>
            </w:pPr>
            <w:r>
              <w:rPr>
                <w:rFonts w:ascii="Calibri" w:hAnsi="Calibri"/>
                <w:color w:val="000000"/>
                <w:sz w:val="15"/>
              </w:rPr>
              <w:t>NORM-ALL3-AUX</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Couverture de tous les gluages avec coefficient dominant 2.</w:t>
            </w:r>
          </w:p>
        </w:tc>
      </w:tr>
      <w:tr>
        <w:trPr>
          <w:cantSplit/>
        </w:trPr>
        <w:tc>
          <w:tcPr>
            <w:tcW w:type="dxa" w:w="1700"/>
            <w:vAlign w:val="center"/>
          </w:tcPr>
          <w:p>
            <w:pPr>
              <w:spacing w:after="0" w:line="245" w:lineRule="auto"/>
            </w:pPr>
            <w:r>
              <w:rPr>
                <w:rFonts w:ascii="Calibri" w:hAnsi="Calibri"/>
                <w:color w:val="000000"/>
                <w:sz w:val="15"/>
              </w:rPr>
              <w:t>FS-ALG</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Schur exact : isospectralité du noyau, positivité, symétries.</w:t>
            </w:r>
          </w:p>
        </w:tc>
      </w:tr>
      <w:tr>
        <w:trPr>
          <w:cantSplit/>
        </w:trPr>
        <w:tc>
          <w:tcPr>
            <w:tcW w:type="dxa" w:w="1700"/>
            <w:vAlign w:val="center"/>
          </w:tcPr>
          <w:p>
            <w:pPr>
              <w:spacing w:after="0" w:line="245" w:lineRule="auto"/>
            </w:pPr>
            <w:r>
              <w:rPr>
                <w:rFonts w:ascii="Calibri" w:hAnsi="Calibri"/>
                <w:color w:val="000000"/>
                <w:sz w:val="15"/>
              </w:rPr>
              <w:t>FS-DENSE</w:t>
            </w:r>
          </w:p>
        </w:tc>
        <w:tc>
          <w:tcPr>
            <w:tcW w:type="dxa" w:w="1980"/>
            <w:vAlign w:val="center"/>
            <w:shd w:fill="FDECEC"/>
          </w:tcPr>
          <w:p>
            <w:pPr>
              <w:spacing w:after="0" w:line="245" w:lineRule="auto"/>
            </w:pPr>
            <w:r>
              <w:rPr>
                <w:rFonts w:ascii="Calibri" w:hAnsi="Calibri"/>
                <w:b/>
                <w:color w:val="9B1C1C"/>
                <w:sz w:val="17"/>
              </w:rPr>
              <w:t>FERMÉE [FAIL]</w:t>
            </w:r>
          </w:p>
        </w:tc>
        <w:tc>
          <w:tcPr>
            <w:tcW w:type="dxa" w:w="5680"/>
            <w:vAlign w:val="center"/>
          </w:tcPr>
          <w:p>
            <w:pPr>
              <w:spacing w:after="0" w:line="245" w:lineRule="auto"/>
            </w:pPr>
            <w:r>
              <w:rPr>
                <w:rFonts w:ascii="Calibri" w:hAnsi="Calibri"/>
                <w:color w:val="000000"/>
                <w:sz w:val="15"/>
              </w:rPr>
              <w:t>La réduction exacte peut engendrer des couplages denses.</w:t>
            </w:r>
          </w:p>
        </w:tc>
      </w:tr>
      <w:tr>
        <w:trPr>
          <w:cantSplit/>
        </w:trPr>
        <w:tc>
          <w:tcPr>
            <w:tcW w:type="dxa" w:w="1700"/>
            <w:vAlign w:val="center"/>
          </w:tcPr>
          <w:p>
            <w:pPr>
              <w:spacing w:after="0" w:line="245" w:lineRule="auto"/>
            </w:pPr>
            <w:r>
              <w:rPr>
                <w:rFonts w:ascii="Calibri" w:hAnsi="Calibri"/>
                <w:color w:val="000000"/>
                <w:sz w:val="15"/>
              </w:rPr>
              <w:t>FS-QL</w:t>
            </w:r>
          </w:p>
        </w:tc>
        <w:tc>
          <w:tcPr>
            <w:tcW w:type="dxa" w:w="1980"/>
            <w:vAlign w:val="center"/>
            <w:shd w:fill="E8F3ED"/>
          </w:tcPr>
          <w:p>
            <w:pPr>
              <w:spacing w:after="0" w:line="245" w:lineRule="auto"/>
            </w:pPr>
            <w:r>
              <w:rPr>
                <w:rFonts w:ascii="Calibri" w:hAnsi="Calibri"/>
                <w:b/>
                <w:color w:val="1F5E46"/>
                <w:sz w:val="17"/>
              </w:rPr>
              <w:t>FERMÉE [T-C]</w:t>
            </w:r>
          </w:p>
        </w:tc>
        <w:tc>
          <w:tcPr>
            <w:tcW w:type="dxa" w:w="5680"/>
            <w:vAlign w:val="center"/>
          </w:tcPr>
          <w:p>
            <w:pPr>
              <w:spacing w:after="0" w:line="245" w:lineRule="auto"/>
            </w:pPr>
            <w:r>
              <w:rPr>
                <w:rFonts w:ascii="Calibri" w:hAnsi="Calibri"/>
                <w:color w:val="000000"/>
                <w:sz w:val="15"/>
              </w:rPr>
              <w:t>Quasi-localité exponentielle si le résolvant est contractant.</w:t>
            </w:r>
          </w:p>
        </w:tc>
      </w:tr>
      <w:tr>
        <w:trPr>
          <w:cantSplit/>
        </w:trPr>
        <w:tc>
          <w:tcPr>
            <w:tcW w:type="dxa" w:w="1700"/>
            <w:vAlign w:val="center"/>
          </w:tcPr>
          <w:p>
            <w:pPr>
              <w:spacing w:after="0" w:line="245" w:lineRule="auto"/>
            </w:pPr>
            <w:r>
              <w:rPr>
                <w:rFonts w:ascii="Calibri" w:hAnsi="Calibri"/>
                <w:color w:val="000000"/>
                <w:sz w:val="15"/>
              </w:rPr>
              <w:t>CAP-RG</w:t>
            </w:r>
          </w:p>
        </w:tc>
        <w:tc>
          <w:tcPr>
            <w:tcW w:type="dxa" w:w="1980"/>
            <w:vAlign w:val="center"/>
            <w:shd w:fill="E8F3ED"/>
          </w:tcPr>
          <w:p>
            <w:pPr>
              <w:spacing w:after="0" w:line="245" w:lineRule="auto"/>
            </w:pPr>
            <w:r>
              <w:rPr>
                <w:rFonts w:ascii="Calibri" w:hAnsi="Calibri"/>
                <w:b/>
                <w:color w:val="1F5E46"/>
                <w:sz w:val="17"/>
              </w:rPr>
              <w:t>FERMÉE [T-C]</w:t>
            </w:r>
          </w:p>
        </w:tc>
        <w:tc>
          <w:tcPr>
            <w:tcW w:type="dxa" w:w="5680"/>
            <w:vAlign w:val="center"/>
          </w:tcPr>
          <w:p>
            <w:pPr>
              <w:spacing w:after="0" w:line="245" w:lineRule="auto"/>
            </w:pPr>
            <w:r>
              <w:rPr>
                <w:rFonts w:ascii="Calibri" w:hAnsi="Calibri"/>
                <w:color w:val="000000"/>
                <w:sz w:val="15"/>
              </w:rPr>
              <w:t>Inégalités finies suffisantes pour un point fixe unique.</w:t>
            </w:r>
          </w:p>
        </w:tc>
      </w:tr>
      <w:tr>
        <w:trPr>
          <w:cantSplit/>
        </w:trPr>
        <w:tc>
          <w:tcPr>
            <w:tcW w:type="dxa" w:w="1700"/>
            <w:vAlign w:val="center"/>
          </w:tcPr>
          <w:p>
            <w:pPr>
              <w:spacing w:after="0" w:line="245" w:lineRule="auto"/>
            </w:pPr>
            <w:r>
              <w:rPr>
                <w:rFonts w:ascii="Calibri" w:hAnsi="Calibri"/>
                <w:color w:val="000000"/>
                <w:sz w:val="15"/>
              </w:rPr>
              <w:t>Q-NONID</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Une même mesure π admet plusieurs dynamiques et gaps.</w:t>
            </w:r>
          </w:p>
        </w:tc>
      </w:tr>
      <w:tr>
        <w:trPr>
          <w:cantSplit/>
        </w:trPr>
        <w:tc>
          <w:tcPr>
            <w:tcW w:type="dxa" w:w="1700"/>
            <w:vAlign w:val="center"/>
          </w:tcPr>
          <w:p>
            <w:pPr>
              <w:spacing w:after="0" w:line="245" w:lineRule="auto"/>
            </w:pPr>
            <w:r>
              <w:rPr>
                <w:rFonts w:ascii="Calibri" w:hAnsi="Calibri"/>
                <w:color w:val="000000"/>
                <w:sz w:val="15"/>
              </w:rPr>
              <w:t>CAN-Λ</w:t>
            </w:r>
          </w:p>
        </w:tc>
        <w:tc>
          <w:tcPr>
            <w:tcW w:type="dxa" w:w="1980"/>
            <w:vAlign w:val="center"/>
            <w:shd w:fill="E8F3ED"/>
          </w:tcPr>
          <w:p>
            <w:pPr>
              <w:spacing w:after="0" w:line="245" w:lineRule="auto"/>
            </w:pPr>
            <w:r>
              <w:rPr>
                <w:rFonts w:ascii="Calibri" w:hAnsi="Calibri"/>
                <w:b/>
                <w:color w:val="1F5E46"/>
                <w:sz w:val="17"/>
              </w:rPr>
              <w:t>FERMÉE [T]</w:t>
            </w:r>
          </w:p>
        </w:tc>
        <w:tc>
          <w:tcPr>
            <w:tcW w:type="dxa" w:w="5680"/>
            <w:vAlign w:val="center"/>
          </w:tcPr>
          <w:p>
            <w:pPr>
              <w:spacing w:after="0" w:line="245" w:lineRule="auto"/>
            </w:pPr>
            <w:r>
              <w:rPr>
                <w:rFonts w:ascii="Calibri" w:hAnsi="Calibri"/>
                <w:color w:val="000000"/>
                <w:sz w:val="15"/>
              </w:rPr>
              <w:t>Décalage d’énergie du vide invisible à volume fixé.</w:t>
            </w:r>
          </w:p>
        </w:tc>
      </w:tr>
      <w:tr>
        <w:trPr>
          <w:cantSplit/>
        </w:trPr>
        <w:tc>
          <w:tcPr>
            <w:tcW w:type="dxa" w:w="1700"/>
            <w:vAlign w:val="center"/>
          </w:tcPr>
          <w:p>
            <w:pPr>
              <w:spacing w:after="0" w:line="245" w:lineRule="auto"/>
            </w:pPr>
            <w:r>
              <w:rPr>
                <w:rFonts w:ascii="Calibri" w:hAnsi="Calibri"/>
                <w:color w:val="000000"/>
                <w:sz w:val="15"/>
              </w:rPr>
              <w:t>SCHUR-TX</w:t>
            </w:r>
          </w:p>
        </w:tc>
        <w:tc>
          <w:tcPr>
            <w:tcW w:type="dxa" w:w="1980"/>
            <w:vAlign w:val="center"/>
            <w:shd w:fill="E8F3ED"/>
          </w:tcPr>
          <w:p>
            <w:pPr>
              <w:spacing w:after="0" w:line="245" w:lineRule="auto"/>
            </w:pPr>
            <w:r>
              <w:rPr>
                <w:rFonts w:ascii="Calibri" w:hAnsi="Calibri"/>
                <w:b/>
                <w:color w:val="1F5E46"/>
                <w:sz w:val="17"/>
              </w:rPr>
              <w:t>FERMÉE [T-C]</w:t>
            </w:r>
          </w:p>
        </w:tc>
        <w:tc>
          <w:tcPr>
            <w:tcW w:type="dxa" w:w="5680"/>
            <w:vAlign w:val="center"/>
          </w:tcPr>
          <w:p>
            <w:pPr>
              <w:spacing w:after="0" w:line="245" w:lineRule="auto"/>
            </w:pPr>
            <w:r>
              <w:rPr>
                <w:rFonts w:ascii="Calibri" w:hAnsi="Calibri"/>
                <w:color w:val="000000"/>
                <w:sz w:val="15"/>
              </w:rPr>
              <w:t>Transmission d’une criticité matière vers TT si le couplage projeté est non nul.</w:t>
            </w:r>
          </w:p>
        </w:tc>
      </w:tr>
    </w:tbl>
    <w:p>
      <w:pPr>
        <w:keepLines w:val="0"/>
        <w:spacing w:before="0" w:after="12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0B2545"/>
                <w:sz w:val="22"/>
              </w:rPr>
              <w:t xml:space="preserve">Gel. </w:t>
            </w:r>
            <w:r>
              <w:rPr>
                <w:rFonts w:ascii="Calibri" w:hAnsi="Calibri"/>
                <w:color w:val="0B2545"/>
                <w:sz w:val="22"/>
              </w:rPr>
              <w:t>Aucune ligne de ce registre ne ferme G0–G6 à elle seule. Les lignes [T-C] deviennent des preuves physiques uniquement lorsque leurs hypothèses reçoivent des bornes uniformes sur la suite de cutoffs officielle.</w:t>
            </w:r>
          </w:p>
        </w:tc>
      </w:tr>
    </w:tbl>
    <w:p>
      <w:pPr>
        <w:keepLines w:val="0"/>
        <w:spacing w:before="0" w:after="40" w:line="264" w:lineRule="auto"/>
        <w:jc w:val="left"/>
      </w:pPr>
      <w:r>
        <w:rPr>
          <w:rFonts w:ascii="Calibri" w:hAnsi="Calibri"/>
          <w:b w:val="0"/>
          <w:i w:val="0"/>
          <w:color w:val="000000"/>
          <w:sz w:val="22"/>
        </w:rPr>
      </w:r>
    </w:p>
    <w:p>
      <w:pPr>
        <w:pStyle w:val="Heading1"/>
        <w:keepNext/>
        <w:pageBreakBefore/>
      </w:pPr>
      <w:r>
        <w:t>PARTIE II — Ce que l’état de l’art permet réellement d’importer</w:t>
      </w:r>
    </w:p>
    <w:p>
      <w:pPr>
        <w:keepLines w:val="0"/>
        <w:spacing w:before="0" w:after="120" w:line="300" w:lineRule="auto"/>
        <w:jc w:val="left"/>
      </w:pPr>
      <w:r>
        <w:rPr>
          <w:rFonts w:ascii="Calibri" w:hAnsi="Calibri"/>
          <w:b w:val="0"/>
          <w:i w:val="0"/>
          <w:color w:val="000000"/>
          <w:sz w:val="22"/>
        </w:rPr>
        <w:t>La recherche a été conduite sur des sources arXiv primaires. Une méthode externe n’est pas une preuve pour BLOB : elle fournit soit une construction transférable, soit un avertissement, soit une cible de comparaison. Le tableau distingue ces trois rôles.</w:t>
      </w:r>
    </w:p>
    <w:tbl>
      <w:tblPr>
        <w:tblStyle w:val="TableGrid"/>
        <w:tblW w:type="dxa" w:w="9360"/>
        <w:tblLayout w:type="fixed"/>
        <w:tblLook w:firstColumn="1" w:firstRow="1" w:lastColumn="0" w:lastRow="0" w:noHBand="0" w:noVBand="1" w:val="04A0"/>
        <w:jc w:val="left"/>
        <w:tblInd w:w="120" w:type="dxa"/>
      </w:tblPr>
      <w:tblGrid>
        <w:gridCol w:w="1450"/>
        <w:gridCol w:w="4460"/>
        <w:gridCol w:w="3450"/>
      </w:tblGrid>
      <w:tr>
        <w:trPr>
          <w:tblHeader w:val="true"/>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0B2545"/>
                <w:sz w:val="15"/>
              </w:rPr>
              <w:t>Axe</w:t>
            </w:r>
          </w:p>
        </w:tc>
        <w:tc>
          <w:tcPr>
            <w:tcW w:type="dxa" w:w="4460"/>
            <w:tcMar>
              <w:top w:w="80" w:type="dxa"/>
              <w:start w:w="120" w:type="dxa"/>
              <w:bottom w:w="80" w:type="dxa"/>
              <w:end w:w="120" w:type="dxa"/>
            </w:tcMar>
            <w:vAlign w:val="center"/>
            <w:shd w:fill="E8EEF5"/>
          </w:tcPr>
          <w:p>
            <w:pPr>
              <w:spacing w:after="0" w:line="240" w:lineRule="auto"/>
            </w:pPr>
            <w:r>
              <w:rPr>
                <w:rFonts w:ascii="Calibri" w:hAnsi="Calibri"/>
                <w:b/>
                <w:color w:val="0B2545"/>
                <w:sz w:val="15"/>
              </w:rPr>
              <w:t>Résultat primaire</w:t>
            </w:r>
          </w:p>
        </w:tc>
        <w:tc>
          <w:tcPr>
            <w:tcW w:type="dxa" w:w="3450"/>
            <w:tcMar>
              <w:top w:w="80" w:type="dxa"/>
              <w:start w:w="120" w:type="dxa"/>
              <w:bottom w:w="80" w:type="dxa"/>
              <w:end w:w="120" w:type="dxa"/>
            </w:tcMar>
            <w:vAlign w:val="center"/>
            <w:shd w:fill="E8EEF5"/>
          </w:tcPr>
          <w:p>
            <w:pPr>
              <w:spacing w:after="0" w:line="240" w:lineRule="auto"/>
            </w:pPr>
            <w:r>
              <w:rPr>
                <w:rFonts w:ascii="Calibri" w:hAnsi="Calibri"/>
                <w:b/>
                <w:color w:val="0B2545"/>
                <w:sz w:val="15"/>
              </w:rPr>
              <w:t>Import autorisé / veto</w:t>
            </w:r>
          </w:p>
        </w:tc>
      </w:tr>
      <w:tr>
        <w:trPr>
          <w:cantSplit/>
        </w:trPr>
        <w:tc>
          <w:tcPr>
            <w:tcW w:type="dxa" w:w="1450"/>
            <w:vAlign w:val="center"/>
          </w:tcPr>
          <w:p>
            <w:pPr>
              <w:spacing w:after="0" w:line="245" w:lineRule="auto"/>
            </w:pPr>
            <w:r>
              <w:rPr>
                <w:rFonts w:ascii="Calibri" w:hAnsi="Calibri"/>
                <w:color w:val="000000"/>
                <w:sz w:val="15"/>
              </w:rPr>
              <w:t>RG rigoureux</w:t>
            </w:r>
          </w:p>
        </w:tc>
        <w:tc>
          <w:tcPr>
            <w:tcW w:type="dxa" w:w="4460"/>
            <w:vAlign w:val="center"/>
          </w:tcPr>
          <w:p>
            <w:pPr>
              <w:spacing w:after="0" w:line="245" w:lineRule="auto"/>
            </w:pPr>
            <w:r>
              <w:rPr>
                <w:rFonts w:ascii="Calibri" w:hAnsi="Calibri"/>
                <w:color w:val="000000"/>
                <w:sz w:val="15"/>
              </w:rPr>
              <w:t>Un point fixe peut être construit dans un Banach contenant toutes les interactions irrélevantes à queues courtes [R1].</w:t>
            </w:r>
          </w:p>
        </w:tc>
        <w:tc>
          <w:tcPr>
            <w:tcW w:type="dxa" w:w="3450"/>
            <w:vAlign w:val="center"/>
          </w:tcPr>
          <w:p>
            <w:pPr>
              <w:spacing w:after="0" w:line="245" w:lineRule="auto"/>
            </w:pPr>
            <w:r>
              <w:rPr>
                <w:rFonts w:ascii="Calibri" w:hAnsi="Calibri"/>
                <w:color w:val="000000"/>
                <w:sz w:val="15"/>
              </w:rPr>
              <w:t>Importer l’architecture Banach; pas le point fixe.</w:t>
            </w:r>
          </w:p>
        </w:tc>
      </w:tr>
      <w:tr>
        <w:trPr>
          <w:cantSplit/>
        </w:trPr>
        <w:tc>
          <w:tcPr>
            <w:tcW w:type="dxa" w:w="1450"/>
            <w:vAlign w:val="center"/>
          </w:tcPr>
          <w:p>
            <w:pPr>
              <w:spacing w:after="0" w:line="245" w:lineRule="auto"/>
            </w:pPr>
            <w:r>
              <w:rPr>
                <w:rFonts w:ascii="Calibri" w:hAnsi="Calibri"/>
                <w:color w:val="000000"/>
                <w:sz w:val="15"/>
              </w:rPr>
              <w:t>Feshbach</w:t>
            </w:r>
          </w:p>
        </w:tc>
        <w:tc>
          <w:tcPr>
            <w:tcW w:type="dxa" w:w="4460"/>
            <w:vAlign w:val="center"/>
          </w:tcPr>
          <w:p>
            <w:pPr>
              <w:spacing w:after="0" w:line="245" w:lineRule="auto"/>
            </w:pPr>
            <w:r>
              <w:rPr>
                <w:rFonts w:ascii="Calibri" w:hAnsi="Calibri"/>
                <w:color w:val="000000"/>
                <w:sz w:val="15"/>
              </w:rPr>
              <w:t>Le RG isospectral est une réduction exacte d’opérateurs [R2,R3].</w:t>
            </w:r>
          </w:p>
        </w:tc>
        <w:tc>
          <w:tcPr>
            <w:tcW w:type="dxa" w:w="3450"/>
            <w:vAlign w:val="center"/>
          </w:tcPr>
          <w:p>
            <w:pPr>
              <w:spacing w:after="0" w:line="245" w:lineRule="auto"/>
            </w:pPr>
            <w:r>
              <w:rPr>
                <w:rFonts w:ascii="Calibri" w:hAnsi="Calibri"/>
                <w:color w:val="000000"/>
                <w:sz w:val="15"/>
              </w:rPr>
              <w:t>Importer Schur et reconstruction; prouver le résolvant BLOB.</w:t>
            </w:r>
          </w:p>
        </w:tc>
      </w:tr>
      <w:tr>
        <w:trPr>
          <w:cantSplit/>
        </w:trPr>
        <w:tc>
          <w:tcPr>
            <w:tcW w:type="dxa" w:w="1450"/>
            <w:vAlign w:val="center"/>
          </w:tcPr>
          <w:p>
            <w:pPr>
              <w:spacing w:after="0" w:line="245" w:lineRule="auto"/>
            </w:pPr>
            <w:r>
              <w:rPr>
                <w:rFonts w:ascii="Calibri" w:hAnsi="Calibri"/>
                <w:color w:val="000000"/>
                <w:sz w:val="15"/>
              </w:rPr>
              <w:t>CAP</w:t>
            </w:r>
          </w:p>
        </w:tc>
        <w:tc>
          <w:tcPr>
            <w:tcW w:type="dxa" w:w="4460"/>
            <w:vAlign w:val="center"/>
          </w:tcPr>
          <w:p>
            <w:pPr>
              <w:spacing w:after="0" w:line="245" w:lineRule="auto"/>
            </w:pPr>
            <w:r>
              <w:rPr>
                <w:rFonts w:ascii="Calibri" w:hAnsi="Calibri"/>
                <w:color w:val="000000"/>
                <w:sz w:val="15"/>
              </w:rPr>
              <w:t>Intervalle + contraction certifient existence, unicité et spectre dans des modèles de renormalisation [R4–R6].</w:t>
            </w:r>
          </w:p>
        </w:tc>
        <w:tc>
          <w:tcPr>
            <w:tcW w:type="dxa" w:w="3450"/>
            <w:vAlign w:val="center"/>
          </w:tcPr>
          <w:p>
            <w:pPr>
              <w:spacing w:after="0" w:line="245" w:lineRule="auto"/>
            </w:pPr>
            <w:r>
              <w:rPr>
                <w:rFonts w:ascii="Calibri" w:hAnsi="Calibri"/>
                <w:color w:val="000000"/>
                <w:sz w:val="15"/>
              </w:rPr>
              <w:t>Importer le format de certificat; recalculer toutes les bornes.</w:t>
            </w:r>
          </w:p>
        </w:tc>
      </w:tr>
      <w:tr>
        <w:trPr>
          <w:cantSplit/>
        </w:trPr>
        <w:tc>
          <w:tcPr>
            <w:tcW w:type="dxa" w:w="1450"/>
            <w:vAlign w:val="center"/>
          </w:tcPr>
          <w:p>
            <w:pPr>
              <w:spacing w:after="0" w:line="245" w:lineRule="auto"/>
            </w:pPr>
            <w:r>
              <w:rPr>
                <w:rFonts w:ascii="Calibri" w:hAnsi="Calibri"/>
                <w:color w:val="000000"/>
                <w:sz w:val="15"/>
              </w:rPr>
              <w:t>OS/Hamiltonien</w:t>
            </w:r>
          </w:p>
        </w:tc>
        <w:tc>
          <w:tcPr>
            <w:tcW w:type="dxa" w:w="4460"/>
            <w:vAlign w:val="center"/>
          </w:tcPr>
          <w:p>
            <w:pPr>
              <w:spacing w:after="0" w:line="245" w:lineRule="auto"/>
            </w:pPr>
            <w:r>
              <w:rPr>
                <w:rFonts w:ascii="Calibri" w:hAnsi="Calibri"/>
                <w:color w:val="000000"/>
                <w:sz w:val="15"/>
              </w:rPr>
              <w:t>Le flot peut agir directement sur les données OS/Hamiltoniennes [R7].</w:t>
            </w:r>
          </w:p>
        </w:tc>
        <w:tc>
          <w:tcPr>
            <w:tcW w:type="dxa" w:w="3450"/>
            <w:vAlign w:val="center"/>
          </w:tcPr>
          <w:p>
            <w:pPr>
              <w:spacing w:after="0" w:line="245" w:lineRule="auto"/>
            </w:pPr>
            <w:r>
              <w:rPr>
                <w:rFonts w:ascii="Calibri" w:hAnsi="Calibri"/>
                <w:color w:val="000000"/>
                <w:sz w:val="15"/>
              </w:rPr>
              <w:t>Relier cutoff, mesure et Hamiltonien par diagrammes contrôlés.</w:t>
            </w:r>
          </w:p>
        </w:tc>
      </w:tr>
      <w:tr>
        <w:trPr>
          <w:cantSplit/>
        </w:trPr>
        <w:tc>
          <w:tcPr>
            <w:tcW w:type="dxa" w:w="1450"/>
            <w:vAlign w:val="center"/>
          </w:tcPr>
          <w:p>
            <w:pPr>
              <w:spacing w:after="0" w:line="245" w:lineRule="auto"/>
            </w:pPr>
            <w:r>
              <w:rPr>
                <w:rFonts w:ascii="Calibri" w:hAnsi="Calibri"/>
                <w:color w:val="000000"/>
                <w:sz w:val="15"/>
              </w:rPr>
              <w:t>CDT</w:t>
            </w:r>
          </w:p>
        </w:tc>
        <w:tc>
          <w:tcPr>
            <w:tcW w:type="dxa" w:w="4460"/>
            <w:vAlign w:val="center"/>
          </w:tcPr>
          <w:p>
            <w:pPr>
              <w:spacing w:after="0" w:line="245" w:lineRule="auto"/>
            </w:pPr>
            <w:r>
              <w:rPr>
                <w:rFonts w:ascii="Calibri" w:hAnsi="Calibri"/>
                <w:color w:val="000000"/>
                <w:sz w:val="15"/>
              </w:rPr>
              <w:t>Transfert fini, RP et transitions d’ordre supérieur sont établis/observés [R9,R10].</w:t>
            </w:r>
          </w:p>
        </w:tc>
        <w:tc>
          <w:tcPr>
            <w:tcW w:type="dxa" w:w="3450"/>
            <w:vAlign w:val="center"/>
          </w:tcPr>
          <w:p>
            <w:pPr>
              <w:spacing w:after="0" w:line="245" w:lineRule="auto"/>
            </w:pPr>
            <w:r>
              <w:rPr>
                <w:rFonts w:ascii="Calibri" w:hAnsi="Calibri"/>
                <w:color w:val="000000"/>
                <w:sz w:val="15"/>
              </w:rPr>
              <w:t>BLOB doit égaler la discipline de transfert et dépasser par CAP continuum.</w:t>
            </w:r>
          </w:p>
        </w:tc>
      </w:tr>
      <w:tr>
        <w:trPr>
          <w:cantSplit/>
        </w:trPr>
        <w:tc>
          <w:tcPr>
            <w:tcW w:type="dxa" w:w="1450"/>
            <w:vAlign w:val="center"/>
          </w:tcPr>
          <w:p>
            <w:pPr>
              <w:spacing w:after="0" w:line="245" w:lineRule="auto"/>
            </w:pPr>
            <w:r>
              <w:rPr>
                <w:rFonts w:ascii="Calibri" w:hAnsi="Calibri"/>
                <w:color w:val="000000"/>
                <w:sz w:val="15"/>
              </w:rPr>
              <w:t>Tensor/GFT</w:t>
            </w:r>
          </w:p>
        </w:tc>
        <w:tc>
          <w:tcPr>
            <w:tcW w:type="dxa" w:w="4460"/>
            <w:vAlign w:val="center"/>
          </w:tcPr>
          <w:p>
            <w:pPr>
              <w:spacing w:after="0" w:line="245" w:lineRule="auto"/>
            </w:pPr>
            <w:r>
              <w:rPr>
                <w:rFonts w:ascii="Calibri" w:hAnsi="Calibri"/>
                <w:color w:val="000000"/>
                <w:sz w:val="15"/>
              </w:rPr>
              <w:t>Domaine compact : zéro-modes et absence de transition; degrés locaux/non compacts peuvent la restaurer [R11,R12].</w:t>
            </w:r>
          </w:p>
        </w:tc>
        <w:tc>
          <w:tcPr>
            <w:tcW w:type="dxa" w:w="3450"/>
            <w:vAlign w:val="center"/>
          </w:tcPr>
          <w:p>
            <w:pPr>
              <w:spacing w:after="0" w:line="245" w:lineRule="auto"/>
            </w:pPr>
            <w:r>
              <w:rPr>
                <w:rFonts w:ascii="Calibri" w:hAnsi="Calibri"/>
                <w:color w:val="000000"/>
                <w:sz w:val="15"/>
              </w:rPr>
              <w:t>Veto contre une base purement combinatoire fermée.</w:t>
            </w:r>
          </w:p>
        </w:tc>
      </w:tr>
      <w:tr>
        <w:trPr>
          <w:cantSplit/>
        </w:trPr>
        <w:tc>
          <w:tcPr>
            <w:tcW w:type="dxa" w:w="1450"/>
            <w:vAlign w:val="center"/>
          </w:tcPr>
          <w:p>
            <w:pPr>
              <w:spacing w:after="0" w:line="245" w:lineRule="auto"/>
            </w:pPr>
            <w:r>
              <w:rPr>
                <w:rFonts w:ascii="Calibri" w:hAnsi="Calibri"/>
                <w:color w:val="000000"/>
                <w:sz w:val="15"/>
              </w:rPr>
              <w:t>Tenseurs 4D</w:t>
            </w:r>
          </w:p>
        </w:tc>
        <w:tc>
          <w:tcPr>
            <w:tcW w:type="dxa" w:w="4460"/>
            <w:vAlign w:val="center"/>
          </w:tcPr>
          <w:p>
            <w:pPr>
              <w:spacing w:after="0" w:line="245" w:lineRule="auto"/>
            </w:pPr>
            <w:r>
              <w:rPr>
                <w:rFonts w:ascii="Calibri" w:hAnsi="Calibri"/>
                <w:color w:val="000000"/>
                <w:sz w:val="15"/>
              </w:rPr>
              <w:t>Un modèle simple peut tomber dans une autre classe d’universalité que Reuter [R13].</w:t>
            </w:r>
          </w:p>
        </w:tc>
        <w:tc>
          <w:tcPr>
            <w:tcW w:type="dxa" w:w="3450"/>
            <w:vAlign w:val="center"/>
          </w:tcPr>
          <w:p>
            <w:pPr>
              <w:spacing w:after="0" w:line="245" w:lineRule="auto"/>
            </w:pPr>
            <w:r>
              <w:rPr>
                <w:rFonts w:ascii="Calibri" w:hAnsi="Calibri"/>
                <w:color w:val="000000"/>
                <w:sz w:val="15"/>
              </w:rPr>
              <w:t>Ne pas identifier fixed point combinatoire et gravité.</w:t>
            </w:r>
          </w:p>
        </w:tc>
      </w:tr>
      <w:tr>
        <w:trPr>
          <w:cantSplit/>
        </w:trPr>
        <w:tc>
          <w:tcPr>
            <w:tcW w:type="dxa" w:w="1450"/>
            <w:vAlign w:val="center"/>
          </w:tcPr>
          <w:p>
            <w:pPr>
              <w:spacing w:after="0" w:line="245" w:lineRule="auto"/>
            </w:pPr>
            <w:r>
              <w:rPr>
                <w:rFonts w:ascii="Calibri" w:hAnsi="Calibri"/>
                <w:color w:val="000000"/>
                <w:sz w:val="15"/>
              </w:rPr>
              <w:t>Hořava</w:t>
            </w:r>
          </w:p>
        </w:tc>
        <w:tc>
          <w:tcPr>
            <w:tcW w:type="dxa" w:w="4460"/>
            <w:vAlign w:val="center"/>
          </w:tcPr>
          <w:p>
            <w:pPr>
              <w:spacing w:after="0" w:line="245" w:lineRule="auto"/>
            </w:pPr>
            <w:r>
              <w:rPr>
                <w:rFonts w:ascii="Calibri" w:hAnsi="Calibri"/>
                <w:color w:val="000000"/>
                <w:sz w:val="15"/>
              </w:rPr>
              <w:t>La branche projectable a des β complètes/AF; le point cinétique-conforme a deux modes, mais les garanties ne coïncident pas [R15–R17].</w:t>
            </w:r>
          </w:p>
        </w:tc>
        <w:tc>
          <w:tcPr>
            <w:tcW w:type="dxa" w:w="3450"/>
            <w:vAlign w:val="center"/>
          </w:tcPr>
          <w:p>
            <w:pPr>
              <w:spacing w:after="0" w:line="245" w:lineRule="auto"/>
            </w:pPr>
            <w:r>
              <w:rPr>
                <w:rFonts w:ascii="Calibri" w:hAnsi="Calibri"/>
                <w:color w:val="000000"/>
                <w:sz w:val="15"/>
              </w:rPr>
              <w:t>Traiter renormalisation, 2 hélicités et Lorentz comme trois tests séparés.</w:t>
            </w:r>
          </w:p>
        </w:tc>
      </w:tr>
      <w:tr>
        <w:trPr>
          <w:cantSplit/>
        </w:trPr>
        <w:tc>
          <w:tcPr>
            <w:tcW w:type="dxa" w:w="1450"/>
            <w:vAlign w:val="center"/>
          </w:tcPr>
          <w:p>
            <w:pPr>
              <w:spacing w:after="0" w:line="245" w:lineRule="auto"/>
            </w:pPr>
            <w:r>
              <w:rPr>
                <w:rFonts w:ascii="Calibri" w:hAnsi="Calibri"/>
                <w:color w:val="000000"/>
                <w:sz w:val="15"/>
              </w:rPr>
              <w:t>Chiralité</w:t>
            </w:r>
          </w:p>
        </w:tc>
        <w:tc>
          <w:tcPr>
            <w:tcW w:type="dxa" w:w="4460"/>
            <w:vAlign w:val="center"/>
          </w:tcPr>
          <w:p>
            <w:pPr>
              <w:spacing w:after="0" w:line="245" w:lineRule="auto"/>
            </w:pPr>
            <w:r>
              <w:rPr>
                <w:rFonts w:ascii="Calibri" w:hAnsi="Calibri"/>
                <w:color w:val="000000"/>
                <w:sz w:val="15"/>
              </w:rPr>
              <w:t>GW résout U(1) anomale-libre; les constructions SO(10)/disentanglers ouvrent des voies [R18–R20].</w:t>
            </w:r>
          </w:p>
        </w:tc>
        <w:tc>
          <w:tcPr>
            <w:tcW w:type="dxa" w:w="3450"/>
            <w:vAlign w:val="center"/>
          </w:tcPr>
          <w:p>
            <w:pPr>
              <w:spacing w:after="0" w:line="245" w:lineRule="auto"/>
            </w:pPr>
            <w:r>
              <w:rPr>
                <w:rFonts w:ascii="Calibri" w:hAnsi="Calibri"/>
                <w:color w:val="000000"/>
                <w:sz w:val="15"/>
              </w:rPr>
              <w:t>Anomalie n’est pas suffisante : gauging/onsiteability peut encore échouer [R21].</w:t>
            </w:r>
          </w:p>
        </w:tc>
      </w:tr>
      <w:tr>
        <w:trPr>
          <w:cantSplit/>
        </w:trPr>
        <w:tc>
          <w:tcPr>
            <w:tcW w:type="dxa" w:w="1450"/>
            <w:vAlign w:val="center"/>
          </w:tcPr>
          <w:p>
            <w:pPr>
              <w:spacing w:after="0" w:line="245" w:lineRule="auto"/>
            </w:pPr>
            <w:r>
              <w:rPr>
                <w:rFonts w:ascii="Calibri" w:hAnsi="Calibri"/>
                <w:color w:val="000000"/>
                <w:sz w:val="15"/>
              </w:rPr>
              <w:t>Spin(10)</w:t>
            </w:r>
          </w:p>
        </w:tc>
        <w:tc>
          <w:tcPr>
            <w:tcW w:type="dxa" w:w="4460"/>
            <w:vAlign w:val="center"/>
          </w:tcPr>
          <w:p>
            <w:pPr>
              <w:spacing w:after="0" w:line="245" w:lineRule="auto"/>
            </w:pPr>
            <w:r>
              <w:rPr>
                <w:rFonts w:ascii="Calibri" w:hAnsi="Calibri"/>
                <w:color w:val="000000"/>
                <w:sz w:val="15"/>
              </w:rPr>
              <w:t>Des modèles précis unifient et prédisent; d’autres minima échouent sur Higgs/proton [R23,R24].</w:t>
            </w:r>
          </w:p>
        </w:tc>
        <w:tc>
          <w:tcPr>
            <w:tcW w:type="dxa" w:w="3450"/>
            <w:vAlign w:val="center"/>
          </w:tcPr>
          <w:p>
            <w:pPr>
              <w:spacing w:after="0" w:line="245" w:lineRule="auto"/>
            </w:pPr>
            <w:r>
              <w:rPr>
                <w:rFonts w:ascii="Calibri" w:hAnsi="Calibri"/>
                <w:color w:val="000000"/>
                <w:sz w:val="15"/>
              </w:rPr>
              <w:t>Déclarer le secteur scalaire exact avant tout chiffre.</w:t>
            </w:r>
          </w:p>
        </w:tc>
      </w:tr>
      <w:tr>
        <w:trPr>
          <w:cantSplit/>
        </w:trPr>
        <w:tc>
          <w:tcPr>
            <w:tcW w:type="dxa" w:w="1450"/>
            <w:vAlign w:val="center"/>
          </w:tcPr>
          <w:p>
            <w:pPr>
              <w:spacing w:after="0" w:line="245" w:lineRule="auto"/>
            </w:pPr>
            <w:r>
              <w:rPr>
                <w:rFonts w:ascii="Calibri" w:hAnsi="Calibri"/>
                <w:color w:val="000000"/>
                <w:sz w:val="15"/>
              </w:rPr>
              <w:t>Spin-2</w:t>
            </w:r>
          </w:p>
        </w:tc>
        <w:tc>
          <w:tcPr>
            <w:tcW w:type="dxa" w:w="4460"/>
            <w:vAlign w:val="center"/>
          </w:tcPr>
          <w:p>
            <w:pPr>
              <w:spacing w:after="0" w:line="245" w:lineRule="auto"/>
            </w:pPr>
            <w:r>
              <w:rPr>
                <w:rFonts w:ascii="Calibri" w:hAnsi="Calibri"/>
                <w:color w:val="000000"/>
                <w:sz w:val="15"/>
              </w:rPr>
              <w:t>Localité + graviton mou imposent couplage universel et relativité sous hypothèses [R25].</w:t>
            </w:r>
          </w:p>
        </w:tc>
        <w:tc>
          <w:tcPr>
            <w:tcW w:type="dxa" w:w="3450"/>
            <w:vAlign w:val="center"/>
          </w:tcPr>
          <w:p>
            <w:pPr>
              <w:spacing w:after="0" w:line="245" w:lineRule="auto"/>
            </w:pPr>
            <w:r>
              <w:rPr>
                <w:rFonts w:ascii="Calibri" w:hAnsi="Calibri"/>
                <w:color w:val="000000"/>
                <w:sz w:val="15"/>
              </w:rPr>
              <w:t>Le théorème vient après le pôle TT, jamais avant.</w:t>
            </w:r>
          </w:p>
        </w:tc>
      </w:tr>
      <w:tr>
        <w:trPr>
          <w:cantSplit/>
        </w:trPr>
        <w:tc>
          <w:tcPr>
            <w:tcW w:type="dxa" w:w="1450"/>
            <w:vAlign w:val="center"/>
          </w:tcPr>
          <w:p>
            <w:pPr>
              <w:spacing w:after="0" w:line="245" w:lineRule="auto"/>
            </w:pPr>
            <w:r>
              <w:rPr>
                <w:rFonts w:ascii="Calibri" w:hAnsi="Calibri"/>
                <w:color w:val="000000"/>
                <w:sz w:val="15"/>
              </w:rPr>
              <w:t>Spin foams</w:t>
            </w:r>
          </w:p>
        </w:tc>
        <w:tc>
          <w:tcPr>
            <w:tcW w:type="dxa" w:w="4460"/>
            <w:vAlign w:val="center"/>
          </w:tcPr>
          <w:p>
            <w:pPr>
              <w:spacing w:after="0" w:line="245" w:lineRule="auto"/>
            </w:pPr>
            <w:r>
              <w:rPr>
                <w:rFonts w:ascii="Calibri" w:hAnsi="Calibri"/>
                <w:color w:val="000000"/>
                <w:sz w:val="15"/>
              </w:rPr>
              <w:t>Une convergence trop forte peut produire une TQFT; RAQ/distributions évitent ce piège [R8].</w:t>
            </w:r>
          </w:p>
        </w:tc>
        <w:tc>
          <w:tcPr>
            <w:tcW w:type="dxa" w:w="3450"/>
            <w:vAlign w:val="center"/>
          </w:tcPr>
          <w:p>
            <w:pPr>
              <w:spacing w:after="0" w:line="245" w:lineRule="auto"/>
            </w:pPr>
            <w:r>
              <w:rPr>
                <w:rFonts w:ascii="Calibri" w:hAnsi="Calibri"/>
                <w:color w:val="000000"/>
                <w:sz w:val="15"/>
              </w:rPr>
              <w:t>Ajouter un témoin non topologique obligatoire.</w:t>
            </w:r>
          </w:p>
        </w:tc>
      </w:tr>
      <w:tr>
        <w:trPr>
          <w:cantSplit/>
        </w:trPr>
        <w:tc>
          <w:tcPr>
            <w:tcW w:type="dxa" w:w="1450"/>
            <w:vAlign w:val="center"/>
          </w:tcPr>
          <w:p>
            <w:pPr>
              <w:spacing w:after="0" w:line="245" w:lineRule="auto"/>
            </w:pPr>
            <w:r>
              <w:rPr>
                <w:rFonts w:ascii="Calibri" w:hAnsi="Calibri"/>
                <w:color w:val="000000"/>
                <w:sz w:val="15"/>
              </w:rPr>
              <w:t>Λ</w:t>
            </w:r>
          </w:p>
        </w:tc>
        <w:tc>
          <w:tcPr>
            <w:tcW w:type="dxa" w:w="4460"/>
            <w:vAlign w:val="center"/>
          </w:tcPr>
          <w:p>
            <w:pPr>
              <w:spacing w:after="0" w:line="245" w:lineRule="auto"/>
            </w:pPr>
            <w:r>
              <w:rPr>
                <w:rFonts w:ascii="Calibri" w:hAnsi="Calibri"/>
                <w:color w:val="000000"/>
                <w:sz w:val="15"/>
              </w:rPr>
              <w:t>Le no-go de Weinberg et l’unimodulaire séparent insensibilité radiative et valeur observée [R27,R28].</w:t>
            </w:r>
          </w:p>
        </w:tc>
        <w:tc>
          <w:tcPr>
            <w:tcW w:type="dxa" w:w="3450"/>
            <w:vAlign w:val="center"/>
          </w:tcPr>
          <w:p>
            <w:pPr>
              <w:spacing w:after="0" w:line="245" w:lineRule="auto"/>
            </w:pPr>
            <w:r>
              <w:rPr>
                <w:rFonts w:ascii="Calibri" w:hAnsi="Calibri"/>
                <w:color w:val="000000"/>
                <w:sz w:val="15"/>
              </w:rPr>
              <w:t>CAN-Λ ne ferme que la première sous-question.</w:t>
            </w:r>
          </w:p>
        </w:tc>
      </w:tr>
    </w:tbl>
    <w:p>
      <w:pPr>
        <w:keepLines w:val="0"/>
        <w:spacing w:before="0" w:after="120" w:line="264" w:lineRule="auto"/>
        <w:jc w:val="left"/>
      </w:pPr>
      <w:r>
        <w:rPr>
          <w:rFonts w:ascii="Calibri" w:hAnsi="Calibri"/>
          <w:b w:val="0"/>
          <w:i w:val="0"/>
          <w:color w:val="000000"/>
          <w:sz w:val="22"/>
        </w:rPr>
      </w:r>
    </w:p>
    <w:p>
      <w:pPr>
        <w:pStyle w:val="Heading2"/>
        <w:keepNext/>
      </w:pPr>
      <w:r>
        <w:t>Conclusion de la revue</w:t>
      </w:r>
    </w:p>
    <w:p>
      <w:pPr>
        <w:keepLines w:val="0"/>
        <w:spacing w:before="0" w:after="120" w:line="300" w:lineRule="auto"/>
        <w:jc w:val="left"/>
      </w:pPr>
      <w:r>
        <w:rPr>
          <w:rFonts w:ascii="Calibri" w:hAnsi="Calibri"/>
          <w:b w:val="0"/>
          <w:i w:val="0"/>
          <w:color w:val="000000"/>
          <w:sz w:val="22"/>
        </w:rPr>
        <w:t>Aucun dépôt étudié ne fournit la ToE manquante. La combinaison la plus solide pour BLOB est : Hamiltonien local au cutoff → réduction Feshbach–Schur sur le Hamiltonien total → espace de Banach non tronqué → preuve CAP → reconstruction OS/RAQ → certificats spectraux. Le TGFT reste un laboratoire utile, mais la littérature interdit d’en faire automatiquement le modèle officiel lorsque le domaine est compact ou purement combinatoire.</w:t>
      </w:r>
    </w:p>
    <w:p>
      <w:pPr>
        <w:pStyle w:val="Heading1"/>
        <w:keepNext/>
        <w:pageBreakBefore/>
      </w:pPr>
      <w:r>
        <w:t>PARTIE III — Architecture mathématique à quatre niveaux</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Principe d’architecture. </w:t>
            </w:r>
            <w:r>
              <w:rPr>
                <w:rFonts w:ascii="Calibri" w:hAnsi="Calibri"/>
                <w:color w:val="0B2545"/>
                <w:sz w:val="22"/>
              </w:rPr>
              <w:t>Une seule notation ne doit plus désigner la théorie au cutoff, son flot, sa limite et son interprétation physique. Chaque niveau possède ses objets, ses morphismes et son critère de convergence.</w:t>
            </w:r>
          </w:p>
        </w:tc>
      </w:tr>
    </w:tbl>
    <w:p>
      <w:pPr>
        <w:keepLines w:val="0"/>
        <w:spacing w:before="0" w:after="40" w:line="264" w:lineRule="auto"/>
        <w:jc w:val="left"/>
      </w:pPr>
      <w:r>
        <w:rPr>
          <w:rFonts w:ascii="Calibri" w:hAnsi="Calibri"/>
          <w:b w:val="0"/>
          <w:i w:val="0"/>
          <w:color w:val="000000"/>
          <w:sz w:val="22"/>
        </w:rPr>
      </w:r>
    </w:p>
    <w:tbl>
      <w:tblPr>
        <w:tblStyle w:val="TableGrid"/>
        <w:tblW w:type="dxa" w:w="9360"/>
        <w:tblLayout w:type="fixed"/>
        <w:tblLook w:firstColumn="1" w:firstRow="1" w:lastColumn="0" w:lastRow="0" w:noHBand="0" w:noVBand="1" w:val="04A0"/>
        <w:jc w:val="left"/>
        <w:tblInd w:w="120" w:type="dxa"/>
      </w:tblPr>
      <w:tblGrid>
        <w:gridCol w:w="1450"/>
        <w:gridCol w:w="2900"/>
        <w:gridCol w:w="2500"/>
        <w:gridCol w:w="2510"/>
      </w:tblGrid>
      <w:tr>
        <w:trPr>
          <w:tblHeader w:val="true"/>
          <w:cantSplit/>
          <w:tblHeader w:val="true"/>
        </w:trPr>
        <w:tc>
          <w:tcPr>
            <w:tcW w:type="dxa" w:w="1450"/>
            <w:tcMar>
              <w:top w:w="80" w:type="dxa"/>
              <w:start w:w="120" w:type="dxa"/>
              <w:bottom w:w="80" w:type="dxa"/>
              <w:end w:w="120" w:type="dxa"/>
            </w:tcMar>
            <w:vAlign w:val="center"/>
            <w:shd w:fill="E8EEF5"/>
          </w:tcPr>
          <w:p>
            <w:pPr>
              <w:spacing w:after="0" w:line="240" w:lineRule="auto"/>
            </w:pPr>
            <w:r>
              <w:rPr>
                <w:rFonts w:ascii="Calibri" w:hAnsi="Calibri"/>
                <w:b/>
                <w:color w:val="0B2545"/>
                <w:sz w:val="16"/>
              </w:rPr>
              <w:t>Niveau</w:t>
            </w:r>
          </w:p>
        </w:tc>
        <w:tc>
          <w:tcPr>
            <w:tcW w:type="dxa" w:w="2900"/>
            <w:tcMar>
              <w:top w:w="80" w:type="dxa"/>
              <w:start w:w="120" w:type="dxa"/>
              <w:bottom w:w="80" w:type="dxa"/>
              <w:end w:w="120" w:type="dxa"/>
            </w:tcMar>
            <w:vAlign w:val="center"/>
            <w:shd w:fill="E8EEF5"/>
          </w:tcPr>
          <w:p>
            <w:pPr>
              <w:spacing w:after="0" w:line="240" w:lineRule="auto"/>
            </w:pPr>
            <w:r>
              <w:rPr>
                <w:rFonts w:ascii="Calibri" w:hAnsi="Calibri"/>
                <w:b/>
                <w:color w:val="0B2545"/>
                <w:sz w:val="16"/>
              </w:rPr>
              <w:t>Objet</w:t>
            </w:r>
          </w:p>
        </w:tc>
        <w:tc>
          <w:tcPr>
            <w:tcW w:type="dxa" w:w="2500"/>
            <w:tcMar>
              <w:top w:w="80" w:type="dxa"/>
              <w:start w:w="120" w:type="dxa"/>
              <w:bottom w:w="80" w:type="dxa"/>
              <w:end w:w="120" w:type="dxa"/>
            </w:tcMar>
            <w:vAlign w:val="center"/>
            <w:shd w:fill="E8EEF5"/>
          </w:tcPr>
          <w:p>
            <w:pPr>
              <w:spacing w:after="0" w:line="240" w:lineRule="auto"/>
            </w:pPr>
            <w:r>
              <w:rPr>
                <w:rFonts w:ascii="Calibri" w:hAnsi="Calibri"/>
                <w:b/>
                <w:color w:val="0B2545"/>
                <w:sz w:val="16"/>
              </w:rPr>
              <w:t>Morphisme sortant</w:t>
            </w:r>
          </w:p>
        </w:tc>
        <w:tc>
          <w:tcPr>
            <w:tcW w:type="dxa" w:w="2510"/>
            <w:tcMar>
              <w:top w:w="80" w:type="dxa"/>
              <w:start w:w="120" w:type="dxa"/>
              <w:bottom w:w="80" w:type="dxa"/>
              <w:end w:w="120" w:type="dxa"/>
            </w:tcMar>
            <w:vAlign w:val="center"/>
            <w:shd w:fill="E8EEF5"/>
          </w:tcPr>
          <w:p>
            <w:pPr>
              <w:spacing w:after="0" w:line="240" w:lineRule="auto"/>
            </w:pPr>
            <w:r>
              <w:rPr>
                <w:rFonts w:ascii="Calibri" w:hAnsi="Calibri"/>
                <w:b/>
                <w:color w:val="0B2545"/>
                <w:sz w:val="16"/>
              </w:rPr>
              <w:t>Question</w:t>
            </w:r>
          </w:p>
        </w:tc>
      </w:tr>
      <w:tr>
        <w:trPr>
          <w:cantSplit/>
        </w:trPr>
        <w:tc>
          <w:tcPr>
            <w:tcW w:type="dxa" w:w="1450"/>
            <w:vAlign w:val="center"/>
          </w:tcPr>
          <w:p>
            <w:pPr>
              <w:spacing w:after="0" w:line="245" w:lineRule="auto"/>
            </w:pPr>
            <w:r>
              <w:rPr>
                <w:rFonts w:ascii="Calibri" w:hAnsi="Calibri"/>
                <w:color w:val="000000"/>
                <w:sz w:val="16"/>
              </w:rPr>
              <w:t>L0 — cutoff</w:t>
            </w:r>
          </w:p>
        </w:tc>
        <w:tc>
          <w:tcPr>
            <w:tcW w:type="dxa" w:w="2900"/>
            <w:vAlign w:val="center"/>
          </w:tcPr>
          <w:p>
            <w:pPr>
              <w:spacing w:after="0" w:line="245" w:lineRule="auto"/>
            </w:pPr>
            <w:r>
              <w:rPr>
                <w:rFonts w:ascii="Calibri" w:hAnsi="Calibri"/>
                <w:color w:val="000000"/>
                <w:sz w:val="16"/>
              </w:rPr>
              <w:t>Hilbert HΛ, Hamiltonien HΛ, vide ΩΛ, observables AΛ.</w:t>
            </w:r>
          </w:p>
        </w:tc>
        <w:tc>
          <w:tcPr>
            <w:tcW w:type="dxa" w:w="2500"/>
            <w:vAlign w:val="center"/>
          </w:tcPr>
          <w:p>
            <w:pPr>
              <w:spacing w:after="0" w:line="245" w:lineRule="auto"/>
            </w:pPr>
            <w:r>
              <w:rPr>
                <w:rFonts w:ascii="Calibri" w:hAnsi="Calibri"/>
                <w:color w:val="000000"/>
                <w:sz w:val="16"/>
              </w:rPr>
              <w:t>Injection/coarse-graining JΛΛ′.</w:t>
            </w:r>
          </w:p>
        </w:tc>
        <w:tc>
          <w:tcPr>
            <w:tcW w:type="dxa" w:w="2510"/>
            <w:vAlign w:val="center"/>
          </w:tcPr>
          <w:p>
            <w:pPr>
              <w:spacing w:after="0" w:line="245" w:lineRule="auto"/>
            </w:pPr>
            <w:r>
              <w:rPr>
                <w:rFonts w:ascii="Calibri" w:hAnsi="Calibri"/>
                <w:color w:val="000000"/>
                <w:sz w:val="16"/>
              </w:rPr>
              <w:t>Opérateur bien défini, positif, local ?</w:t>
            </w:r>
          </w:p>
        </w:tc>
      </w:tr>
      <w:tr>
        <w:trPr>
          <w:cantSplit/>
        </w:trPr>
        <w:tc>
          <w:tcPr>
            <w:tcW w:type="dxa" w:w="1450"/>
            <w:vAlign w:val="center"/>
          </w:tcPr>
          <w:p>
            <w:pPr>
              <w:spacing w:after="0" w:line="245" w:lineRule="auto"/>
            </w:pPr>
            <w:r>
              <w:rPr>
                <w:rFonts w:ascii="Calibri" w:hAnsi="Calibri"/>
                <w:color w:val="000000"/>
                <w:sz w:val="16"/>
              </w:rPr>
              <w:t>L1 — Wilson/RG</w:t>
            </w:r>
          </w:p>
        </w:tc>
        <w:tc>
          <w:tcPr>
            <w:tcW w:type="dxa" w:w="2900"/>
            <w:vAlign w:val="center"/>
          </w:tcPr>
          <w:p>
            <w:pPr>
              <w:spacing w:after="0" w:line="245" w:lineRule="auto"/>
            </w:pPr>
            <w:r>
              <w:rPr>
                <w:rFonts w:ascii="Calibri" w:hAnsi="Calibri"/>
                <w:color w:val="000000"/>
                <w:sz w:val="16"/>
              </w:rPr>
              <w:t>Banach Xρ des interactions sur patches enracinés.</w:t>
            </w:r>
          </w:p>
        </w:tc>
        <w:tc>
          <w:tcPr>
            <w:tcW w:type="dxa" w:w="2500"/>
            <w:vAlign w:val="center"/>
          </w:tcPr>
          <w:p>
            <w:pPr>
              <w:spacing w:after="0" w:line="245" w:lineRule="auto"/>
            </w:pPr>
            <w:r>
              <w:rPr>
                <w:rFonts w:ascii="Calibri" w:hAnsi="Calibri"/>
                <w:color w:val="000000"/>
                <w:sz w:val="16"/>
              </w:rPr>
              <w:t>R_s par Feshbach + redimensionnement.</w:t>
            </w:r>
          </w:p>
        </w:tc>
        <w:tc>
          <w:tcPr>
            <w:tcW w:type="dxa" w:w="2510"/>
            <w:vAlign w:val="center"/>
          </w:tcPr>
          <w:p>
            <w:pPr>
              <w:spacing w:after="0" w:line="245" w:lineRule="auto"/>
            </w:pPr>
            <w:r>
              <w:rPr>
                <w:rFonts w:ascii="Calibri" w:hAnsi="Calibri"/>
                <w:color w:val="000000"/>
                <w:sz w:val="16"/>
              </w:rPr>
              <w:t>Point fixe et directions pertinentes ?</w:t>
            </w:r>
          </w:p>
        </w:tc>
      </w:tr>
      <w:tr>
        <w:trPr>
          <w:cantSplit/>
        </w:trPr>
        <w:tc>
          <w:tcPr>
            <w:tcW w:type="dxa" w:w="1450"/>
            <w:vAlign w:val="center"/>
          </w:tcPr>
          <w:p>
            <w:pPr>
              <w:spacing w:after="0" w:line="245" w:lineRule="auto"/>
            </w:pPr>
            <w:r>
              <w:rPr>
                <w:rFonts w:ascii="Calibri" w:hAnsi="Calibri"/>
                <w:color w:val="000000"/>
                <w:sz w:val="16"/>
              </w:rPr>
              <w:t>L2 — continuum</w:t>
            </w:r>
          </w:p>
        </w:tc>
        <w:tc>
          <w:tcPr>
            <w:tcW w:type="dxa" w:w="2900"/>
            <w:vAlign w:val="center"/>
          </w:tcPr>
          <w:p>
            <w:pPr>
              <w:spacing w:after="0" w:line="245" w:lineRule="auto"/>
            </w:pPr>
            <w:r>
              <w:rPr>
                <w:rFonts w:ascii="Calibri" w:hAnsi="Calibri"/>
                <w:color w:val="000000"/>
                <w:sz w:val="16"/>
              </w:rPr>
              <w:t>Schwinger S_n ou données OS/RAQ physiques.</w:t>
            </w:r>
          </w:p>
        </w:tc>
        <w:tc>
          <w:tcPr>
            <w:tcW w:type="dxa" w:w="2500"/>
            <w:vAlign w:val="center"/>
          </w:tcPr>
          <w:p>
            <w:pPr>
              <w:spacing w:after="0" w:line="245" w:lineRule="auto"/>
            </w:pPr>
            <w:r>
              <w:rPr>
                <w:rFonts w:ascii="Calibri" w:hAnsi="Calibri"/>
                <w:color w:val="000000"/>
                <w:sz w:val="16"/>
              </w:rPr>
              <w:t>Reconstruction vers Wightman/Hphys.</w:t>
            </w:r>
          </w:p>
        </w:tc>
        <w:tc>
          <w:tcPr>
            <w:tcW w:type="dxa" w:w="2510"/>
            <w:vAlign w:val="center"/>
          </w:tcPr>
          <w:p>
            <w:pPr>
              <w:spacing w:after="0" w:line="245" w:lineRule="auto"/>
            </w:pPr>
            <w:r>
              <w:rPr>
                <w:rFonts w:ascii="Calibri" w:hAnsi="Calibri"/>
                <w:color w:val="000000"/>
                <w:sz w:val="16"/>
              </w:rPr>
              <w:t>Localité, Lorentz, non-topologique ?</w:t>
            </w:r>
          </w:p>
        </w:tc>
      </w:tr>
      <w:tr>
        <w:trPr>
          <w:cantSplit/>
        </w:trPr>
        <w:tc>
          <w:tcPr>
            <w:tcW w:type="dxa" w:w="1450"/>
            <w:vAlign w:val="center"/>
          </w:tcPr>
          <w:p>
            <w:pPr>
              <w:spacing w:after="0" w:line="245" w:lineRule="auto"/>
            </w:pPr>
            <w:r>
              <w:rPr>
                <w:rFonts w:ascii="Calibri" w:hAnsi="Calibri"/>
                <w:color w:val="000000"/>
                <w:sz w:val="16"/>
              </w:rPr>
              <w:t>L3 — physique</w:t>
            </w:r>
          </w:p>
        </w:tc>
        <w:tc>
          <w:tcPr>
            <w:tcW w:type="dxa" w:w="2900"/>
            <w:vAlign w:val="center"/>
          </w:tcPr>
          <w:p>
            <w:pPr>
              <w:spacing w:after="0" w:line="245" w:lineRule="auto"/>
            </w:pPr>
            <w:r>
              <w:rPr>
                <w:rFonts w:ascii="Calibri" w:hAnsi="Calibri"/>
                <w:color w:val="000000"/>
                <w:sz w:val="16"/>
              </w:rPr>
              <w:t>GR+SM effectif, S-matrice, cosmologie, nombres observables.</w:t>
            </w:r>
          </w:p>
        </w:tc>
        <w:tc>
          <w:tcPr>
            <w:tcW w:type="dxa" w:w="2500"/>
            <w:vAlign w:val="center"/>
          </w:tcPr>
          <w:p>
            <w:pPr>
              <w:spacing w:after="0" w:line="245" w:lineRule="auto"/>
            </w:pPr>
            <w:r>
              <w:rPr>
                <w:rFonts w:ascii="Calibri" w:hAnsi="Calibri"/>
                <w:color w:val="000000"/>
                <w:sz w:val="16"/>
              </w:rPr>
              <w:t>Matching et prédictions.</w:t>
            </w:r>
          </w:p>
        </w:tc>
        <w:tc>
          <w:tcPr>
            <w:tcW w:type="dxa" w:w="2510"/>
            <w:vAlign w:val="center"/>
          </w:tcPr>
          <w:p>
            <w:pPr>
              <w:spacing w:after="0" w:line="245" w:lineRule="auto"/>
            </w:pPr>
            <w:r>
              <w:rPr>
                <w:rFonts w:ascii="Calibri" w:hAnsi="Calibri"/>
                <w:color w:val="000000"/>
                <w:sz w:val="16"/>
              </w:rPr>
              <w:t>Notre Univers, sans paramètres cachés ?</w:t>
            </w:r>
          </w:p>
        </w:tc>
      </w:tr>
    </w:tbl>
    <w:p>
      <w:pPr>
        <w:keepLines w:val="0"/>
        <w:spacing w:before="0" w:after="120" w:line="264" w:lineRule="auto"/>
        <w:jc w:val="left"/>
      </w:pPr>
      <w:r>
        <w:rPr>
          <w:rFonts w:ascii="Calibri" w:hAnsi="Calibri"/>
          <w:b w:val="0"/>
          <w:i w:val="0"/>
          <w:color w:val="000000"/>
          <w:sz w:val="22"/>
        </w:rPr>
      </w:r>
    </w:p>
    <w:p>
      <w:pPr>
        <w:pStyle w:val="Heading2"/>
        <w:keepNext/>
      </w:pPr>
      <w:r>
        <w:t>L0 — Hamiltonien total, pas somme de campagnes</w:t>
      </w:r>
    </w:p>
    <w:p>
      <w:pPr>
        <w:keepLines/>
        <w:spacing w:before="60" w:after="140" w:line="240" w:lineRule="auto"/>
        <w:jc w:val="center"/>
      </w:pPr>
      <w:r>
        <w:rPr>
          <w:rFonts w:ascii="Cambria Math" w:hAnsi="Cambria Math"/>
          <w:color w:val="0B2545"/>
          <w:sz w:val="21"/>
        </w:rPr>
        <w:t>HΛ(g) = Hgeom,Λ + Hgauge,Λ + Hferm,Λ + HHiggs,Λ + Hint,Λ + EΛ·I.</w:t>
      </w:r>
    </w:p>
    <w:p>
      <w:pPr>
        <w:keepLines w:val="0"/>
        <w:spacing w:before="0" w:after="120" w:line="300" w:lineRule="auto"/>
        <w:jc w:val="left"/>
      </w:pPr>
      <w:r>
        <w:rPr>
          <w:rFonts w:ascii="Calibri" w:hAnsi="Calibri"/>
          <w:b w:val="0"/>
          <w:i w:val="0"/>
          <w:color w:val="000000"/>
          <w:sz w:val="22"/>
        </w:rPr>
        <w:t>Le flot officiel agit sur HΛ(g) tout entier. Intégrer la géométrie puis « greffer » la matière produirait deux flots et ne pourrait ni démontrer un cône causal commun ni transmettre une criticité matière au secteur TT. Le terme EΛI est conservé pour les preuves, puis quotienté lorsque seule l’origine des énergies intervient.</w:t>
      </w:r>
    </w:p>
    <w:p>
      <w:pPr>
        <w:pStyle w:val="Heading2"/>
        <w:keepNext/>
      </w:pPr>
      <w:r>
        <w:t>L1 — Espace de Wilson sur patches</w:t>
      </w:r>
    </w:p>
    <w:p>
      <w:pPr>
        <w:keepLines w:val="0"/>
        <w:spacing w:before="0" w:after="120" w:line="300" w:lineRule="auto"/>
        <w:jc w:val="left"/>
      </w:pPr>
      <w:r>
        <w:rPr>
          <w:rFonts w:ascii="Calibri" w:hAnsi="Calibri"/>
          <w:b w:val="0"/>
          <w:i w:val="0"/>
          <w:color w:val="000000"/>
          <w:sz w:val="22"/>
        </w:rPr>
        <w:t>Soit P l’ensemble dénombrable des classes de patches finis, connexes, enracinés et décorés (géométrie, représentations de jauge, spin, Higgs et type de mouvement). Une interaction est une famille g=(g_p)p∈P. Pour ρ&gt;0 et 0&lt;ν≤1, on impose par exemple</w:t>
      </w:r>
    </w:p>
    <w:p>
      <w:pPr>
        <w:keepLines/>
        <w:spacing w:before="60" w:after="140" w:line="240" w:lineRule="auto"/>
        <w:jc w:val="center"/>
      </w:pPr>
      <w:r>
        <w:rPr>
          <w:rFonts w:ascii="Cambria Math" w:hAnsi="Cambria Math"/>
          <w:color w:val="0B2545"/>
          <w:sz w:val="21"/>
        </w:rPr>
        <w:t>‖g‖ρ = Σp∈P |g_p| · exp[ρ·|p|^ν] · m(p)  &lt; ∞,</w:t>
      </w:r>
    </w:p>
    <w:p>
      <w:pPr>
        <w:keepLines w:val="0"/>
        <w:spacing w:before="0" w:after="120" w:line="300" w:lineRule="auto"/>
        <w:jc w:val="left"/>
      </w:pPr>
      <w:r>
        <w:rPr>
          <w:rFonts w:ascii="Calibri" w:hAnsi="Calibri"/>
          <w:b w:val="0"/>
          <w:i w:val="0"/>
          <w:color w:val="000000"/>
          <w:sz w:val="22"/>
        </w:rPr>
        <w:t>où m(p) majore multiplicités d’incidence et normes locales. Ce choix contient les queues irrélevantes au lieu de les mettre à zéro. La base edge-only est une sous-variété de Xρ, déjà prouvée non invariante. La tâche réelle est de démontrer R_s : Xρ → Xρ′ analytique, avec ρ′&lt;ρ contrôlé.</w:t>
      </w:r>
    </w:p>
    <w:p>
      <w:pPr>
        <w:pStyle w:val="Heading2"/>
        <w:keepNext/>
      </w:pPr>
      <w:r>
        <w:t>L2 — Deux voies de continuum, une même discipline</w:t>
      </w:r>
    </w:p>
    <w:p>
      <w:pPr>
        <w:spacing w:before="0" w:after="120" w:line="300" w:lineRule="auto"/>
      </w:pPr>
      <w:r>
        <w:rPr>
          <w:rFonts w:ascii="Calibri" w:hAnsi="Calibri"/>
          <w:b/>
          <w:color w:val="000000"/>
          <w:sz w:val="22"/>
        </w:rPr>
        <w:t xml:space="preserve">Voie OS. </w:t>
      </w:r>
      <w:r>
        <w:rPr>
          <w:rFonts w:ascii="Calibri" w:hAnsi="Calibri"/>
          <w:color w:val="000000"/>
          <w:sz w:val="22"/>
        </w:rPr>
        <w:t>Construire les distributions de Schwinger limites, vérifier OS0–OS5, restaurer O(4), puis reconstruire la théorie de Wightman. Cette voie peut remplacer une borne de Lieb–Robinson sur graphe changeant si la covariance et la localité euclidiennes sont démontrées.</w:t>
      </w:r>
    </w:p>
    <w:p>
      <w:pPr>
        <w:spacing w:before="0" w:after="120" w:line="300" w:lineRule="auto"/>
      </w:pPr>
      <w:r>
        <w:rPr>
          <w:rFonts w:ascii="Calibri" w:hAnsi="Calibri"/>
          <w:b/>
          <w:color w:val="000000"/>
          <w:sz w:val="22"/>
        </w:rPr>
        <w:t xml:space="preserve">Voie RAQ. </w:t>
      </w:r>
      <w:r>
        <w:rPr>
          <w:rFonts w:ascii="Calibri" w:hAnsi="Calibri"/>
          <w:color w:val="000000"/>
          <w:sz w:val="22"/>
        </w:rPr>
        <w:t>Lorsque les contraintes gravitationnelles rendent les états physiques distributionnels, construire une rigging map positive et le quotient physique. Une convergence forte naïve est interdite tant qu’un témoin non topologique n’est pas conservé [R8].</w:t>
      </w:r>
    </w:p>
    <w:p>
      <w:pPr>
        <w:keepLines/>
        <w:spacing w:before="60" w:after="140" w:line="240" w:lineRule="auto"/>
        <w:jc w:val="center"/>
      </w:pPr>
      <w:r>
        <w:rPr>
          <w:rFonts w:ascii="Cambria Math" w:hAnsi="Cambria Math"/>
          <w:color w:val="0B2545"/>
          <w:sz w:val="21"/>
        </w:rPr>
        <w:t>W_non-top = lim ⟨O(x1)O(x2)O(x3)O(x4)⟩c dépendant des séparations, ou ρTT(m²) avec support propagatif.</w:t>
      </w:r>
    </w:p>
    <w:p>
      <w:pPr>
        <w:pStyle w:val="Heading2"/>
        <w:keepNext/>
      </w:pPr>
      <w:r>
        <w:t>L3 — Matching, pas identification verbale</w:t>
      </w:r>
    </w:p>
    <w:p>
      <w:pPr>
        <w:keepLines w:val="0"/>
        <w:spacing w:before="0" w:after="120" w:line="300" w:lineRule="auto"/>
        <w:jc w:val="left"/>
      </w:pPr>
      <w:r>
        <w:rPr>
          <w:rFonts w:ascii="Calibri" w:hAnsi="Calibri"/>
          <w:b w:val="0"/>
          <w:i w:val="0"/>
          <w:color w:val="000000"/>
          <w:sz w:val="22"/>
        </w:rPr>
        <w:t>Les constantes physiques sont des sorties si elles sont calculées à partir d’un nombre fini de directions pertinentes déjà certifiées. Elles restent des entrées si l’on choisit après coup groupe, nombre de familles, représentation de Higgs, échelle temporelle ou seuils. Une table source → opérateur UV → couplage pertinent → observable IR doit accompagner chaque revendication.</w:t>
      </w:r>
    </w:p>
    <w:p>
      <w:pPr>
        <w:pStyle w:val="Heading2"/>
        <w:keepNext/>
      </w:pPr>
      <w:r>
        <w:t>Défauts de commutation à mesurer</w:t>
      </w:r>
    </w:p>
    <w:p>
      <w:pPr>
        <w:keepLines/>
        <w:spacing w:before="60" w:after="140" w:line="240" w:lineRule="auto"/>
        <w:jc w:val="center"/>
      </w:pPr>
      <w:r>
        <w:rPr>
          <w:rFonts w:ascii="Cambria Math" w:hAnsi="Cambria Math"/>
          <w:color w:val="0B2545"/>
          <w:sz w:val="21"/>
        </w:rPr>
        <w:t>εH(Λ,Λ′;z)=‖J(HΛ−z)⁻¹−(HΛ′−z)⁻¹J‖,</w:t>
      </w:r>
    </w:p>
    <w:p>
      <w:pPr>
        <w:keepLines/>
        <w:spacing w:before="60" w:after="140" w:line="240" w:lineRule="auto"/>
        <w:jc w:val="center"/>
      </w:pPr>
      <w:r>
        <w:rPr>
          <w:rFonts w:ascii="Cambria Math" w:hAnsi="Cambria Math"/>
          <w:color w:val="0B2545"/>
          <w:sz w:val="21"/>
        </w:rPr>
        <w:t>εRG=‖J·RΛ(g)−RΛ′(Jg)‖ρ′,     εobs=|⟨O⟩Λ−⟨J O⟩Λ′|.</w:t>
      </w:r>
    </w:p>
    <w:p>
      <w:pPr>
        <w:keepLines w:val="0"/>
        <w:spacing w:before="0" w:after="120" w:line="300" w:lineRule="auto"/>
        <w:jc w:val="left"/>
      </w:pPr>
      <w:r>
        <w:rPr>
          <w:rFonts w:ascii="Calibri" w:hAnsi="Calibri"/>
          <w:b w:val="0"/>
          <w:i w:val="0"/>
          <w:color w:val="000000"/>
          <w:sz w:val="22"/>
        </w:rPr>
        <w:t>La convergence n’est déclarée que si ces défauts tendent vers zéro uniformément sur une région spectrale et une famille d’observables séparantes. La seule stabilisation d’un nombre de couplages ne suffit pas.</w:t>
      </w:r>
    </w:p>
    <w:p>
      <w:pPr>
        <w:pStyle w:val="Heading1"/>
        <w:keepNext/>
        <w:pageBreakBefore/>
      </w:pPr>
      <w:r>
        <w:t>PARTIE IV — Théorèmes, preuves et contre-exemples nouveaux</w:t>
      </w:r>
    </w:p>
    <w:p>
      <w:pPr>
        <w:pStyle w:val="Heading2"/>
        <w:keepNext/>
      </w:pPr>
      <w:r>
        <w:t>T1 — Non-extension d’un FAIL projeté</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P−1. </w:t>
            </w:r>
            <w:r>
              <w:rPr>
                <w:rFonts w:ascii="Calibri" w:hAnsi="Calibri"/>
                <w:color w:val="1F5E46"/>
                <w:sz w:val="22"/>
              </w:rPr>
              <w:t>L’absence de zéro du champ β projeté sur un sous-espace non invariant n’implique pas l’absence de zéro dans l’espace complet.</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Preuve par témoin minimal. Sur R², poser β(x,y)=(1+y,x). Sur la droite y=0, la première composante projetée vaut toujours 1 : aucun zéro n’existe. Pourtant β(0,−1)=(0,0). Il suffit donc qu’une direction négligée alimente la composante retenue pour créer un zéro invisible.</w:t>
      </w:r>
    </w:p>
    <w:p>
      <w:pPr>
        <w:keepLines/>
        <w:spacing w:before="60" w:after="140" w:line="240" w:lineRule="auto"/>
        <w:jc w:val="center"/>
      </w:pPr>
      <w:r>
        <w:rPr>
          <w:rFonts w:ascii="Cambria Math" w:hAnsi="Cambria Math"/>
          <w:color w:val="0B2545"/>
          <w:sz w:val="21"/>
        </w:rPr>
        <w:t>β|y=0=(1,x) ≠0  pour tout x,     mais     β(0,−1)=(0,0).</w:t>
      </w:r>
    </w:p>
    <w:p>
      <w:pPr>
        <w:keepLines w:val="0"/>
        <w:spacing w:before="0" w:after="120" w:line="300" w:lineRule="auto"/>
        <w:jc w:val="left"/>
      </w:pPr>
      <w:r>
        <w:rPr>
          <w:rFonts w:ascii="Calibri" w:hAnsi="Calibri"/>
          <w:b w:val="0"/>
          <w:i w:val="0"/>
          <w:color w:val="000000"/>
          <w:sz w:val="22"/>
        </w:rPr>
        <w:t>Application. RG-1CELL et RG-RAY prouvent que l’espace edge-only n’est pas invariant. Les scans V311/V312 peuvent exclure un point fixe dans cette famille; ils ne peuvent exclure un point fixe de l’espace Xρ complet.</w:t>
      </w:r>
    </w:p>
    <w:p>
      <w:pPr>
        <w:pStyle w:val="Heading2"/>
        <w:keepNext/>
      </w:pPr>
      <w:r>
        <w:t>T2 — Analyticité à cutoff fini</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FINITE-N. </w:t>
            </w:r>
            <w:r>
              <w:rPr>
                <w:rFonts w:ascii="Calibri" w:hAnsi="Calibri"/>
                <w:color w:val="1F5E46"/>
                <w:sz w:val="22"/>
              </w:rPr>
              <w:t>Si l’espace d’états est fini et les poids élémentaires sont analytiques en les couplages sur un ouvert U, alors ZΛ, les moments et les corrélateurs normalisés sont analytiques sur tout sous-ouvert où ZΛ≠0.</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Preuve. ZΛ(g)=Σx exp[−Sg(x)] est une somme finie de fonctions analytiques. Les moments sont de même nature; un quotient d’analytiques est analytique lorsque le dénominateur ne s’annule pas. Ainsi un pic, une dérive de gap ou un plateau à N fini peut localiser une pseudo-criticalité, jamais démontrer une singularité thermodynamique.</w:t>
      </w:r>
    </w:p>
    <w:p>
      <w:pPr>
        <w:pStyle w:val="Heading2"/>
        <w:keepNext/>
      </w:pPr>
      <w:r>
        <w:t>T3 — Couverture de toutes les gluages et normalisation auxiliaire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NORM-ALL3-AUX. </w:t>
            </w:r>
            <w:r>
              <w:rPr>
                <w:rFonts w:ascii="Calibri" w:hAnsi="Calibri"/>
                <w:color w:val="1F5E46"/>
                <w:sz w:val="22"/>
              </w:rPr>
              <w:t>Le nombre G_N de gluages étiquetés de 4N faces de N tétraèdres vérifie G_N≤(4N)!/[2^(2N)(2N)!]·6^(2N)≤(24N)^(2N).</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Preuve. Les 4N faces sont appariées de (4N−1)!! façons. Chaque paire admet au plus six bijections simpliciales. Or (4N−1)!! est un produit de 2N facteurs, chacun inférieur ou égal à 4N. Toute triangulation fermée, toute topologie imposée et tout quotient non étiqueté forment des sous-ensembles de cette couverture.</w:t>
      </w:r>
    </w:p>
    <w:p>
      <w:pPr>
        <w:keepLines/>
        <w:spacing w:before="60" w:after="140" w:line="240" w:lineRule="auto"/>
        <w:jc w:val="center"/>
      </w:pPr>
      <w:r>
        <w:rPr>
          <w:rFonts w:ascii="Cambria Math" w:hAnsi="Cambria Math"/>
          <w:color w:val="0B2545"/>
          <w:sz w:val="21"/>
        </w:rPr>
        <w:t>log G_N ≤ 2N log N + 2N log 24.</w:t>
      </w:r>
    </w:p>
    <w:p>
      <w:pPr>
        <w:keepLines w:val="0"/>
        <w:spacing w:before="0" w:after="120" w:line="300" w:lineRule="auto"/>
        <w:jc w:val="left"/>
      </w:pPr>
      <w:r>
        <w:rPr>
          <w:rFonts w:ascii="Calibri" w:hAnsi="Calibri"/>
          <w:b w:val="0"/>
          <w:i w:val="0"/>
          <w:color w:val="000000"/>
          <w:sz w:val="22"/>
        </w:rPr>
        <w:t>Si l’action locale et les décorations tronquées ne gagnent qu’un facteur exp(cN), alors l’ajout auxiliaire Scover=ζN log(N+1) rend ΣN fini dès que ζ/τ&gt;2. À N fixé, Scover est constant et s’annule exactement des espérances normalisées. Ce résultat ne remplace pas une mesure physique grand-canonique; il fournit une enveloppe universelle de simulation et de preuve.</w:t>
      </w:r>
    </w:p>
    <w:p>
      <w:pPr>
        <w:pStyle w:val="Heading2"/>
        <w:keepNext/>
      </w:pPr>
      <w:r>
        <w:t>T4 — Algèbre exacte de Feshbach–Schur</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FS-ALG. </w:t>
            </w:r>
            <w:r>
              <w:rPr>
                <w:rFonts w:ascii="Calibri" w:hAnsi="Calibri"/>
                <w:color w:val="1F5E46"/>
                <w:sz w:val="22"/>
              </w:rPr>
              <w:t>Soit H=H*≥0, P une projection orthogonale, Q=I−P et D=QHQ&gt;0 inversible. Alors F_P(H)=PHP−PHQ·D⁻¹·QHP est positif; ses vecteurs nuls correspondent bijectivement à ceux de H. Toute symétrie unitaire commutant avec H et P commute avec F_P(H).</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Preuve de positivité. Pour u∈PH, minimiser la forme quadratique de H sur les vecteurs u+v, v∈QH. Le minimiseur unique est v*=−D⁻¹QHPu, et</w:t>
      </w:r>
    </w:p>
    <w:p>
      <w:pPr>
        <w:keepLines/>
        <w:spacing w:before="60" w:after="140" w:line="240" w:lineRule="auto"/>
        <w:jc w:val="center"/>
      </w:pPr>
      <w:r>
        <w:rPr>
          <w:rFonts w:ascii="Cambria Math" w:hAnsi="Cambria Math"/>
          <w:color w:val="0B2545"/>
          <w:sz w:val="21"/>
        </w:rPr>
        <w:t>⟨u,F_P(H)u⟩ = infv∈QH ⟨u+v,H(u+v)⟩ ≥0.</w:t>
      </w:r>
    </w:p>
    <w:p>
      <w:pPr>
        <w:keepLines w:val="0"/>
        <w:spacing w:before="0" w:after="120" w:line="300" w:lineRule="auto"/>
        <w:jc w:val="left"/>
      </w:pPr>
      <w:r>
        <w:rPr>
          <w:rFonts w:ascii="Calibri" w:hAnsi="Calibri"/>
          <w:b w:val="0"/>
          <w:i w:val="0"/>
          <w:color w:val="000000"/>
          <w:sz w:val="22"/>
        </w:rPr>
        <w:t>Si F_P(H)u=0, alors ψ=u−D⁻¹QHPu vérifie Hψ=0; réciproquement Pψ appartient au noyau de F. La préservation des symétries suit par commutation de chaque bloc et de D⁻¹. Pour un paramètre spectral z, la même construction appliquée à H−z est isospectrale près de z [R2,R3].</w:t>
      </w:r>
    </w:p>
    <w:p>
      <w:pPr>
        <w:pStyle w:val="Heading2"/>
        <w:keepNext/>
      </w:pPr>
      <w:r>
        <w:t>T5 — La réduction exacte peut détruire la portée finie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[FAIL] FS-DENSE. </w:t>
            </w:r>
            <w:r>
              <w:rPr>
                <w:rFonts w:ascii="Calibri" w:hAnsi="Calibri"/>
                <w:color w:val="7A5A00"/>
                <w:sz w:val="22"/>
              </w:rPr>
              <w:t>Il existe un H positif et clairsemé dont le complément de Schur sur les variables retenues est dense.</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1"/>
        </w:rPr>
        <w:t>H = [[I₃, b],[bᵀ,1]],  b=(1/4,1/4,1/4)ᵀ  ⇒  F=I₃−bbᵀ,  Fij=−1/16 (i≠j).</w:t>
      </w:r>
    </w:p>
    <w:p>
      <w:pPr>
        <w:keepLines w:val="0"/>
        <w:spacing w:before="0" w:after="120" w:line="300" w:lineRule="auto"/>
        <w:jc w:val="left"/>
      </w:pPr>
      <w:r>
        <w:rPr>
          <w:rFonts w:ascii="Calibri" w:hAnsi="Calibri"/>
          <w:b w:val="0"/>
          <w:i w:val="0"/>
          <w:color w:val="000000"/>
          <w:sz w:val="22"/>
        </w:rPr>
        <w:t>Le bloc central ne reliait les variables retenues que par une étoile; son élimination les relie toutes. La positivité tient car 1−bᵀb=13/16&gt;0. Conclusion : « Feshbach exact » n’autorise jamais à écrire « Hamiltonien effectif local » sans une estimation du résolvant.</w:t>
      </w:r>
    </w:p>
    <w:p>
      <w:pPr>
        <w:pStyle w:val="Heading2"/>
        <w:keepNext/>
      </w:pPr>
      <w:r>
        <w:t>T6 — Réparation quantitative de la quasi-localité</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[T-C] FS-QL. </w:t>
            </w:r>
            <w:r>
              <w:rPr>
                <w:rFonts w:ascii="Calibri" w:hAnsi="Calibri"/>
                <w:color w:val="7A5A00"/>
                <w:sz w:val="22"/>
              </w:rPr>
              <w:t>Dans le bloc éliminé, écrire D+V avec D inversible diagonal/local, V de portée R et κ=‖D⁻¹V‖&lt;1. Pour deux supports à distance d, les éléments du résolvant vérifient une décroissance géométrique à partir de m=ceil(d/R).</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1"/>
        </w:rPr>
        <w:t>‖1_X(D+V)⁻¹1_Y‖ ≤ ‖D⁻¹‖ · κ^ceil(d(X,Y)/R) /(1−κ).</w:t>
      </w:r>
    </w:p>
    <w:p>
      <w:pPr>
        <w:keepLines w:val="0"/>
        <w:spacing w:before="0" w:after="120" w:line="300" w:lineRule="auto"/>
        <w:jc w:val="left"/>
      </w:pPr>
      <w:r>
        <w:rPr>
          <w:rFonts w:ascii="Calibri" w:hAnsi="Calibri"/>
          <w:b w:val="0"/>
          <w:i w:val="0"/>
          <w:color w:val="000000"/>
          <w:sz w:val="22"/>
        </w:rPr>
        <w:t>Preuve. Développer (D+V)⁻¹=Σn≥0(−D⁻¹V)^nD⁻¹. La portée de V annule les termes n&lt;m; la queue est majorée par une série géométrique. En l’insérant dans PHQ(D+V)⁻¹QHP, on obtient une queue exponentielle pour l’interaction effective, avec constantes explicites. Pour BLOB il faut encore établir κ&lt;1 uniformément en volume, en couplages et dans les secteurs de jauge.</w:t>
      </w:r>
    </w:p>
    <w:p>
      <w:pPr>
        <w:pStyle w:val="Heading2"/>
        <w:keepNext/>
      </w:pPr>
      <w:r>
        <w:t>T7 — Certificat de point fixe par contraction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[T-C] CAP-RG. </w:t>
            </w:r>
            <w:r>
              <w:rPr>
                <w:rFonts w:ascii="Calibri" w:hAnsi="Calibri"/>
                <w:color w:val="7A5A00"/>
                <w:sz w:val="22"/>
              </w:rPr>
              <w:t>Soit X un Banach, F(g)=R(g)−g, A un inverse approché borné et injectif, T(g)=g−AF(g). Si sur B_r(ḡ), ‖T(ḡ)−ḡ‖≤Y et sup‖DT‖≤Z(r)&lt;1 avec Y+Z(r)r≤r, alors F possède un unique zéro dans cette boule.</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Preuve. Les inégalités montrent que T envoie la boule fermée dans elle-même et y est contractante. Banach fournit un unique point fixe g*. Comme A est injectif, AF(g*)=0 implique F(g*)=0. Avec Z(r)=Z₀+Z₁r, le contrôle se réduit à un rayon-polynôme fini. Le vérificateur joint confirme exactement l’exemple Y=1/100, Z₀=1/4, Z₁=1/2, r=1/50.</w:t>
      </w:r>
    </w:p>
    <w:p>
      <w:pPr>
        <w:keepLines/>
        <w:spacing w:before="60" w:after="140" w:line="240" w:lineRule="auto"/>
        <w:jc w:val="center"/>
      </w:pPr>
      <w:r>
        <w:rPr>
          <w:rFonts w:ascii="Cambria Math" w:hAnsi="Cambria Math"/>
          <w:color w:val="0B2545"/>
          <w:sz w:val="21"/>
        </w:rPr>
        <w:t>Y+(Z₀+Z₁r)r = 19/1250 ≤ 1/50,     Z₀+Z₁r = 13/50 &lt; 1.</w:t>
      </w:r>
    </w:p>
    <w:p>
      <w:pPr>
        <w:keepLines w:val="0"/>
        <w:spacing w:before="0" w:after="120" w:line="300" w:lineRule="auto"/>
        <w:jc w:val="left"/>
      </w:pPr>
      <w:r>
        <w:rPr>
          <w:rFonts w:ascii="Calibri" w:hAnsi="Calibri"/>
          <w:b w:val="0"/>
          <w:i w:val="0"/>
          <w:color w:val="000000"/>
          <w:sz w:val="22"/>
        </w:rPr>
        <w:t>Pour fermer G0, les constantes doivent porter sur le vrai R BLOB, inclure les queues hors base numérique et enfermer le spectre de DR(g*) par projections de Riesz/arithmétique d’intervalle afin de compter les directions pertinentes [R4–R6].</w:t>
      </w:r>
    </w:p>
    <w:p>
      <w:pPr>
        <w:pStyle w:val="Heading2"/>
        <w:keepNext/>
      </w:pPr>
      <w:r>
        <w:t>T8 — Une mesure ne fixe pas la dynamique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Q-NONID. </w:t>
            </w:r>
            <w:r>
              <w:rPr>
                <w:rFonts w:ascii="Calibri" w:hAnsi="Calibri"/>
                <w:color w:val="1F5E46"/>
                <w:sz w:val="22"/>
              </w:rPr>
              <w:t>Une même distribution stationnaire π admet une infinité de générateurs réversibles Q, avec trous spectraux et vitesses de propagation différents.</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Preuve. Pour toute conductance symétrique cij≥0, poser qij=cij/πi et qii=−Σj≠i qij. Le bilan détaillé πiqij=πjqji est automatique. Multiplier toutes les conductances par a&gt;0 conserve π et multiplie le spectre non nul par a. Le témoin exécutable sur une chaîne de trois états donne la même π uniforme et des gaps exacts 1 et 7/3.</w:t>
      </w:r>
    </w:p>
    <w:p>
      <w:pPr>
        <w:keepLines w:val="0"/>
        <w:spacing w:before="0" w:after="120" w:line="300" w:lineRule="auto"/>
        <w:jc w:val="left"/>
      </w:pPr>
      <w:r>
        <w:rPr>
          <w:rFonts w:ascii="Calibri" w:hAnsi="Calibri"/>
          <w:b w:val="0"/>
          <w:i w:val="0"/>
          <w:color w:val="000000"/>
          <w:sz w:val="22"/>
        </w:rPr>
        <w:t>Conséquence. La viabilité w détermine au mieux le vide candidat. Les taux de Pachner, l’échelle temporelle et donc le contenu spectral doivent être dérivés ou gelés séparément.</w:t>
      </w:r>
    </w:p>
    <w:p>
      <w:pPr>
        <w:pStyle w:val="Heading2"/>
        <w:keepNext/>
      </w:pPr>
      <w:r>
        <w:t>T9 — Réponse transverse et non-uniformité d’un gap</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TRANSVERSE. </w:t>
            </w:r>
            <w:r>
              <w:rPr>
                <w:rFonts w:ascii="Calibri" w:hAnsi="Calibri"/>
                <w:color w:val="1F5E46"/>
                <w:sz w:val="22"/>
              </w:rPr>
              <w:t>Sous Sλ=S₀+λO, la dérivée d’un corrélateur connecté est le cumulant à trois points ∂λ⟨AB⟩c=−⟨ABO⟩c. Elle est génériquement non nulle.</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Cette identité suit en dérivant le quotient de Gibbs et en regroupant les termes connectés. Elle interdit de supposer qu’un diagnostic edge-only reste inchangé dans les directions de patch générées par le RG. De même, la borne |gap(H+V)−gap(H)|≤2‖V‖ est locale en norme : un gap positif à un point ou à N fini n’exclut pas sa fermeture sur une trajectoire transverse ou lorsque N→∞.</w:t>
      </w:r>
    </w:p>
    <w:p>
      <w:pPr>
        <w:pStyle w:val="Heading2"/>
        <w:keepNext/>
      </w:pPr>
      <w:r>
        <w:t>T10 — Insensibilité canonique et non-identifiabilité de Λ</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[T] CAN-Λ. </w:t>
            </w:r>
            <w:r>
              <w:rPr>
                <w:rFonts w:ascii="Calibri" w:hAnsi="Calibri"/>
                <w:color w:val="1F5E46"/>
                <w:sz w:val="22"/>
              </w:rPr>
              <w:t>À volume N fixé, S→S+cN ne change aucune espérance normalisée. Dans l’ensemble grand-canonique, la même transformation est exactement μ→μ+c.</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1"/>
        </w:rPr>
        <w:t>⟨O⟩N,c = [e^(−cN)Σx:N e^(−Sx)Ox]/[e^(−cN)Σx:N e^(−Sx)] = ⟨O⟩N,0.</w:t>
      </w:r>
    </w:p>
    <w:p>
      <w:pPr>
        <w:keepLines w:val="0"/>
        <w:spacing w:before="0" w:after="120" w:line="300" w:lineRule="auto"/>
        <w:jc w:val="left"/>
      </w:pPr>
      <w:r>
        <w:rPr>
          <w:rFonts w:ascii="Calibri" w:hAnsi="Calibri"/>
          <w:b w:val="0"/>
          <w:i w:val="0"/>
          <w:color w:val="000000"/>
          <w:sz w:val="22"/>
        </w:rPr>
        <w:t>La branche fixe-volume possède donc une insensibilité radiative exacte comparable au mécanisme unimodulaire [R28]. Mais elle ne peut, par construction, identifier la valeur absolue conjugée au volume. CAN-Λ ferme la sous-porte « énergie du vide additive » et ouvre explicitement la sous-porte « pourquoi la valeur observée ? », soumise au no-go de Weinberg [R27].</w:t>
      </w:r>
    </w:p>
    <w:p>
      <w:pPr>
        <w:pStyle w:val="Heading2"/>
        <w:keepNext/>
      </w:pPr>
      <w:r>
        <w:t>T11 — Transmission de criticité par complément de Schur</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[T-C] SCHUR-TX. </w:t>
            </w:r>
            <w:r>
              <w:rPr>
                <w:rFonts w:ascii="Calibri" w:hAnsi="Calibri"/>
                <w:color w:val="7A5A00"/>
                <w:sz w:val="22"/>
              </w:rPr>
              <w:t>Pour une Hessienne par blocs K=[[A,B],[B*,C]], l’intégration du secteur C donne Aeff=A−BC⁻¹B*. Si ‖u‖=1, Cu=εu et Bu≠0, alors la correction dans la direction couplée croît au moins comme ‖Bu‖²/ε lorsque ε→0.</w:t>
            </w:r>
          </w:p>
        </w:tc>
      </w:tr>
    </w:tbl>
    <w:p>
      <w:pPr>
        <w:keepLines w:val="0"/>
        <w:spacing w:before="0" w:after="4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C’est le mécanisme précis par lequel une criticité matière peut affecter la géométrie. Pour un graviton, la condition utile n’est pas Bu≠0 en bloc, mais PTTBu≠0, accompagnée d’une absence de projection scalaire indésirable. Le test est calculable avant d’attribuer un ralentissement critique au secteur spin-2.</w:t>
      </w:r>
    </w:p>
    <w:p>
      <w:pPr>
        <w:pStyle w:val="Heading1"/>
        <w:keepNext/>
        <w:pageBreakBefore/>
      </w:pPr>
      <w:r>
        <w:t>PARTIE V — RG officiel : Feshbach–Schur + preuve CAP</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d’architecture. </w:t>
            </w:r>
            <w:r>
              <w:rPr>
                <w:rFonts w:ascii="Calibri" w:hAnsi="Calibri"/>
                <w:color w:val="0B2545"/>
                <w:sz w:val="22"/>
              </w:rPr>
              <w:t>Le RG officiel n’est plus un ajustement de quelques observables ni une projection edge-only. Il élimine exactement un sous-espace du Hamiltonien total, redimensionne, puis enferme le point fixe dans un Banach de patches avec arithmétique d’intervalle.</w:t>
            </w:r>
          </w:p>
        </w:tc>
      </w:tr>
    </w:tbl>
    <w:p>
      <w:pPr>
        <w:keepLines w:val="0"/>
        <w:spacing w:before="0" w:after="40" w:line="264" w:lineRule="auto"/>
        <w:jc w:val="left"/>
      </w:pPr>
      <w:r>
        <w:rPr>
          <w:rFonts w:ascii="Calibri" w:hAnsi="Calibri"/>
          <w:b w:val="0"/>
          <w:i w:val="0"/>
          <w:color w:val="000000"/>
          <w:sz w:val="22"/>
        </w:rPr>
      </w:r>
    </w:p>
    <w:p>
      <w:pPr>
        <w:pStyle w:val="Heading2"/>
        <w:keepNext/>
      </w:pPr>
      <w:r>
        <w:t>Définition d’un pas</w:t>
      </w:r>
    </w:p>
    <w:p>
      <w:pPr>
        <w:keepLines w:val="0"/>
        <w:spacing w:before="0" w:after="120" w:line="300" w:lineRule="auto"/>
        <w:jc w:val="left"/>
      </w:pPr>
      <w:r>
        <w:rPr>
          <w:rFonts w:ascii="Calibri" w:hAnsi="Calibri"/>
          <w:b w:val="0"/>
          <w:i w:val="0"/>
          <w:color w:val="000000"/>
          <w:sz w:val="22"/>
        </w:rPr>
        <w:t>Pour un facteur s&gt;1, choisir une isométrie de décodage U_s entre le sous-espace retenu PH et l’espace grossier, une énergie de référence E(H) et un exposant temporel z. Le pas candidat est</w:t>
      </w:r>
    </w:p>
    <w:p>
      <w:pPr>
        <w:keepLines/>
        <w:spacing w:before="60" w:after="140" w:line="240" w:lineRule="auto"/>
        <w:jc w:val="center"/>
      </w:pPr>
      <w:r>
        <w:rPr>
          <w:rFonts w:ascii="Cambria Math" w:hAnsi="Cambria Math"/>
          <w:color w:val="0B2545"/>
          <w:sz w:val="21"/>
        </w:rPr>
        <w:t>R_s(H)=s^z U_s {F_P[H−E(H)]} U_s* + normalisation locale.</w:t>
      </w:r>
    </w:p>
    <w:p>
      <w:pPr>
        <w:keepLines w:val="0"/>
        <w:spacing w:before="0" w:after="120" w:line="300" w:lineRule="auto"/>
        <w:jc w:val="left"/>
      </w:pPr>
      <w:r>
        <w:rPr>
          <w:rFonts w:ascii="Calibri" w:hAnsi="Calibri"/>
          <w:b w:val="0"/>
          <w:i w:val="0"/>
          <w:color w:val="000000"/>
          <w:sz w:val="22"/>
        </w:rPr>
        <w:t>P ne doit pas être choisi par convenance après lecture du résultat. Il est gelé par une règle locale covariante sur les patches, et une seconde règle indépendante sert au test d’universalité. L’énergie de référence enlève seulement l’identité; elle ne doit pas absorber un opérateur physique.</w:t>
      </w:r>
    </w:p>
    <w:p>
      <w:pPr>
        <w:pStyle w:val="Heading2"/>
        <w:keepNext/>
      </w:pPr>
      <w:r>
        <w:t>Hypothèses à certifier pour chaque pas</w:t>
      </w:r>
    </w:p>
    <w:tbl>
      <w:tblPr>
        <w:tblStyle w:val="TableGrid"/>
        <w:tblW w:type="dxa" w:w="9360"/>
        <w:tblLayout w:type="fixed"/>
        <w:tblLook w:firstColumn="1" w:firstRow="1" w:lastColumn="0" w:lastRow="0" w:noHBand="0" w:noVBand="1" w:val="04A0"/>
        <w:jc w:val="left"/>
        <w:tblInd w:w="120" w:type="dxa"/>
      </w:tblPr>
      <w:tblGrid>
        <w:gridCol w:w="950"/>
        <w:gridCol w:w="5790"/>
        <w:gridCol w:w="2620"/>
      </w:tblGrid>
      <w:tr>
        <w:trPr>
          <w:tblHeader w:val="true"/>
          <w:cantSplit/>
          <w:tblHeader w:val="true"/>
        </w:trPr>
        <w:tc>
          <w:tcPr>
            <w:tcW w:type="dxa" w:w="950"/>
            <w:tcMar>
              <w:top w:w="80" w:type="dxa"/>
              <w:start w:w="120" w:type="dxa"/>
              <w:bottom w:w="80" w:type="dxa"/>
              <w:end w:w="120" w:type="dxa"/>
            </w:tcMar>
            <w:vAlign w:val="center"/>
            <w:shd w:fill="E8EEF5"/>
          </w:tcPr>
          <w:p>
            <w:pPr>
              <w:spacing w:after="0" w:line="240" w:lineRule="auto"/>
            </w:pPr>
            <w:r>
              <w:rPr>
                <w:rFonts w:ascii="Calibri" w:hAnsi="Calibri"/>
                <w:b/>
                <w:color w:val="0B2545"/>
                <w:sz w:val="16"/>
              </w:rPr>
              <w:t>Code</w:t>
            </w:r>
          </w:p>
        </w:tc>
        <w:tc>
          <w:tcPr>
            <w:tcW w:type="dxa" w:w="5790"/>
            <w:tcMar>
              <w:top w:w="80" w:type="dxa"/>
              <w:start w:w="120" w:type="dxa"/>
              <w:bottom w:w="80" w:type="dxa"/>
              <w:end w:w="120" w:type="dxa"/>
            </w:tcMar>
            <w:vAlign w:val="center"/>
            <w:shd w:fill="E8EEF5"/>
          </w:tcPr>
          <w:p>
            <w:pPr>
              <w:spacing w:after="0" w:line="240" w:lineRule="auto"/>
            </w:pPr>
            <w:r>
              <w:rPr>
                <w:rFonts w:ascii="Calibri" w:hAnsi="Calibri"/>
                <w:b/>
                <w:color w:val="0B2545"/>
                <w:sz w:val="16"/>
              </w:rPr>
              <w:t>Hypothèse quantitative</w:t>
            </w:r>
          </w:p>
        </w:tc>
        <w:tc>
          <w:tcPr>
            <w:tcW w:type="dxa" w:w="2620"/>
            <w:tcMar>
              <w:top w:w="80" w:type="dxa"/>
              <w:start w:w="120" w:type="dxa"/>
              <w:bottom w:w="80" w:type="dxa"/>
              <w:end w:w="120" w:type="dxa"/>
            </w:tcMar>
            <w:vAlign w:val="center"/>
            <w:shd w:fill="E8EEF5"/>
          </w:tcPr>
          <w:p>
            <w:pPr>
              <w:spacing w:after="0" w:line="240" w:lineRule="auto"/>
            </w:pPr>
            <w:r>
              <w:rPr>
                <w:rFonts w:ascii="Calibri" w:hAnsi="Calibri"/>
                <w:b/>
                <w:color w:val="0B2545"/>
                <w:sz w:val="16"/>
              </w:rPr>
              <w:t>Échec irréversible</w:t>
            </w:r>
          </w:p>
        </w:tc>
      </w:tr>
      <w:tr>
        <w:trPr>
          <w:cantSplit/>
        </w:trPr>
        <w:tc>
          <w:tcPr>
            <w:tcW w:type="dxa" w:w="950"/>
            <w:vAlign w:val="center"/>
          </w:tcPr>
          <w:p>
            <w:pPr>
              <w:spacing w:after="0" w:line="245" w:lineRule="auto"/>
            </w:pPr>
            <w:r>
              <w:rPr>
                <w:rFonts w:ascii="Calibri" w:hAnsi="Calibri"/>
                <w:color w:val="000000"/>
                <w:sz w:val="16"/>
              </w:rPr>
              <w:t>R1</w:t>
            </w:r>
          </w:p>
        </w:tc>
        <w:tc>
          <w:tcPr>
            <w:tcW w:type="dxa" w:w="5790"/>
            <w:vAlign w:val="center"/>
          </w:tcPr>
          <w:p>
            <w:pPr>
              <w:spacing w:after="0" w:line="245" w:lineRule="auto"/>
            </w:pPr>
            <w:r>
              <w:rPr>
                <w:rFonts w:ascii="Calibri" w:hAnsi="Calibri"/>
                <w:color w:val="000000"/>
                <w:sz w:val="16"/>
              </w:rPr>
              <w:t>P, U_s et la règle de patch sont définis pour tout cutoff et respectent quotient/topologie.</w:t>
            </w:r>
          </w:p>
        </w:tc>
        <w:tc>
          <w:tcPr>
            <w:tcW w:type="dxa" w:w="2620"/>
            <w:vAlign w:val="center"/>
          </w:tcPr>
          <w:p>
            <w:pPr>
              <w:spacing w:after="0" w:line="245" w:lineRule="auto"/>
            </w:pPr>
            <w:r>
              <w:rPr>
                <w:rFonts w:ascii="Calibri" w:hAnsi="Calibri"/>
                <w:color w:val="000000"/>
                <w:sz w:val="16"/>
              </w:rPr>
              <w:t>Sous-espace ambigu ou non compatible.</w:t>
            </w:r>
          </w:p>
        </w:tc>
      </w:tr>
      <w:tr>
        <w:trPr>
          <w:cantSplit/>
        </w:trPr>
        <w:tc>
          <w:tcPr>
            <w:tcW w:type="dxa" w:w="950"/>
            <w:vAlign w:val="center"/>
          </w:tcPr>
          <w:p>
            <w:pPr>
              <w:spacing w:after="0" w:line="245" w:lineRule="auto"/>
            </w:pPr>
            <w:r>
              <w:rPr>
                <w:rFonts w:ascii="Calibri" w:hAnsi="Calibri"/>
                <w:color w:val="000000"/>
                <w:sz w:val="16"/>
              </w:rPr>
              <w:t>R2</w:t>
            </w:r>
          </w:p>
        </w:tc>
        <w:tc>
          <w:tcPr>
            <w:tcW w:type="dxa" w:w="5790"/>
            <w:vAlign w:val="center"/>
          </w:tcPr>
          <w:p>
            <w:pPr>
              <w:spacing w:after="0" w:line="245" w:lineRule="auto"/>
            </w:pPr>
            <w:r>
              <w:rPr>
                <w:rFonts w:ascii="Calibri" w:hAnsi="Calibri"/>
                <w:color w:val="000000"/>
                <w:sz w:val="16"/>
              </w:rPr>
              <w:t>Q(H−E)Q est inversible avec δΛ≥δ&gt;0 sur le domaine éliminé.</w:t>
            </w:r>
          </w:p>
        </w:tc>
        <w:tc>
          <w:tcPr>
            <w:tcW w:type="dxa" w:w="2620"/>
            <w:vAlign w:val="center"/>
          </w:tcPr>
          <w:p>
            <w:pPr>
              <w:spacing w:after="0" w:line="245" w:lineRule="auto"/>
            </w:pPr>
            <w:r>
              <w:rPr>
                <w:rFonts w:ascii="Calibri" w:hAnsi="Calibri"/>
                <w:color w:val="000000"/>
                <w:sz w:val="16"/>
              </w:rPr>
              <w:t>Résonance éliminée non contrôlée.</w:t>
            </w:r>
          </w:p>
        </w:tc>
      </w:tr>
      <w:tr>
        <w:trPr>
          <w:cantSplit/>
        </w:trPr>
        <w:tc>
          <w:tcPr>
            <w:tcW w:type="dxa" w:w="950"/>
            <w:vAlign w:val="center"/>
          </w:tcPr>
          <w:p>
            <w:pPr>
              <w:spacing w:after="0" w:line="245" w:lineRule="auto"/>
            </w:pPr>
            <w:r>
              <w:rPr>
                <w:rFonts w:ascii="Calibri" w:hAnsi="Calibri"/>
                <w:color w:val="000000"/>
                <w:sz w:val="16"/>
              </w:rPr>
              <w:t>R3</w:t>
            </w:r>
          </w:p>
        </w:tc>
        <w:tc>
          <w:tcPr>
            <w:tcW w:type="dxa" w:w="5790"/>
            <w:vAlign w:val="center"/>
          </w:tcPr>
          <w:p>
            <w:pPr>
              <w:spacing w:after="0" w:line="245" w:lineRule="auto"/>
            </w:pPr>
            <w:r>
              <w:rPr>
                <w:rFonts w:ascii="Calibri" w:hAnsi="Calibri"/>
                <w:color w:val="000000"/>
                <w:sz w:val="16"/>
              </w:rPr>
              <w:t>Décomposition D+V avec κΛ=‖D⁻¹V‖≤κ&lt;1 uniforme.</w:t>
            </w:r>
          </w:p>
        </w:tc>
        <w:tc>
          <w:tcPr>
            <w:tcW w:type="dxa" w:w="2620"/>
            <w:vAlign w:val="center"/>
          </w:tcPr>
          <w:p>
            <w:pPr>
              <w:spacing w:after="0" w:line="245" w:lineRule="auto"/>
            </w:pPr>
            <w:r>
              <w:rPr>
                <w:rFonts w:ascii="Calibri" w:hAnsi="Calibri"/>
                <w:color w:val="000000"/>
                <w:sz w:val="16"/>
              </w:rPr>
              <w:t>Pas de preuve de queue quasi-locale.</w:t>
            </w:r>
          </w:p>
        </w:tc>
      </w:tr>
      <w:tr>
        <w:trPr>
          <w:cantSplit/>
        </w:trPr>
        <w:tc>
          <w:tcPr>
            <w:tcW w:type="dxa" w:w="950"/>
            <w:vAlign w:val="center"/>
          </w:tcPr>
          <w:p>
            <w:pPr>
              <w:spacing w:after="0" w:line="245" w:lineRule="auto"/>
            </w:pPr>
            <w:r>
              <w:rPr>
                <w:rFonts w:ascii="Calibri" w:hAnsi="Calibri"/>
                <w:color w:val="000000"/>
                <w:sz w:val="16"/>
              </w:rPr>
              <w:t>R4</w:t>
            </w:r>
          </w:p>
        </w:tc>
        <w:tc>
          <w:tcPr>
            <w:tcW w:type="dxa" w:w="5790"/>
            <w:vAlign w:val="center"/>
          </w:tcPr>
          <w:p>
            <w:pPr>
              <w:spacing w:after="0" w:line="245" w:lineRule="auto"/>
            </w:pPr>
            <w:r>
              <w:rPr>
                <w:rFonts w:ascii="Calibri" w:hAnsi="Calibri"/>
                <w:color w:val="000000"/>
                <w:sz w:val="16"/>
              </w:rPr>
              <w:t>R_s envoie Xρ dans Xρ′ avec borne explicite des patches omis.</w:t>
            </w:r>
          </w:p>
        </w:tc>
        <w:tc>
          <w:tcPr>
            <w:tcW w:type="dxa" w:w="2620"/>
            <w:vAlign w:val="center"/>
          </w:tcPr>
          <w:p>
            <w:pPr>
              <w:spacing w:after="0" w:line="245" w:lineRule="auto"/>
            </w:pPr>
            <w:r>
              <w:rPr>
                <w:rFonts w:ascii="Calibri" w:hAnsi="Calibri"/>
                <w:color w:val="000000"/>
                <w:sz w:val="16"/>
              </w:rPr>
              <w:t>Troncature non certifiée.</w:t>
            </w:r>
          </w:p>
        </w:tc>
      </w:tr>
      <w:tr>
        <w:trPr>
          <w:cantSplit/>
        </w:trPr>
        <w:tc>
          <w:tcPr>
            <w:tcW w:type="dxa" w:w="950"/>
            <w:vAlign w:val="center"/>
          </w:tcPr>
          <w:p>
            <w:pPr>
              <w:spacing w:after="0" w:line="245" w:lineRule="auto"/>
            </w:pPr>
            <w:r>
              <w:rPr>
                <w:rFonts w:ascii="Calibri" w:hAnsi="Calibri"/>
                <w:color w:val="000000"/>
                <w:sz w:val="16"/>
              </w:rPr>
              <w:t>R5</w:t>
            </w:r>
          </w:p>
        </w:tc>
        <w:tc>
          <w:tcPr>
            <w:tcW w:type="dxa" w:w="5790"/>
            <w:vAlign w:val="center"/>
          </w:tcPr>
          <w:p>
            <w:pPr>
              <w:spacing w:after="0" w:line="245" w:lineRule="auto"/>
            </w:pPr>
            <w:r>
              <w:rPr>
                <w:rFonts w:ascii="Calibri" w:hAnsi="Calibri"/>
                <w:color w:val="000000"/>
                <w:sz w:val="16"/>
              </w:rPr>
              <w:t>Les projecteurs de Gauss, spin, orientation et symétries commutent au pas.</w:t>
            </w:r>
          </w:p>
        </w:tc>
        <w:tc>
          <w:tcPr>
            <w:tcW w:type="dxa" w:w="2620"/>
            <w:vAlign w:val="center"/>
          </w:tcPr>
          <w:p>
            <w:pPr>
              <w:spacing w:after="0" w:line="245" w:lineRule="auto"/>
            </w:pPr>
            <w:r>
              <w:rPr>
                <w:rFonts w:ascii="Calibri" w:hAnsi="Calibri"/>
                <w:color w:val="000000"/>
                <w:sz w:val="16"/>
              </w:rPr>
              <w:t>Anomalie/brisure au cutoff.</w:t>
            </w:r>
          </w:p>
        </w:tc>
      </w:tr>
      <w:tr>
        <w:trPr>
          <w:cantSplit/>
        </w:trPr>
        <w:tc>
          <w:tcPr>
            <w:tcW w:type="dxa" w:w="950"/>
            <w:vAlign w:val="center"/>
          </w:tcPr>
          <w:p>
            <w:pPr>
              <w:spacing w:after="0" w:line="245" w:lineRule="auto"/>
            </w:pPr>
            <w:r>
              <w:rPr>
                <w:rFonts w:ascii="Calibri" w:hAnsi="Calibri"/>
                <w:color w:val="000000"/>
                <w:sz w:val="16"/>
              </w:rPr>
              <w:t>R6</w:t>
            </w:r>
          </w:p>
        </w:tc>
        <w:tc>
          <w:tcPr>
            <w:tcW w:type="dxa" w:w="5790"/>
            <w:vAlign w:val="center"/>
          </w:tcPr>
          <w:p>
            <w:pPr>
              <w:spacing w:after="0" w:line="245" w:lineRule="auto"/>
            </w:pPr>
            <w:r>
              <w:rPr>
                <w:rFonts w:ascii="Calibri" w:hAnsi="Calibri"/>
                <w:color w:val="000000"/>
                <w:sz w:val="16"/>
              </w:rPr>
              <w:t>Deux schémas P¹,P² donnent mêmes exposants/observables après matching.</w:t>
            </w:r>
          </w:p>
        </w:tc>
        <w:tc>
          <w:tcPr>
            <w:tcW w:type="dxa" w:w="2620"/>
            <w:vAlign w:val="center"/>
          </w:tcPr>
          <w:p>
            <w:pPr>
              <w:spacing w:after="0" w:line="245" w:lineRule="auto"/>
            </w:pPr>
            <w:r>
              <w:rPr>
                <w:rFonts w:ascii="Calibri" w:hAnsi="Calibri"/>
                <w:color w:val="000000"/>
                <w:sz w:val="16"/>
              </w:rPr>
              <w:t>Fixed point de schéma seulement.</w:t>
            </w:r>
          </w:p>
        </w:tc>
      </w:tr>
      <w:tr>
        <w:trPr>
          <w:cantSplit/>
        </w:trPr>
        <w:tc>
          <w:tcPr>
            <w:tcW w:type="dxa" w:w="950"/>
            <w:vAlign w:val="center"/>
          </w:tcPr>
          <w:p>
            <w:pPr>
              <w:spacing w:after="0" w:line="245" w:lineRule="auto"/>
            </w:pPr>
            <w:r>
              <w:rPr>
                <w:rFonts w:ascii="Calibri" w:hAnsi="Calibri"/>
                <w:color w:val="000000"/>
                <w:sz w:val="16"/>
              </w:rPr>
              <w:t>R7</w:t>
            </w:r>
          </w:p>
        </w:tc>
        <w:tc>
          <w:tcPr>
            <w:tcW w:type="dxa" w:w="5790"/>
            <w:vAlign w:val="center"/>
          </w:tcPr>
          <w:p>
            <w:pPr>
              <w:spacing w:after="0" w:line="245" w:lineRule="auto"/>
            </w:pPr>
            <w:r>
              <w:rPr>
                <w:rFonts w:ascii="Calibri" w:hAnsi="Calibri"/>
                <w:color w:val="000000"/>
                <w:sz w:val="16"/>
              </w:rPr>
              <w:t>Le résiduel, la dérivée et les queues sont évalués en intervalles reproductibles.</w:t>
            </w:r>
          </w:p>
        </w:tc>
        <w:tc>
          <w:tcPr>
            <w:tcW w:type="dxa" w:w="2620"/>
            <w:vAlign w:val="center"/>
          </w:tcPr>
          <w:p>
            <w:pPr>
              <w:spacing w:after="0" w:line="245" w:lineRule="auto"/>
            </w:pPr>
            <w:r>
              <w:rPr>
                <w:rFonts w:ascii="Calibri" w:hAnsi="Calibri"/>
                <w:color w:val="000000"/>
                <w:sz w:val="16"/>
              </w:rPr>
              <w:t>Numérique flottant sans preuve.</w:t>
            </w:r>
          </w:p>
        </w:tc>
      </w:tr>
    </w:tbl>
    <w:p>
      <w:pPr>
        <w:keepLines w:val="0"/>
        <w:spacing w:before="0" w:after="120" w:line="264" w:lineRule="auto"/>
        <w:jc w:val="left"/>
      </w:pPr>
      <w:r>
        <w:rPr>
          <w:rFonts w:ascii="Calibri" w:hAnsi="Calibri"/>
          <w:b w:val="0"/>
          <w:i w:val="0"/>
          <w:color w:val="000000"/>
          <w:sz w:val="22"/>
        </w:rPr>
      </w:r>
    </w:p>
    <w:p>
      <w:pPr>
        <w:pStyle w:val="Heading2"/>
        <w:keepNext/>
      </w:pPr>
      <w:r>
        <w:t>Certificat CAP minimal</w:t>
      </w:r>
    </w:p>
    <w:p>
      <w:pPr>
        <w:keepLines w:val="0"/>
        <w:spacing w:before="0" w:after="120" w:line="300" w:lineRule="auto"/>
        <w:jc w:val="left"/>
      </w:pPr>
      <w:r>
        <w:rPr>
          <w:rFonts w:ascii="Calibri" w:hAnsi="Calibri"/>
          <w:b w:val="0"/>
          <w:i w:val="0"/>
          <w:color w:val="000000"/>
          <w:sz w:val="22"/>
        </w:rPr>
        <w:t>Le fichier de preuve doit contenir au moins : une approximation ḡ; une représentation intervalle de A; Y, Z₀, Z₁ et r; les normes de queues; une preuve que A est injectif; des contours spectraux séparant |λ|&gt;1, |λ|=1 et |λ|&lt;1; les dimensions des projecteurs de Riesz; et un hash du code, des données et de l’environnement. Le résultat final prend la forme</w:t>
      </w:r>
    </w:p>
    <w:p>
      <w:pPr>
        <w:keepLines/>
        <w:spacing w:before="60" w:after="140" w:line="240" w:lineRule="auto"/>
        <w:jc w:val="center"/>
      </w:pPr>
      <w:r>
        <w:rPr>
          <w:rFonts w:ascii="Cambria Math" w:hAnsi="Cambria Math"/>
          <w:color w:val="0B2545"/>
          <w:sz w:val="21"/>
        </w:rPr>
        <w:t>g*∈B_r(ḡ),   R_s(g*)=g*,   unique dans B_r,   dim E_rel=m&lt;∞.</w:t>
      </w:r>
    </w:p>
    <w:p>
      <w:pPr>
        <w:keepLines w:val="0"/>
        <w:spacing w:before="0" w:after="120" w:line="300" w:lineRule="auto"/>
        <w:jc w:val="left"/>
      </w:pPr>
      <w:r>
        <w:rPr>
          <w:rFonts w:ascii="Calibri" w:hAnsi="Calibri"/>
          <w:b w:val="0"/>
          <w:i w:val="0"/>
          <w:color w:val="000000"/>
          <w:sz w:val="22"/>
        </w:rPr>
        <w:t>Une fois ce certificat obtenu, le théorème de variété stable fournit localement une surface critique de codimension m, sous les hypothèses régulières usuelles. Cela ferme la partie « existence/isolement/rang » de G0; il reste encore à démontrer que la trajectoire microscopique BLOB atteint cette surface et que les observables ont une limite physique.</w:t>
      </w:r>
    </w:p>
    <w:p>
      <w:pPr>
        <w:pStyle w:val="Heading2"/>
        <w:keepNext/>
      </w:pPr>
      <w:r>
        <w:t>Algorithme adaptatif sans faux espace fermé</w:t>
      </w:r>
    </w:p>
    <w:p>
      <w:pPr>
        <w:spacing w:after="80" w:line="300" w:lineRule="auto"/>
        <w:ind w:left="540" w:hanging="271"/>
      </w:pPr>
      <w:r>
        <w:rPr>
          <w:rFonts w:ascii="Calibri" w:hAnsi="Calibri"/>
          <w:b/>
          <w:color w:val="2E74B5"/>
          <w:sz w:val="22"/>
        </w:rPr>
        <w:t xml:space="preserve">1. </w:t>
      </w:r>
      <w:r>
        <w:rPr>
          <w:rFonts w:ascii="Calibri" w:hAnsi="Calibri"/>
          <w:color w:val="000000"/>
          <w:sz w:val="22"/>
        </w:rPr>
        <w:t>Initialiser la base avec tous les patches de taille ≤k, y compris géométrie–jauge–matière mixtes.</w:t>
      </w:r>
    </w:p>
    <w:p>
      <w:pPr>
        <w:spacing w:after="80" w:line="300" w:lineRule="auto"/>
        <w:ind w:left="540" w:hanging="271"/>
      </w:pPr>
      <w:r>
        <w:rPr>
          <w:rFonts w:ascii="Calibri" w:hAnsi="Calibri"/>
          <w:b/>
          <w:color w:val="2E74B5"/>
          <w:sz w:val="22"/>
        </w:rPr>
        <w:t xml:space="preserve">2. </w:t>
      </w:r>
      <w:r>
        <w:rPr>
          <w:rFonts w:ascii="Calibri" w:hAnsi="Calibri"/>
          <w:color w:val="000000"/>
          <w:sz w:val="22"/>
        </w:rPr>
        <w:t>Calculer un pas Feshbach sur petits cutoffs et mesurer le résiduel dans les patches absents.</w:t>
      </w:r>
    </w:p>
    <w:p>
      <w:pPr>
        <w:spacing w:after="80" w:line="300" w:lineRule="auto"/>
        <w:ind w:left="540" w:hanging="271"/>
      </w:pPr>
      <w:r>
        <w:rPr>
          <w:rFonts w:ascii="Calibri" w:hAnsi="Calibri"/>
          <w:b/>
          <w:color w:val="2E74B5"/>
          <w:sz w:val="22"/>
        </w:rPr>
        <w:t xml:space="preserve">3. </w:t>
      </w:r>
      <w:r>
        <w:rPr>
          <w:rFonts w:ascii="Calibri" w:hAnsi="Calibri"/>
          <w:color w:val="000000"/>
          <w:sz w:val="22"/>
        </w:rPr>
        <w:t>Ajouter les patches portant la plus grande norme transverse; ne jamais les projeter silencieusement.</w:t>
      </w:r>
    </w:p>
    <w:p>
      <w:pPr>
        <w:spacing w:after="80" w:line="300" w:lineRule="auto"/>
        <w:ind w:left="540" w:hanging="271"/>
      </w:pPr>
      <w:r>
        <w:rPr>
          <w:rFonts w:ascii="Calibri" w:hAnsi="Calibri"/>
          <w:b/>
          <w:color w:val="2E74B5"/>
          <w:sz w:val="22"/>
        </w:rPr>
        <w:t xml:space="preserve">4. </w:t>
      </w:r>
      <w:r>
        <w:rPr>
          <w:rFonts w:ascii="Calibri" w:hAnsi="Calibri"/>
          <w:color w:val="000000"/>
          <w:sz w:val="22"/>
        </w:rPr>
        <w:t>Ajuster ḡ par Newton/Krylov en précision multiple.</w:t>
      </w:r>
    </w:p>
    <w:p>
      <w:pPr>
        <w:spacing w:after="80" w:line="300" w:lineRule="auto"/>
        <w:ind w:left="540" w:hanging="271"/>
      </w:pPr>
      <w:r>
        <w:rPr>
          <w:rFonts w:ascii="Calibri" w:hAnsi="Calibri"/>
          <w:b/>
          <w:color w:val="2E74B5"/>
          <w:sz w:val="22"/>
        </w:rPr>
        <w:t xml:space="preserve">5. </w:t>
      </w:r>
      <w:r>
        <w:rPr>
          <w:rFonts w:ascii="Calibri" w:hAnsi="Calibri"/>
          <w:color w:val="000000"/>
          <w:sz w:val="22"/>
        </w:rPr>
        <w:t>Construire des majorants analytiques de queues et les convertir en intervalles dirigés.</w:t>
      </w:r>
    </w:p>
    <w:p>
      <w:pPr>
        <w:spacing w:after="80" w:line="300" w:lineRule="auto"/>
        <w:ind w:left="540" w:hanging="271"/>
      </w:pPr>
      <w:r>
        <w:rPr>
          <w:rFonts w:ascii="Calibri" w:hAnsi="Calibri"/>
          <w:b/>
          <w:color w:val="2E74B5"/>
          <w:sz w:val="22"/>
        </w:rPr>
        <w:t xml:space="preserve">6. </w:t>
      </w:r>
      <w:r>
        <w:rPr>
          <w:rFonts w:ascii="Calibri" w:hAnsi="Calibri"/>
          <w:color w:val="000000"/>
          <w:sz w:val="22"/>
        </w:rPr>
        <w:t>Chercher r tel que le rayon-polynôme soit négatif/contractant.</w:t>
      </w:r>
    </w:p>
    <w:p>
      <w:pPr>
        <w:spacing w:after="80" w:line="300" w:lineRule="auto"/>
        <w:ind w:left="540" w:hanging="271"/>
      </w:pPr>
      <w:r>
        <w:rPr>
          <w:rFonts w:ascii="Calibri" w:hAnsi="Calibri"/>
          <w:b/>
          <w:color w:val="2E74B5"/>
          <w:sz w:val="22"/>
        </w:rPr>
        <w:t xml:space="preserve">7. </w:t>
      </w:r>
      <w:r>
        <w:rPr>
          <w:rFonts w:ascii="Calibri" w:hAnsi="Calibri"/>
          <w:color w:val="000000"/>
          <w:sz w:val="22"/>
        </w:rPr>
        <w:t>Répéter avec un second coarse-graining et comparer spectre pertinent et rapports universels.</w:t>
      </w:r>
    </w:p>
    <w:p>
      <w:pPr>
        <w:spacing w:after="80" w:line="300" w:lineRule="auto"/>
        <w:ind w:left="540" w:hanging="271"/>
      </w:pPr>
      <w:r>
        <w:rPr>
          <w:rFonts w:ascii="Calibri" w:hAnsi="Calibri"/>
          <w:b/>
          <w:color w:val="2E74B5"/>
          <w:sz w:val="22"/>
        </w:rPr>
        <w:t xml:space="preserve">8. </w:t>
      </w:r>
      <w:r>
        <w:rPr>
          <w:rFonts w:ascii="Calibri" w:hAnsi="Calibri"/>
          <w:color w:val="000000"/>
          <w:sz w:val="22"/>
        </w:rPr>
        <w:t>Seulement après : lancer la suite de volumes et les observables OS/TT.</w:t>
      </w:r>
    </w:p>
    <w:p>
      <w:pPr>
        <w:pStyle w:val="Heading2"/>
        <w:keepNext/>
      </w:pPr>
      <w:r>
        <w:t>Pourquoi cette voie est plus forte que les balayages actuels</w:t>
      </w:r>
    </w:p>
    <w:p>
      <w:pPr>
        <w:keepLines w:val="0"/>
        <w:spacing w:before="0" w:after="120" w:line="300" w:lineRule="auto"/>
        <w:jc w:val="left"/>
      </w:pPr>
      <w:r>
        <w:rPr>
          <w:rFonts w:ascii="Calibri" w:hAnsi="Calibri"/>
          <w:b w:val="0"/>
          <w:i w:val="0"/>
          <w:color w:val="000000"/>
          <w:sz w:val="22"/>
        </w:rPr>
        <w:t>Un scan Monte-Carlo estime des fonctions sur un domaine fini et dépend d’un choix de coordonnées. Le certificat CAP prouve l’existence d’un objet infini-dimensionnel dans une boule avec erreur totale bornée, exactement comme les programmes rigoureux de RG et de points fixes validés [R1,R4–R6]. La simulation reste indispensable pour trouver ḡ et estimer les opérateurs; elle cesse simplement d’être confondue avec la preuve.</w:t>
      </w:r>
    </w:p>
    <w:p>
      <w:pPr>
        <w:pStyle w:val="Heading2"/>
        <w:keepNext/>
      </w:pPr>
      <w:r>
        <w:t>Audit du choix de P</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Veto de schéma. </w:t>
            </w:r>
            <w:r>
              <w:rPr>
                <w:rFonts w:ascii="Calibri" w:hAnsi="Calibri"/>
                <w:color w:val="7A5A00"/>
                <w:sz w:val="22"/>
              </w:rPr>
              <w:t>Feshbach est exact pour un P fixé, mais P n’est pas physique par magie. Deux choix peuvent produire des coordonnées et même des troncatures différentes. La revendication d’universalité exige une conjugaison locale contrôlée ou, au minimum, l’accord certifié d’exposants et de rapports d’amplitudes après matching. Sans ce test, le point fixe est celui d’un algorithme.</w:t>
            </w:r>
          </w:p>
        </w:tc>
      </w:tr>
    </w:tbl>
    <w:p>
      <w:pPr>
        <w:keepLines w:val="0"/>
        <w:spacing w:before="0" w:after="40" w:line="264" w:lineRule="auto"/>
        <w:jc w:val="left"/>
      </w:pPr>
      <w:r>
        <w:rPr>
          <w:rFonts w:ascii="Calibri" w:hAnsi="Calibri"/>
          <w:b w:val="0"/>
          <w:i w:val="0"/>
          <w:color w:val="000000"/>
          <w:sz w:val="22"/>
        </w:rPr>
      </w:r>
    </w:p>
    <w:p>
      <w:pPr>
        <w:pStyle w:val="Heading1"/>
        <w:keepNext/>
        <w:pageBreakBefore/>
      </w:pPr>
      <w:r>
        <w:t>PARTIE VI — Attaque complète des sept portes</w:t>
      </w:r>
    </w:p>
    <w:p>
      <w:pPr>
        <w:pStyle w:val="Heading1"/>
        <w:keepNext/>
      </w:pPr>
      <w:r>
        <w:t>G0 — Modèle canonique, flot RG et finitude des paramètres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La théorie au cutoff est structurée; le point fixe BLOB et son bassin ne sont pas certifiés.</w:t>
            </w:r>
          </w:p>
        </w:tc>
      </w:tr>
    </w:tbl>
    <w:p>
      <w:pPr>
        <w:keepLines w:val="0"/>
        <w:spacing w:before="0" w:after="40" w:line="264" w:lineRule="auto"/>
        <w:jc w:val="left"/>
      </w:pPr>
      <w:r>
        <w:rPr>
          <w:rFonts w:ascii="Calibri" w:hAnsi="Calibri"/>
          <w:b w:val="0"/>
          <w:i w:val="0"/>
          <w:color w:val="000000"/>
          <w:sz w:val="22"/>
        </w:rPr>
      </w:r>
    </w:p>
    <w:p>
      <w:pPr>
        <w:pStyle w:val="Heading2"/>
        <w:keepNext/>
      </w:pPr>
      <w:r>
        <w:t>Chaîne de fermeture</w:t>
      </w:r>
    </w:p>
    <w:p>
      <w:pPr>
        <w:spacing w:after="80" w:line="300" w:lineRule="auto"/>
        <w:ind w:left="540" w:hanging="271"/>
      </w:pPr>
      <w:r>
        <w:rPr>
          <w:rFonts w:ascii="Calibri" w:hAnsi="Calibri"/>
          <w:b/>
          <w:color w:val="2E74B5"/>
          <w:sz w:val="22"/>
        </w:rPr>
        <w:t xml:space="preserve">1. </w:t>
      </w:r>
      <w:r>
        <w:rPr>
          <w:rFonts w:ascii="Calibri" w:hAnsi="Calibri"/>
          <w:color w:val="000000"/>
          <w:sz w:val="22"/>
        </w:rPr>
        <w:t>Geler HΛ total, domaines, quotient d’automorphismes, structures de spin, jauges et régulateurs.</w:t>
      </w:r>
    </w:p>
    <w:p>
      <w:pPr>
        <w:spacing w:after="80" w:line="300" w:lineRule="auto"/>
        <w:ind w:left="540" w:hanging="271"/>
      </w:pPr>
      <w:r>
        <w:rPr>
          <w:rFonts w:ascii="Calibri" w:hAnsi="Calibri"/>
          <w:b/>
          <w:color w:val="2E74B5"/>
          <w:sz w:val="22"/>
        </w:rPr>
        <w:t xml:space="preserve">2. </w:t>
      </w:r>
      <w:r>
        <w:rPr>
          <w:rFonts w:ascii="Calibri" w:hAnsi="Calibri"/>
          <w:color w:val="000000"/>
          <w:sz w:val="22"/>
        </w:rPr>
        <w:t>Établir normalisation physique ou trajectoire de retrait du régulateur auxiliaire.</w:t>
      </w:r>
    </w:p>
    <w:p>
      <w:pPr>
        <w:spacing w:after="80" w:line="300" w:lineRule="auto"/>
        <w:ind w:left="540" w:hanging="271"/>
      </w:pPr>
      <w:r>
        <w:rPr>
          <w:rFonts w:ascii="Calibri" w:hAnsi="Calibri"/>
          <w:b/>
          <w:color w:val="2E74B5"/>
          <w:sz w:val="22"/>
        </w:rPr>
        <w:t xml:space="preserve">3. </w:t>
      </w:r>
      <w:r>
        <w:rPr>
          <w:rFonts w:ascii="Calibri" w:hAnsi="Calibri"/>
          <w:color w:val="000000"/>
          <w:sz w:val="22"/>
        </w:rPr>
        <w:t>Construire R_s sur Xρ et certifier R_s(g*)=g* par CAP.</w:t>
      </w:r>
    </w:p>
    <w:p>
      <w:pPr>
        <w:spacing w:after="80" w:line="300" w:lineRule="auto"/>
        <w:ind w:left="540" w:hanging="271"/>
      </w:pPr>
      <w:r>
        <w:rPr>
          <w:rFonts w:ascii="Calibri" w:hAnsi="Calibri"/>
          <w:b/>
          <w:color w:val="2E74B5"/>
          <w:sz w:val="22"/>
        </w:rPr>
        <w:t xml:space="preserve">4. </w:t>
      </w:r>
      <w:r>
        <w:rPr>
          <w:rFonts w:ascii="Calibri" w:hAnsi="Calibri"/>
          <w:color w:val="000000"/>
          <w:sz w:val="22"/>
        </w:rPr>
        <w:t>Enfermer le spectre de DR_s(g*) et obtenir un nombre fini m de directions pertinentes.</w:t>
      </w:r>
    </w:p>
    <w:p>
      <w:pPr>
        <w:spacing w:after="80" w:line="300" w:lineRule="auto"/>
        <w:ind w:left="540" w:hanging="271"/>
      </w:pPr>
      <w:r>
        <w:rPr>
          <w:rFonts w:ascii="Calibri" w:hAnsi="Calibri"/>
          <w:b/>
          <w:color w:val="2E74B5"/>
          <w:sz w:val="22"/>
        </w:rPr>
        <w:t xml:space="preserve">5. </w:t>
      </w:r>
      <w:r>
        <w:rPr>
          <w:rFonts w:ascii="Calibri" w:hAnsi="Calibri"/>
          <w:color w:val="000000"/>
          <w:sz w:val="22"/>
        </w:rPr>
        <w:t>Montrer que deux schémas de coarse-graining donnent les mêmes invariants universels.</w:t>
      </w:r>
    </w:p>
    <w:p>
      <w:pPr>
        <w:spacing w:after="80" w:line="300" w:lineRule="auto"/>
        <w:ind w:left="540" w:hanging="271"/>
      </w:pPr>
      <w:r>
        <w:rPr>
          <w:rFonts w:ascii="Calibri" w:hAnsi="Calibri"/>
          <w:b/>
          <w:color w:val="2E74B5"/>
          <w:sz w:val="22"/>
        </w:rPr>
        <w:t xml:space="preserve">6. </w:t>
      </w:r>
      <w:r>
        <w:rPr>
          <w:rFonts w:ascii="Calibri" w:hAnsi="Calibri"/>
          <w:color w:val="000000"/>
          <w:sz w:val="22"/>
        </w:rPr>
        <w:t>Démontrer que la famille microscopique BLOB coupe transversalement la surface critique.</w:t>
      </w:r>
    </w:p>
    <w:p>
      <w:pPr>
        <w:spacing w:after="80" w:line="300" w:lineRule="auto"/>
        <w:ind w:left="540" w:hanging="271"/>
      </w:pPr>
      <w:r>
        <w:rPr>
          <w:rFonts w:ascii="Calibri" w:hAnsi="Calibri"/>
          <w:b/>
          <w:color w:val="2E74B5"/>
          <w:sz w:val="22"/>
        </w:rPr>
        <w:t xml:space="preserve">7. </w:t>
      </w:r>
      <w:r>
        <w:rPr>
          <w:rFonts w:ascii="Calibri" w:hAnsi="Calibri"/>
          <w:color w:val="000000"/>
          <w:sz w:val="22"/>
        </w:rPr>
        <w:t>Produire un matching injectif des m coordonnées pertinentes vers les entrées IR.</w:t>
      </w:r>
    </w:p>
    <w:p>
      <w:pPr>
        <w:keepLines/>
        <w:spacing w:before="60" w:after="140" w:line="240" w:lineRule="auto"/>
        <w:jc w:val="center"/>
      </w:pPr>
      <w:r>
        <w:rPr>
          <w:rFonts w:ascii="Cambria Math" w:hAnsi="Cambria Math"/>
          <w:color w:val="0B2545"/>
          <w:sz w:val="21"/>
        </w:rPr>
        <w:t>PASS G0 ⇔ C_cutoff ∧ C_norm ∧ C_CAP ∧ C_spectrum ∧ C_univ ∧ C_matching.</w:t>
      </w:r>
    </w:p>
    <w:tbl>
      <w:tblPr>
        <w:tblStyle w:val="TableGrid"/>
        <w:tblW w:type="dxa" w:w="9360"/>
        <w:tblLayout w:type="fixed"/>
        <w:tblLook w:firstColumn="1" w:firstRow="1" w:lastColumn="0" w:lastRow="0" w:noHBand="0" w:noVBand="1" w:val="04A0"/>
        <w:jc w:val="left"/>
        <w:tblInd w:w="120" w:type="dxa"/>
      </w:tblPr>
      <w:tblGrid>
        <w:gridCol w:w="2200"/>
        <w:gridCol w:w="3540"/>
        <w:gridCol w:w="3620"/>
      </w:tblGrid>
      <w:tr>
        <w:trPr>
          <w:tblHeader w:val="true"/>
          <w:cantSplit/>
          <w:tblHeader w:val="true"/>
        </w:trP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6"/>
              </w:rPr>
              <w:t>Observable/certificat</w:t>
            </w:r>
          </w:p>
        </w:tc>
        <w:tc>
          <w:tcPr>
            <w:tcW w:type="dxa" w:w="3540"/>
            <w:tcMar>
              <w:top w:w="80" w:type="dxa"/>
              <w:start w:w="120" w:type="dxa"/>
              <w:bottom w:w="80" w:type="dxa"/>
              <w:end w:w="120" w:type="dxa"/>
            </w:tcMar>
            <w:vAlign w:val="center"/>
            <w:shd w:fill="E8EEF5"/>
          </w:tcPr>
          <w:p>
            <w:pPr>
              <w:spacing w:after="0" w:line="240" w:lineRule="auto"/>
            </w:pPr>
            <w:r>
              <w:rPr>
                <w:rFonts w:ascii="Calibri" w:hAnsi="Calibri"/>
                <w:b/>
                <w:color w:val="0B2545"/>
                <w:sz w:val="16"/>
              </w:rPr>
              <w:t>Seuil PASS</w:t>
            </w:r>
          </w:p>
        </w:tc>
        <w:tc>
          <w:tcPr>
            <w:tcW w:type="dxa" w:w="3620"/>
            <w:tcMar>
              <w:top w:w="80" w:type="dxa"/>
              <w:start w:w="120" w:type="dxa"/>
              <w:bottom w:w="80" w:type="dxa"/>
              <w:end w:w="120" w:type="dxa"/>
            </w:tcMar>
            <w:vAlign w:val="center"/>
            <w:shd w:fill="E8EEF5"/>
          </w:tcPr>
          <w:p>
            <w:pPr>
              <w:spacing w:after="0" w:line="240" w:lineRule="auto"/>
            </w:pPr>
            <w:r>
              <w:rPr>
                <w:rFonts w:ascii="Calibri" w:hAnsi="Calibri"/>
                <w:b/>
                <w:color w:val="0B2545"/>
                <w:sz w:val="16"/>
              </w:rPr>
              <w:t>Veto</w:t>
            </w:r>
          </w:p>
        </w:tc>
      </w:tr>
      <w:tr>
        <w:trPr>
          <w:cantSplit/>
        </w:trPr>
        <w:tc>
          <w:tcPr>
            <w:tcW w:type="dxa" w:w="2200"/>
            <w:vAlign w:val="center"/>
          </w:tcPr>
          <w:p>
            <w:pPr>
              <w:spacing w:after="0" w:line="245" w:lineRule="auto"/>
            </w:pPr>
            <w:r>
              <w:rPr>
                <w:rFonts w:ascii="Calibri" w:hAnsi="Calibri"/>
                <w:color w:val="000000"/>
                <w:sz w:val="16"/>
              </w:rPr>
              <w:t>Rayon-polynôme</w:t>
            </w:r>
          </w:p>
        </w:tc>
        <w:tc>
          <w:tcPr>
            <w:tcW w:type="dxa" w:w="3540"/>
            <w:vAlign w:val="center"/>
          </w:tcPr>
          <w:p>
            <w:pPr>
              <w:spacing w:after="0" w:line="245" w:lineRule="auto"/>
            </w:pPr>
            <w:r>
              <w:rPr>
                <w:rFonts w:ascii="Calibri" w:hAnsi="Calibri"/>
                <w:color w:val="000000"/>
                <w:sz w:val="16"/>
              </w:rPr>
              <w:t>Y+Z(r)r≤r et Z(r)&lt;1, queues incluses.</w:t>
            </w:r>
          </w:p>
        </w:tc>
        <w:tc>
          <w:tcPr>
            <w:tcW w:type="dxa" w:w="3620"/>
            <w:vAlign w:val="center"/>
          </w:tcPr>
          <w:p>
            <w:pPr>
              <w:spacing w:after="0" w:line="245" w:lineRule="auto"/>
            </w:pPr>
            <w:r>
              <w:rPr>
                <w:rFonts w:ascii="Calibri" w:hAnsi="Calibri"/>
                <w:color w:val="000000"/>
                <w:sz w:val="16"/>
              </w:rPr>
              <w:t>Une queue non bornée.</w:t>
            </w:r>
          </w:p>
        </w:tc>
      </w:tr>
      <w:tr>
        <w:trPr>
          <w:cantSplit/>
        </w:trPr>
        <w:tc>
          <w:tcPr>
            <w:tcW w:type="dxa" w:w="2200"/>
            <w:vAlign w:val="center"/>
          </w:tcPr>
          <w:p>
            <w:pPr>
              <w:spacing w:after="0" w:line="245" w:lineRule="auto"/>
            </w:pPr>
            <w:r>
              <w:rPr>
                <w:rFonts w:ascii="Calibri" w:hAnsi="Calibri"/>
                <w:color w:val="000000"/>
                <w:sz w:val="16"/>
              </w:rPr>
              <w:t>Spectre RG</w:t>
            </w:r>
          </w:p>
        </w:tc>
        <w:tc>
          <w:tcPr>
            <w:tcW w:type="dxa" w:w="3540"/>
            <w:vAlign w:val="center"/>
          </w:tcPr>
          <w:p>
            <w:pPr>
              <w:spacing w:after="0" w:line="245" w:lineRule="auto"/>
            </w:pPr>
            <w:r>
              <w:rPr>
                <w:rFonts w:ascii="Calibri" w:hAnsi="Calibri"/>
                <w:color w:val="000000"/>
                <w:sz w:val="16"/>
              </w:rPr>
              <w:t>Projecteurs de Riesz validés; m fini et stable.</w:t>
            </w:r>
          </w:p>
        </w:tc>
        <w:tc>
          <w:tcPr>
            <w:tcW w:type="dxa" w:w="3620"/>
            <w:vAlign w:val="center"/>
          </w:tcPr>
          <w:p>
            <w:pPr>
              <w:spacing w:after="0" w:line="245" w:lineRule="auto"/>
            </w:pPr>
            <w:r>
              <w:rPr>
                <w:rFonts w:ascii="Calibri" w:hAnsi="Calibri"/>
                <w:color w:val="000000"/>
                <w:sz w:val="16"/>
              </w:rPr>
              <w:t>Valeur propre non séparée.</w:t>
            </w:r>
          </w:p>
        </w:tc>
      </w:tr>
      <w:tr>
        <w:trPr>
          <w:cantSplit/>
        </w:trPr>
        <w:tc>
          <w:tcPr>
            <w:tcW w:type="dxa" w:w="2200"/>
            <w:vAlign w:val="center"/>
          </w:tcPr>
          <w:p>
            <w:pPr>
              <w:spacing w:after="0" w:line="245" w:lineRule="auto"/>
            </w:pPr>
            <w:r>
              <w:rPr>
                <w:rFonts w:ascii="Calibri" w:hAnsi="Calibri"/>
                <w:color w:val="000000"/>
                <w:sz w:val="16"/>
              </w:rPr>
              <w:t>Schémas</w:t>
            </w:r>
          </w:p>
        </w:tc>
        <w:tc>
          <w:tcPr>
            <w:tcW w:type="dxa" w:w="3540"/>
            <w:vAlign w:val="center"/>
          </w:tcPr>
          <w:p>
            <w:pPr>
              <w:spacing w:after="0" w:line="245" w:lineRule="auto"/>
            </w:pPr>
            <w:r>
              <w:rPr>
                <w:rFonts w:ascii="Calibri" w:hAnsi="Calibri"/>
                <w:color w:val="000000"/>
                <w:sz w:val="16"/>
              </w:rPr>
              <w:t>Accord des exposants dans intervalles croisés.</w:t>
            </w:r>
          </w:p>
        </w:tc>
        <w:tc>
          <w:tcPr>
            <w:tcW w:type="dxa" w:w="3620"/>
            <w:vAlign w:val="center"/>
          </w:tcPr>
          <w:p>
            <w:pPr>
              <w:spacing w:after="0" w:line="245" w:lineRule="auto"/>
            </w:pPr>
            <w:r>
              <w:rPr>
                <w:rFonts w:ascii="Calibri" w:hAnsi="Calibri"/>
                <w:color w:val="000000"/>
                <w:sz w:val="16"/>
              </w:rPr>
              <w:t>Dépendance persistante à P.</w:t>
            </w:r>
          </w:p>
        </w:tc>
      </w:tr>
      <w:tr>
        <w:trPr>
          <w:cantSplit/>
        </w:trPr>
        <w:tc>
          <w:tcPr>
            <w:tcW w:type="dxa" w:w="2200"/>
            <w:vAlign w:val="center"/>
          </w:tcPr>
          <w:p>
            <w:pPr>
              <w:spacing w:after="0" w:line="245" w:lineRule="auto"/>
            </w:pPr>
            <w:r>
              <w:rPr>
                <w:rFonts w:ascii="Calibri" w:hAnsi="Calibri"/>
                <w:color w:val="000000"/>
                <w:sz w:val="16"/>
              </w:rPr>
              <w:t>Trajectoire</w:t>
            </w:r>
          </w:p>
        </w:tc>
        <w:tc>
          <w:tcPr>
            <w:tcW w:type="dxa" w:w="3540"/>
            <w:vAlign w:val="center"/>
          </w:tcPr>
          <w:p>
            <w:pPr>
              <w:spacing w:after="0" w:line="245" w:lineRule="auto"/>
            </w:pPr>
            <w:r>
              <w:rPr>
                <w:rFonts w:ascii="Calibri" w:hAnsi="Calibri"/>
                <w:color w:val="000000"/>
                <w:sz w:val="16"/>
              </w:rPr>
              <w:t>Distance certifiée à la variété stable →0.</w:t>
            </w:r>
          </w:p>
        </w:tc>
        <w:tc>
          <w:tcPr>
            <w:tcW w:type="dxa" w:w="3620"/>
            <w:vAlign w:val="center"/>
          </w:tcPr>
          <w:p>
            <w:pPr>
              <w:spacing w:after="0" w:line="245" w:lineRule="auto"/>
            </w:pPr>
            <w:r>
              <w:rPr>
                <w:rFonts w:ascii="Calibri" w:hAnsi="Calibri"/>
                <w:color w:val="000000"/>
                <w:sz w:val="16"/>
              </w:rPr>
              <w:t>Ajustement postérieur de couplages.</w:t>
            </w:r>
          </w:p>
        </w:tc>
      </w:tr>
    </w:tbl>
    <w:p>
      <w:pPr>
        <w:keepLines w:val="0"/>
        <w:spacing w:before="0" w:after="12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Domino prioritaire. </w:t>
            </w:r>
            <w:r>
              <w:rPr>
                <w:rFonts w:ascii="Calibri" w:hAnsi="Calibri"/>
                <w:color w:val="0B2545"/>
                <w:sz w:val="22"/>
              </w:rPr>
              <w:t>G0-CAP est la seule cible qui mérite désormais la majorité du calcul. Tant qu’elle manque, les signaux TT, Higgs ou cosmologiques restent des phénomènes de cutoff sans statut de continuum.</w:t>
            </w:r>
          </w:p>
        </w:tc>
      </w:tr>
    </w:tbl>
    <w:p>
      <w:pPr>
        <w:keepLines w:val="0"/>
        <w:spacing w:before="0" w:after="40" w:line="264" w:lineRule="auto"/>
        <w:jc w:val="left"/>
      </w:pPr>
      <w:r>
        <w:rPr>
          <w:rFonts w:ascii="Calibri" w:hAnsi="Calibri"/>
          <w:b w:val="0"/>
          <w:i w:val="0"/>
          <w:color w:val="000000"/>
          <w:sz w:val="22"/>
        </w:rPr>
      </w:r>
    </w:p>
    <w:p>
      <w:pPr>
        <w:pStyle w:val="Heading1"/>
        <w:keepNext/>
      </w:pPr>
      <w:r>
        <w:t>G1 — Continuum euclidien, reconstruction quantique et Lorentz</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RP-cutoff est fermée, mais aucun système de Schwinger limite satisfaisant OS n’est construit.</w:t>
            </w:r>
          </w:p>
        </w:tc>
      </w:tr>
    </w:tbl>
    <w:p>
      <w:pPr>
        <w:keepLines w:val="0"/>
        <w:spacing w:before="0" w:after="40" w:line="264" w:lineRule="auto"/>
        <w:jc w:val="left"/>
      </w:pPr>
      <w:r>
        <w:rPr>
          <w:rFonts w:ascii="Calibri" w:hAnsi="Calibri"/>
          <w:b w:val="0"/>
          <w:i w:val="0"/>
          <w:color w:val="000000"/>
          <w:sz w:val="22"/>
        </w:rPr>
      </w:r>
    </w:p>
    <w:p>
      <w:pPr>
        <w:pStyle w:val="Heading2"/>
        <w:keepNext/>
      </w:pPr>
      <w:r>
        <w:t>Route OS principale</w:t>
      </w:r>
    </w:p>
    <w:p>
      <w:pPr>
        <w:keepLines w:val="0"/>
        <w:spacing w:before="0" w:after="120" w:line="300" w:lineRule="auto"/>
        <w:jc w:val="left"/>
      </w:pPr>
      <w:r>
        <w:rPr>
          <w:rFonts w:ascii="Calibri" w:hAnsi="Calibri"/>
          <w:b w:val="0"/>
          <w:i w:val="0"/>
          <w:color w:val="000000"/>
          <w:sz w:val="22"/>
        </w:rPr>
        <w:t>Pour des observables cylindriques renormalisées O_i, construire toutes les fonctions S_n^Λ et prouver leur convergence distributionnelle sur un même noyau dense. Les conditions minimales sont régularité/temperedness, covariance euclidienne restaurée, symétrie, positivité de réflexion, cluster et contrôle UV. La positivité au cutoff aide une seule de ces étapes.</w:t>
      </w:r>
    </w:p>
    <w:p>
      <w:pPr>
        <w:keepLines/>
        <w:spacing w:before="60" w:after="140" w:line="240" w:lineRule="auto"/>
        <w:jc w:val="center"/>
      </w:pPr>
      <w:r>
        <w:rPr>
          <w:rFonts w:ascii="Cambria Math" w:hAnsi="Cambria Math"/>
          <w:color w:val="0B2545"/>
          <w:sz w:val="21"/>
        </w:rPr>
        <w:t>S_n^Λ(f₁,…,f_n) → S_n(f₁,…,f_n),     S={S_n} satisfait OS0–OS5.</w:t>
      </w:r>
    </w:p>
    <w:p>
      <w:pPr>
        <w:pStyle w:val="Heading2"/>
        <w:keepNext/>
      </w:pPr>
      <w:r>
        <w:t>Route RAQ de secours</w:t>
      </w:r>
    </w:p>
    <w:p>
      <w:pPr>
        <w:keepLines w:val="0"/>
        <w:spacing w:before="0" w:after="120" w:line="300" w:lineRule="auto"/>
        <w:jc w:val="left"/>
      </w:pPr>
      <w:r>
        <w:rPr>
          <w:rFonts w:ascii="Calibri" w:hAnsi="Calibri"/>
          <w:b w:val="0"/>
          <w:i w:val="0"/>
          <w:color w:val="000000"/>
          <w:sz w:val="22"/>
        </w:rPr>
        <w:t>Si les contraintes rendent la limite forte topologique ou inexistante, définir les amplitudes comme distributions et une rigging map η:D→D*. Le produit physique ⟨η(ψ),η(φ)⟩phys=η(φ)[ψ] doit être positif et séparer des excitations locales. Le no-go structurel des spin foams [R8] impose un test non topologique explicite.</w:t>
      </w:r>
    </w:p>
    <w:p>
      <w:pPr>
        <w:pStyle w:val="Heading2"/>
        <w:keepNext/>
      </w:pPr>
      <w:r>
        <w:t>Lorentz : deux voies recevables</w:t>
      </w:r>
    </w:p>
    <w:p>
      <w:pPr>
        <w:spacing w:before="0" w:after="120" w:line="300" w:lineRule="auto"/>
      </w:pPr>
      <w:r>
        <w:rPr>
          <w:rFonts w:ascii="Calibri" w:hAnsi="Calibri"/>
          <w:b/>
          <w:color w:val="000000"/>
          <w:sz w:val="22"/>
        </w:rPr>
        <w:t xml:space="preserve">OS/O(4). </w:t>
      </w:r>
      <w:r>
        <w:rPr>
          <w:rFonts w:ascii="Calibri" w:hAnsi="Calibri"/>
          <w:color w:val="000000"/>
          <w:sz w:val="22"/>
        </w:rPr>
        <w:t>Montrer que les anisotropies sont des directions RG irrélevantes et que les Schwinger limites sont O(4)-covariantes; la reconstruction fournit alors le groupe de Poincaré.</w:t>
      </w:r>
    </w:p>
    <w:p>
      <w:pPr>
        <w:spacing w:before="0" w:after="120" w:line="300" w:lineRule="auto"/>
      </w:pPr>
      <w:r>
        <w:rPr>
          <w:rFonts w:ascii="Calibri" w:hAnsi="Calibri"/>
          <w:b/>
          <w:color w:val="000000"/>
          <w:sz w:val="22"/>
        </w:rPr>
        <w:t xml:space="preserve">Hamiltonien/LR. </w:t>
      </w:r>
      <w:r>
        <w:rPr>
          <w:rFonts w:ascii="Calibri" w:hAnsi="Calibri"/>
          <w:color w:val="000000"/>
          <w:sz w:val="22"/>
        </w:rPr>
        <w:t>Établir une borne de Lieb–Robinson uniforme sur une algèbre d’observables avec métrique et degré contrôlés, puis montrer la convergence du cône effectif [R26]. Sur géométrie changeante, les hypothèses de graphe fixe ne sont pas automatiques.</w:t>
      </w:r>
    </w:p>
    <w:p>
      <w:pPr>
        <w:keepLines/>
        <w:spacing w:before="60" w:after="140" w:line="240" w:lineRule="auto"/>
        <w:jc w:val="center"/>
      </w:pPr>
      <w:r>
        <w:rPr>
          <w:rFonts w:ascii="Cambria Math" w:hAnsi="Cambria Math"/>
          <w:color w:val="0B2545"/>
          <w:sz w:val="21"/>
        </w:rPr>
        <w:t>max_i |c_i/c_*−1| →0,     z→1,     violations résiduelles dans un intervalle pré-enregistré.</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FAIL irréversible</w:t>
            </w:r>
          </w:p>
        </w:tc>
      </w:tr>
      <w:tr>
        <w:trPr>
          <w:cantSplit/>
        </w:trPr>
        <w:tc>
          <w:tcPr>
            <w:tcW w:type="dxa" w:w="4680"/>
            <w:vAlign w:val="center"/>
          </w:tcPr>
          <w:p>
            <w:pPr>
              <w:spacing w:after="0" w:line="245" w:lineRule="auto"/>
            </w:pPr>
            <w:r>
              <w:rPr>
                <w:rFonts w:ascii="Calibri" w:hAnsi="Calibri"/>
                <w:color w:val="000000"/>
                <w:sz w:val="17"/>
              </w:rPr>
              <w:t>Une voie complète OS ou RAQ positive + témoin propagatif.</w:t>
            </w:r>
          </w:p>
        </w:tc>
        <w:tc>
          <w:tcPr>
            <w:tcW w:type="dxa" w:w="4680"/>
            <w:vAlign w:val="center"/>
          </w:tcPr>
          <w:p>
            <w:pPr>
              <w:spacing w:after="0" w:line="245" w:lineRule="auto"/>
            </w:pPr>
            <w:r>
              <w:rPr>
                <w:rFonts w:ascii="Calibri" w:hAnsi="Calibri"/>
                <w:color w:val="000000"/>
                <w:sz w:val="17"/>
              </w:rPr>
              <w:t>Convergence forte menant seulement à une TQFT.</w:t>
            </w:r>
          </w:p>
        </w:tc>
      </w:tr>
      <w:tr>
        <w:trPr>
          <w:cantSplit/>
        </w:trPr>
        <w:tc>
          <w:tcPr>
            <w:tcW w:type="dxa" w:w="4680"/>
            <w:vAlign w:val="center"/>
          </w:tcPr>
          <w:p>
            <w:pPr>
              <w:spacing w:after="0" w:line="245" w:lineRule="auto"/>
            </w:pPr>
            <w:r>
              <w:rPr>
                <w:rFonts w:ascii="Calibri" w:hAnsi="Calibri"/>
                <w:color w:val="000000"/>
                <w:sz w:val="17"/>
              </w:rPr>
              <w:t>Cône commun gravité, jauges, fermions, Higgs.</w:t>
            </w:r>
          </w:p>
        </w:tc>
        <w:tc>
          <w:tcPr>
            <w:tcW w:type="dxa" w:w="4680"/>
            <w:vAlign w:val="center"/>
          </w:tcPr>
          <w:p>
            <w:pPr>
              <w:spacing w:after="0" w:line="245" w:lineRule="auto"/>
            </w:pPr>
            <w:r>
              <w:rPr>
                <w:rFonts w:ascii="Calibri" w:hAnsi="Calibri"/>
                <w:color w:val="000000"/>
                <w:sz w:val="17"/>
              </w:rPr>
              <w:t>Vitesses nécessitant un réglage indépendant par secteur.</w:t>
            </w:r>
          </w:p>
        </w:tc>
      </w:tr>
      <w:tr>
        <w:trPr>
          <w:cantSplit/>
        </w:trPr>
        <w:tc>
          <w:tcPr>
            <w:tcW w:type="dxa" w:w="4680"/>
            <w:vAlign w:val="center"/>
          </w:tcPr>
          <w:p>
            <w:pPr>
              <w:spacing w:after="0" w:line="245" w:lineRule="auto"/>
            </w:pPr>
            <w:r>
              <w:rPr>
                <w:rFonts w:ascii="Calibri" w:hAnsi="Calibri"/>
                <w:color w:val="000000"/>
                <w:sz w:val="17"/>
              </w:rPr>
              <w:t>Défauts εH, εRG et εobs →0.</w:t>
            </w:r>
          </w:p>
        </w:tc>
        <w:tc>
          <w:tcPr>
            <w:tcW w:type="dxa" w:w="4680"/>
            <w:vAlign w:val="center"/>
          </w:tcPr>
          <w:p>
            <w:pPr>
              <w:spacing w:after="0" w:line="245" w:lineRule="auto"/>
            </w:pPr>
            <w:r>
              <w:rPr>
                <w:rFonts w:ascii="Calibri" w:hAnsi="Calibri"/>
                <w:color w:val="000000"/>
                <w:sz w:val="17"/>
              </w:rPr>
              <w:t>Plateau fini sans convergence uniforme.</w:t>
            </w:r>
          </w:p>
        </w:tc>
      </w:tr>
    </w:tbl>
    <w:p>
      <w:pPr>
        <w:keepLines w:val="0"/>
        <w:spacing w:before="0" w:after="120" w:line="264" w:lineRule="auto"/>
        <w:jc w:val="left"/>
      </w:pPr>
      <w:r>
        <w:rPr>
          <w:rFonts w:ascii="Calibri" w:hAnsi="Calibri"/>
          <w:b w:val="0"/>
          <w:i w:val="0"/>
          <w:color w:val="000000"/>
          <w:sz w:val="22"/>
        </w:rPr>
      </w:r>
    </w:p>
    <w:p>
      <w:pPr>
        <w:pStyle w:val="Heading1"/>
        <w:keepNext/>
      </w:pPr>
      <w:r>
        <w:t>G2 — Gravité quantique : graviton, deux hélicités et couplage universel</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Le canal TT observé numériquement n’est ni un pôle continu ni une preuve de spin-2.</w:t>
            </w:r>
          </w:p>
        </w:tc>
      </w:tr>
    </w:tbl>
    <w:p>
      <w:pPr>
        <w:keepLines w:val="0"/>
        <w:spacing w:before="0" w:after="40" w:line="264" w:lineRule="auto"/>
        <w:jc w:val="left"/>
      </w:pPr>
      <w:r>
        <w:rPr>
          <w:rFonts w:ascii="Calibri" w:hAnsi="Calibri"/>
          <w:b w:val="0"/>
          <w:i w:val="0"/>
          <w:color w:val="000000"/>
          <w:sz w:val="22"/>
        </w:rPr>
      </w:r>
    </w:p>
    <w:p>
      <w:pPr>
        <w:pStyle w:val="Heading2"/>
        <w:keepNext/>
      </w:pPr>
      <w:r>
        <w:t>Certificat spectral minimal</w:t>
      </w:r>
    </w:p>
    <w:p>
      <w:pPr>
        <w:keepLines w:val="0"/>
        <w:spacing w:before="0" w:after="120" w:line="300" w:lineRule="auto"/>
        <w:jc w:val="left"/>
      </w:pPr>
      <w:r>
        <w:rPr>
          <w:rFonts w:ascii="Calibri" w:hAnsi="Calibri"/>
          <w:b w:val="0"/>
          <w:i w:val="0"/>
          <w:color w:val="000000"/>
          <w:sz w:val="22"/>
        </w:rPr>
        <w:t>Après émergence d’un fond quasi-plat et d’un tenseur énergie-impulsion renormalisé, construire les projecteurs de spin sur les corrélateurs. Le propagateur TT doit avoir, après continuation, un pôle simple positif à masse nulle et aucune contribution scalaire ou de norme négative.</w:t>
      </w:r>
    </w:p>
    <w:p>
      <w:pPr>
        <w:keepLines/>
        <w:spacing w:before="60" w:after="140" w:line="240" w:lineRule="auto"/>
        <w:jc w:val="center"/>
      </w:pPr>
      <w:r>
        <w:rPr>
          <w:rFonts w:ascii="Cambria Math" w:hAnsi="Cambria Math"/>
          <w:color w:val="0B2545"/>
          <w:sz w:val="21"/>
        </w:rPr>
        <w:t>G_TT(k)=Z_h/(k²+i0)+G_reg(k),   Z_h&gt;0;     ρ_scalar({0})=0;     n_helicity=2.</w:t>
      </w:r>
    </w:p>
    <w:p>
      <w:pPr>
        <w:keepLines w:val="0"/>
        <w:spacing w:before="0" w:after="120" w:line="300" w:lineRule="auto"/>
        <w:jc w:val="left"/>
      </w:pPr>
      <w:r>
        <w:rPr>
          <w:rFonts w:ascii="Calibri" w:hAnsi="Calibri"/>
          <w:b w:val="0"/>
          <w:i w:val="0"/>
          <w:color w:val="000000"/>
          <w:sz w:val="22"/>
        </w:rPr>
        <w:t>Un plateau de G_TT versus λ, même stable, ne donne pas cette décomposition. Il faut contrôler ordre des limites N→∞, a→0, k→0, volume→∞, ainsi que mélange d’opérateurs et résidu.</w:t>
      </w:r>
    </w:p>
    <w:p>
      <w:pPr>
        <w:pStyle w:val="Heading2"/>
        <w:keepNext/>
      </w:pPr>
      <w:r>
        <w:t>Universalité de Newton</w:t>
      </w:r>
    </w:p>
    <w:p>
      <w:pPr>
        <w:keepLines w:val="0"/>
        <w:spacing w:before="0" w:after="120" w:line="300" w:lineRule="auto"/>
        <w:jc w:val="left"/>
      </w:pPr>
      <w:r>
        <w:rPr>
          <w:rFonts w:ascii="Calibri" w:hAnsi="Calibri"/>
          <w:b w:val="0"/>
          <w:i w:val="0"/>
          <w:color w:val="000000"/>
          <w:sz w:val="22"/>
        </w:rPr>
        <w:t>Une fois le pôle établi, les identités de Ward et le théorème du graviton mou peuvent imposer le couplage universel et la relation relativiste [R25]. Avant le pôle, invoquer ce théorème serait circulaire. GN doit être extrait par au moins trois routes : résidu TT, potentiel statique et réponse à une source d’énergie.</w:t>
      </w:r>
    </w:p>
    <w:p>
      <w:pPr>
        <w:keepLines/>
        <w:spacing w:before="60" w:after="140" w:line="240" w:lineRule="auto"/>
        <w:jc w:val="center"/>
      </w:pPr>
      <w:r>
        <w:rPr>
          <w:rFonts w:ascii="Cambria Math" w:hAnsi="Cambria Math"/>
          <w:color w:val="0B2545"/>
          <w:sz w:val="21"/>
        </w:rPr>
        <w:t>GN^(TT) = GN^(potentiel) = GN^(réponse)  dans les incertitudes continuum.</w:t>
      </w:r>
    </w:p>
    <w:p>
      <w:pPr>
        <w:pStyle w:val="Heading2"/>
        <w:keepNext/>
      </w:pPr>
      <w:r>
        <w:t>Test matière-assistée</w:t>
      </w:r>
    </w:p>
    <w:p>
      <w:pPr>
        <w:keepLines w:val="0"/>
        <w:spacing w:before="0" w:after="120" w:line="300" w:lineRule="auto"/>
        <w:jc w:val="left"/>
      </w:pPr>
      <w:r>
        <w:rPr>
          <w:rFonts w:ascii="Calibri" w:hAnsi="Calibri"/>
          <w:b w:val="0"/>
          <w:i w:val="0"/>
          <w:color w:val="000000"/>
          <w:sz w:val="22"/>
        </w:rPr>
        <w:t>Mesurer la plus petite valeur propre ε du bloc matière C et les normes ‖PTTBu‖, ‖PscalarBu‖. Une criticité n’est favorable au graviton que si la première reste non nulle et la seconde s’annule selon une loi d’échelle compatible. SCHUR-TX transforme cette intuition en observable.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w:t>
            </w:r>
          </w:p>
        </w:tc>
      </w:tr>
      <w:tr>
        <w:trPr>
          <w:cantSplit/>
        </w:trPr>
        <w:tc>
          <w:tcPr>
            <w:tcW w:type="dxa" w:w="4680"/>
            <w:vAlign w:val="center"/>
          </w:tcPr>
          <w:p>
            <w:pPr>
              <w:spacing w:after="0" w:line="245" w:lineRule="auto"/>
            </w:pPr>
            <w:r>
              <w:rPr>
                <w:rFonts w:ascii="Calibri" w:hAnsi="Calibri"/>
                <w:color w:val="000000"/>
                <w:sz w:val="17"/>
              </w:rPr>
              <w:t>Z_h&gt;0, m_h²→0, deux hélicités, Ward et GN universel.</w:t>
            </w:r>
          </w:p>
        </w:tc>
        <w:tc>
          <w:tcPr>
            <w:tcW w:type="dxa" w:w="4680"/>
            <w:vAlign w:val="center"/>
          </w:tcPr>
          <w:p>
            <w:pPr>
              <w:spacing w:after="0" w:line="245" w:lineRule="auto"/>
            </w:pPr>
            <w:r>
              <w:rPr>
                <w:rFonts w:ascii="Calibri" w:hAnsi="Calibri"/>
                <w:color w:val="000000"/>
                <w:sz w:val="17"/>
              </w:rPr>
              <w:t>Pôle scalaire, résidu négatif ou hélicité supplémentaire.</w:t>
            </w:r>
          </w:p>
        </w:tc>
      </w:tr>
      <w:tr>
        <w:trPr>
          <w:cantSplit/>
        </w:trPr>
        <w:tc>
          <w:tcPr>
            <w:tcW w:type="dxa" w:w="4680"/>
            <w:vAlign w:val="center"/>
          </w:tcPr>
          <w:p>
            <w:pPr>
              <w:spacing w:after="0" w:line="245" w:lineRule="auto"/>
            </w:pPr>
            <w:r>
              <w:rPr>
                <w:rFonts w:ascii="Calibri" w:hAnsi="Calibri"/>
                <w:color w:val="000000"/>
                <w:sz w:val="17"/>
              </w:rPr>
              <w:t>Dispersion commune E²=c²p²+o(p²).</w:t>
            </w:r>
          </w:p>
        </w:tc>
        <w:tc>
          <w:tcPr>
            <w:tcW w:type="dxa" w:w="4680"/>
            <w:vAlign w:val="center"/>
          </w:tcPr>
          <w:p>
            <w:pPr>
              <w:spacing w:after="0" w:line="245" w:lineRule="auto"/>
            </w:pPr>
            <w:r>
              <w:rPr>
                <w:rFonts w:ascii="Calibri" w:hAnsi="Calibri"/>
                <w:color w:val="000000"/>
                <w:sz w:val="17"/>
              </w:rPr>
              <w:t>Cône graviton distinct nécessitant réglage.</w:t>
            </w:r>
          </w:p>
        </w:tc>
      </w:tr>
      <w:tr>
        <w:trPr>
          <w:cantSplit/>
        </w:trPr>
        <w:tc>
          <w:tcPr>
            <w:tcW w:type="dxa" w:w="4680"/>
            <w:vAlign w:val="center"/>
          </w:tcPr>
          <w:p>
            <w:pPr>
              <w:spacing w:after="0" w:line="245" w:lineRule="auto"/>
            </w:pPr>
            <w:r>
              <w:rPr>
                <w:rFonts w:ascii="Calibri" w:hAnsi="Calibri"/>
                <w:color w:val="000000"/>
                <w:sz w:val="17"/>
              </w:rPr>
              <w:t>Résultats stables sous base d’opérateurs et schéma RG.</w:t>
            </w:r>
          </w:p>
        </w:tc>
        <w:tc>
          <w:tcPr>
            <w:tcW w:type="dxa" w:w="4680"/>
            <w:vAlign w:val="center"/>
          </w:tcPr>
          <w:p>
            <w:pPr>
              <w:spacing w:after="0" w:line="245" w:lineRule="auto"/>
            </w:pPr>
            <w:r>
              <w:rPr>
                <w:rFonts w:ascii="Calibri" w:hAnsi="Calibri"/>
                <w:color w:val="000000"/>
                <w:sz w:val="17"/>
              </w:rPr>
              <w:t>TT disparaît après diagonalisation/matching.</w:t>
            </w:r>
          </w:p>
        </w:tc>
      </w:tr>
    </w:tbl>
    <w:p>
      <w:pPr>
        <w:keepLines w:val="0"/>
        <w:spacing w:before="0" w:after="120" w:line="264" w:lineRule="auto"/>
        <w:jc w:val="left"/>
      </w:pPr>
      <w:r>
        <w:rPr>
          <w:rFonts w:ascii="Calibri" w:hAnsi="Calibri"/>
          <w:b w:val="0"/>
          <w:i w:val="0"/>
          <w:color w:val="000000"/>
          <w:sz w:val="22"/>
        </w:rPr>
      </w:r>
    </w:p>
    <w:p>
      <w:pPr>
        <w:pStyle w:val="Heading1"/>
        <w:keepNext/>
      </w:pPr>
      <w:r>
        <w:t>G3 — Couleurs, saveurs, chiralité, Higgs et spectre du Modèle standard</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L’algèbre Spin(10) est une candidature; le régulateur chiral complet sur triangulations dynamiques n’existe pas encore.</w:t>
            </w:r>
          </w:p>
        </w:tc>
      </w:tr>
    </w:tbl>
    <w:p>
      <w:pPr>
        <w:keepLines w:val="0"/>
        <w:spacing w:before="0" w:after="40" w:line="264" w:lineRule="auto"/>
        <w:jc w:val="left"/>
      </w:pPr>
      <w:r>
        <w:rPr>
          <w:rFonts w:ascii="Calibri" w:hAnsi="Calibri"/>
          <w:b w:val="0"/>
          <w:i w:val="0"/>
          <w:color w:val="000000"/>
          <w:sz w:val="22"/>
        </w:rPr>
      </w:r>
    </w:p>
    <w:p>
      <w:pPr>
        <w:pStyle w:val="Heading2"/>
        <w:keepNext/>
      </w:pPr>
      <w:r>
        <w:t>Cinq certificats indépendants</w:t>
      </w:r>
    </w:p>
    <w:tbl>
      <w:tblPr>
        <w:tblStyle w:val="TableGrid"/>
        <w:tblW w:type="dxa" w:w="9360"/>
        <w:tblLayout w:type="fixed"/>
        <w:tblLook w:firstColumn="1" w:firstRow="1" w:lastColumn="0" w:lastRow="0" w:noHBand="0" w:noVBand="1" w:val="04A0"/>
        <w:jc w:val="left"/>
        <w:tblInd w:w="120" w:type="dxa"/>
      </w:tblPr>
      <w:tblGrid>
        <w:gridCol w:w="1500"/>
        <w:gridCol w:w="3900"/>
        <w:gridCol w:w="3960"/>
      </w:tblGrid>
      <w:tr>
        <w:trPr>
          <w:tblHeader w:val="true"/>
          <w:cantSplit/>
          <w:tblHeader w:val="true"/>
        </w:trPr>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0B2545"/>
                <w:sz w:val="16"/>
              </w:rPr>
              <w:t>Sous-porte</w:t>
            </w:r>
          </w:p>
        </w:tc>
        <w:tc>
          <w:tcPr>
            <w:tcW w:type="dxa" w:w="3900"/>
            <w:tcMar>
              <w:top w:w="80" w:type="dxa"/>
              <w:start w:w="120" w:type="dxa"/>
              <w:bottom w:w="80" w:type="dxa"/>
              <w:end w:w="120" w:type="dxa"/>
            </w:tcMar>
            <w:vAlign w:val="center"/>
            <w:shd w:fill="E8EEF5"/>
          </w:tcPr>
          <w:p>
            <w:pPr>
              <w:spacing w:after="0" w:line="240" w:lineRule="auto"/>
            </w:pPr>
            <w:r>
              <w:rPr>
                <w:rFonts w:ascii="Calibri" w:hAnsi="Calibri"/>
                <w:b/>
                <w:color w:val="0B2545"/>
                <w:sz w:val="16"/>
              </w:rPr>
              <w:t>Objet mathématique exigé</w:t>
            </w:r>
          </w:p>
        </w:tc>
        <w:tc>
          <w:tcPr>
            <w:tcW w:type="dxa" w:w="3960"/>
            <w:tcMar>
              <w:top w:w="80" w:type="dxa"/>
              <w:start w:w="120" w:type="dxa"/>
              <w:bottom w:w="80" w:type="dxa"/>
              <w:end w:w="120" w:type="dxa"/>
            </w:tcMar>
            <w:vAlign w:val="center"/>
            <w:shd w:fill="E8EEF5"/>
          </w:tcPr>
          <w:p>
            <w:pPr>
              <w:spacing w:after="0" w:line="240" w:lineRule="auto"/>
            </w:pPr>
            <w:r>
              <w:rPr>
                <w:rFonts w:ascii="Calibri" w:hAnsi="Calibri"/>
                <w:b/>
                <w:color w:val="0B2545"/>
                <w:sz w:val="16"/>
              </w:rPr>
              <w:t>Pourquoi l’anomalie ne suffit pas</w:t>
            </w:r>
          </w:p>
        </w:tc>
      </w:tr>
      <w:tr>
        <w:trPr>
          <w:cantSplit/>
        </w:trPr>
        <w:tc>
          <w:tcPr>
            <w:tcW w:type="dxa" w:w="1500"/>
            <w:vAlign w:val="center"/>
          </w:tcPr>
          <w:p>
            <w:pPr>
              <w:spacing w:after="0" w:line="245" w:lineRule="auto"/>
            </w:pPr>
            <w:r>
              <w:rPr>
                <w:rFonts w:ascii="Calibri" w:hAnsi="Calibri"/>
                <w:color w:val="000000"/>
                <w:sz w:val="16"/>
              </w:rPr>
              <w:t>G3-a localité</w:t>
            </w:r>
          </w:p>
        </w:tc>
        <w:tc>
          <w:tcPr>
            <w:tcW w:type="dxa" w:w="3900"/>
            <w:vAlign w:val="center"/>
          </w:tcPr>
          <w:p>
            <w:pPr>
              <w:spacing w:after="0" w:line="245" w:lineRule="auto"/>
            </w:pPr>
            <w:r>
              <w:rPr>
                <w:rFonts w:ascii="Calibri" w:hAnsi="Calibri"/>
                <w:color w:val="000000"/>
                <w:sz w:val="16"/>
              </w:rPr>
              <w:t>DΛ exponentiellement local uniformément sur chaque Σ.</w:t>
            </w:r>
          </w:p>
        </w:tc>
        <w:tc>
          <w:tcPr>
            <w:tcW w:type="dxa" w:w="3960"/>
            <w:vAlign w:val="center"/>
          </w:tcPr>
          <w:p>
            <w:pPr>
              <w:spacing w:after="0" w:line="245" w:lineRule="auto"/>
            </w:pPr>
            <w:r>
              <w:rPr>
                <w:rFonts w:ascii="Calibri" w:hAnsi="Calibri"/>
                <w:color w:val="000000"/>
                <w:sz w:val="16"/>
              </w:rPr>
              <w:t>Un opérateur spectral peut être non local.</w:t>
            </w:r>
          </w:p>
        </w:tc>
      </w:tr>
      <w:tr>
        <w:trPr>
          <w:cantSplit/>
        </w:trPr>
        <w:tc>
          <w:tcPr>
            <w:tcW w:type="dxa" w:w="1500"/>
            <w:vAlign w:val="center"/>
          </w:tcPr>
          <w:p>
            <w:pPr>
              <w:spacing w:after="0" w:line="245" w:lineRule="auto"/>
            </w:pPr>
            <w:r>
              <w:rPr>
                <w:rFonts w:ascii="Calibri" w:hAnsi="Calibri"/>
                <w:color w:val="000000"/>
                <w:sz w:val="16"/>
              </w:rPr>
              <w:t>G3-b chiralité</w:t>
            </w:r>
          </w:p>
        </w:tc>
        <w:tc>
          <w:tcPr>
            <w:tcW w:type="dxa" w:w="3900"/>
            <w:vAlign w:val="center"/>
          </w:tcPr>
          <w:p>
            <w:pPr>
              <w:spacing w:after="0" w:line="245" w:lineRule="auto"/>
            </w:pPr>
            <w:r>
              <w:rPr>
                <w:rFonts w:ascii="Calibri" w:hAnsi="Calibri"/>
                <w:color w:val="000000"/>
                <w:sz w:val="16"/>
              </w:rPr>
              <w:t>γ5D+Dγ5=aDγ5D, γ5-hermiticité, index correct.</w:t>
            </w:r>
          </w:p>
        </w:tc>
        <w:tc>
          <w:tcPr>
            <w:tcW w:type="dxa" w:w="3960"/>
            <w:vAlign w:val="center"/>
          </w:tcPr>
          <w:p>
            <w:pPr>
              <w:spacing w:after="0" w:line="245" w:lineRule="auto"/>
            </w:pPr>
            <w:r>
              <w:rPr>
                <w:rFonts w:ascii="Calibri" w:hAnsi="Calibri"/>
                <w:color w:val="000000"/>
                <w:sz w:val="16"/>
              </w:rPr>
              <w:t>Le comptage continuum ne construit pas D.</w:t>
            </w:r>
          </w:p>
        </w:tc>
      </w:tr>
      <w:tr>
        <w:trPr>
          <w:cantSplit/>
        </w:trPr>
        <w:tc>
          <w:tcPr>
            <w:tcW w:type="dxa" w:w="1500"/>
            <w:vAlign w:val="center"/>
          </w:tcPr>
          <w:p>
            <w:pPr>
              <w:spacing w:after="0" w:line="245" w:lineRule="auto"/>
            </w:pPr>
            <w:r>
              <w:rPr>
                <w:rFonts w:ascii="Calibri" w:hAnsi="Calibri"/>
                <w:color w:val="000000"/>
                <w:sz w:val="16"/>
              </w:rPr>
              <w:t>G3-c mesure</w:t>
            </w:r>
          </w:p>
        </w:tc>
        <w:tc>
          <w:tcPr>
            <w:tcW w:type="dxa" w:w="3900"/>
            <w:vAlign w:val="center"/>
          </w:tcPr>
          <w:p>
            <w:pPr>
              <w:spacing w:after="0" w:line="245" w:lineRule="auto"/>
            </w:pPr>
            <w:r>
              <w:rPr>
                <w:rFonts w:ascii="Calibri" w:hAnsi="Calibri"/>
                <w:color w:val="000000"/>
                <w:sz w:val="16"/>
              </w:rPr>
              <w:t>Courbure de mesure intégrable et jauge exacte dans tous secteurs.</w:t>
            </w:r>
          </w:p>
        </w:tc>
        <w:tc>
          <w:tcPr>
            <w:tcW w:type="dxa" w:w="3960"/>
            <w:vAlign w:val="center"/>
          </w:tcPr>
          <w:p>
            <w:pPr>
              <w:spacing w:after="0" w:line="245" w:lineRule="auto"/>
            </w:pPr>
            <w:r>
              <w:rPr>
                <w:rFonts w:ascii="Calibri" w:hAnsi="Calibri"/>
                <w:color w:val="000000"/>
                <w:sz w:val="16"/>
              </w:rPr>
              <w:t>Les anomalies globales/topologiques subsistent.</w:t>
            </w:r>
          </w:p>
        </w:tc>
      </w:tr>
      <w:tr>
        <w:trPr>
          <w:cantSplit/>
        </w:trPr>
        <w:tc>
          <w:tcPr>
            <w:tcW w:type="dxa" w:w="1500"/>
            <w:vAlign w:val="center"/>
          </w:tcPr>
          <w:p>
            <w:pPr>
              <w:spacing w:after="0" w:line="245" w:lineRule="auto"/>
            </w:pPr>
            <w:r>
              <w:rPr>
                <w:rFonts w:ascii="Calibri" w:hAnsi="Calibri"/>
                <w:color w:val="000000"/>
                <w:sz w:val="16"/>
              </w:rPr>
              <w:t>G3-d gauging</w:t>
            </w:r>
          </w:p>
        </w:tc>
        <w:tc>
          <w:tcPr>
            <w:tcW w:type="dxa" w:w="3900"/>
            <w:vAlign w:val="center"/>
          </w:tcPr>
          <w:p>
            <w:pPr>
              <w:spacing w:after="0" w:line="245" w:lineRule="auto"/>
            </w:pPr>
            <w:r>
              <w:rPr>
                <w:rFonts w:ascii="Calibri" w:hAnsi="Calibri"/>
                <w:color w:val="000000"/>
                <w:sz w:val="16"/>
              </w:rPr>
              <w:t>Symétrie rendue onsite ou procédure de gauging locale.</w:t>
            </w:r>
          </w:p>
        </w:tc>
        <w:tc>
          <w:tcPr>
            <w:tcW w:type="dxa" w:w="3960"/>
            <w:vAlign w:val="center"/>
          </w:tcPr>
          <w:p>
            <w:pPr>
              <w:spacing w:after="0" w:line="245" w:lineRule="auto"/>
            </w:pPr>
            <w:r>
              <w:rPr>
                <w:rFonts w:ascii="Calibri" w:hAnsi="Calibri"/>
                <w:color w:val="000000"/>
                <w:sz w:val="16"/>
              </w:rPr>
              <w:t>Des symétries anomaly-free peuvent être non gaugeables [R21].</w:t>
            </w:r>
          </w:p>
        </w:tc>
      </w:tr>
      <w:tr>
        <w:trPr>
          <w:cantSplit/>
        </w:trPr>
        <w:tc>
          <w:tcPr>
            <w:tcW w:type="dxa" w:w="1500"/>
            <w:vAlign w:val="center"/>
          </w:tcPr>
          <w:p>
            <w:pPr>
              <w:spacing w:after="0" w:line="245" w:lineRule="auto"/>
            </w:pPr>
            <w:r>
              <w:rPr>
                <w:rFonts w:ascii="Calibri" w:hAnsi="Calibri"/>
                <w:color w:val="000000"/>
                <w:sz w:val="16"/>
              </w:rPr>
              <w:t>G3-e dynamique</w:t>
            </w:r>
          </w:p>
        </w:tc>
        <w:tc>
          <w:tcPr>
            <w:tcW w:type="dxa" w:w="3900"/>
            <w:vAlign w:val="center"/>
          </w:tcPr>
          <w:p>
            <w:pPr>
              <w:spacing w:after="0" w:line="245" w:lineRule="auto"/>
            </w:pPr>
            <w:r>
              <w:rPr>
                <w:rFonts w:ascii="Calibri" w:hAnsi="Calibri"/>
                <w:color w:val="000000"/>
                <w:sz w:val="16"/>
              </w:rPr>
              <w:t>Secteur miroir gappé sans briser jauge; Higgs/Yukawa donnent le spectre.</w:t>
            </w:r>
          </w:p>
        </w:tc>
        <w:tc>
          <w:tcPr>
            <w:tcW w:type="dxa" w:w="3960"/>
            <w:vAlign w:val="center"/>
          </w:tcPr>
          <w:p>
            <w:pPr>
              <w:spacing w:after="0" w:line="245" w:lineRule="auto"/>
            </w:pPr>
            <w:r>
              <w:rPr>
                <w:rFonts w:ascii="Calibri" w:hAnsi="Calibri"/>
                <w:color w:val="000000"/>
                <w:sz w:val="16"/>
              </w:rPr>
              <w:t>Une représentation ne choisit ni familles ni masses.</w:t>
            </w:r>
          </w:p>
        </w:tc>
      </w:tr>
    </w:tbl>
    <w:p>
      <w:pPr>
        <w:keepLines w:val="0"/>
        <w:spacing w:before="0" w:after="120" w:line="264"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La relation de Ginsparg–Wilson fournit un modèle de rigueur pour l’abélien [R18]. Les propositions SO(10) et les symmetry disentanglers montrent des voies non perturbatives [R19,R20], mais le résultat 2026 ne constitue pas encore un Hamiltonien complet du SM en 3+1 dimensions. La classification par cobordisme doit compléter les anomalies perturbatives [R22].</w:t>
      </w:r>
    </w:p>
    <w:p>
      <w:pPr>
        <w:pStyle w:val="Heading2"/>
        <w:keepNext/>
      </w:pPr>
      <w:r>
        <w:t>Compatibilité avec Pachner</w:t>
      </w:r>
    </w:p>
    <w:p>
      <w:pPr>
        <w:keepLines/>
        <w:spacing w:before="60" w:after="140" w:line="240" w:lineRule="auto"/>
        <w:jc w:val="center"/>
      </w:pPr>
      <w:r>
        <w:rPr>
          <w:rFonts w:ascii="Cambria Math" w:hAnsi="Cambria Math"/>
          <w:color w:val="0B2545"/>
          <w:sz w:val="21"/>
        </w:rPr>
        <w:t>U_m D_Σ U_m* − D_Σ′ = E_m,     ‖E_m‖loc→0 sous raffinement.</w:t>
      </w:r>
    </w:p>
    <w:p>
      <w:pPr>
        <w:keepLines w:val="0"/>
        <w:spacing w:before="0" w:after="120" w:line="300" w:lineRule="auto"/>
        <w:jc w:val="left"/>
      </w:pPr>
      <w:r>
        <w:rPr>
          <w:rFonts w:ascii="Calibri" w:hAnsi="Calibri"/>
          <w:b w:val="0"/>
          <w:i w:val="0"/>
          <w:color w:val="000000"/>
          <w:sz w:val="22"/>
        </w:rPr>
        <w:t>Chaque mouvement de Pachner doit transporter spin structure, champs, mesure chirale et contraintes de Gauss par une isométrie locale U_m, avec défaut contrôlé. Sans cette donnée, on dispose de fermions sur chaque tranche mais pas d’une théorie fermionique cohérente sur l’espace des tranches.</w:t>
      </w:r>
    </w:p>
    <w:p>
      <w:pPr>
        <w:pStyle w:val="Heading2"/>
        <w:keepNext/>
      </w:pPr>
      <w:r>
        <w:t>Saveurs et trois familles</w:t>
      </w:r>
    </w:p>
    <w:p>
      <w:pPr>
        <w:keepLines w:val="0"/>
        <w:spacing w:before="0" w:after="120" w:line="300" w:lineRule="auto"/>
        <w:jc w:val="left"/>
      </w:pPr>
      <w:r>
        <w:rPr>
          <w:rFonts w:ascii="Calibri" w:hAnsi="Calibri"/>
          <w:b w:val="0"/>
          <w:i w:val="0"/>
          <w:color w:val="000000"/>
          <w:sz w:val="22"/>
        </w:rPr>
        <w:t>Le 16 de Spin(10) organise une famille incluant un neutrino droit; il ne dérive pas le nombre trois. G3 n’est fermé que si l’indice/topologie ou le flot sélectionne exactement trois copies légères, et si la matrice de Yukawa, CKM, PMNS, masses et phase CP sont des sorties d’un secteur scalaire gelé. Toute matrice Yukawa libre compte comme paramètres d’entrée.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DECEC"/>
          </w:tcPr>
          <w:p>
            <w:pPr>
              <w:spacing w:before="60" w:after="60" w:line="264" w:lineRule="auto"/>
            </w:pPr>
            <w:r>
              <w:rPr>
                <w:rFonts w:ascii="Calibri" w:hAnsi="Calibri"/>
                <w:b/>
                <w:color w:val="9B1C1C"/>
                <w:sz w:val="22"/>
              </w:rPr>
              <w:t xml:space="preserve">Critère de mort G3. </w:t>
            </w:r>
            <w:r>
              <w:rPr>
                <w:rFonts w:ascii="Calibri" w:hAnsi="Calibri"/>
                <w:color w:val="9B1C1C"/>
                <w:sz w:val="22"/>
              </w:rPr>
              <w:t>Une anomalie résiduelle, une non-localité uniforme manquante, un miroir non gappé, un nombre de familles choisi ou un spectre obtenu en ajustant librement les Yukawa interdit la mention « Modèle standard dérivé ».</w:t>
            </w:r>
          </w:p>
        </w:tc>
      </w:tr>
    </w:tbl>
    <w:p>
      <w:pPr>
        <w:keepLines w:val="0"/>
        <w:spacing w:before="0" w:after="40" w:line="264" w:lineRule="auto"/>
        <w:jc w:val="left"/>
      </w:pPr>
      <w:r>
        <w:rPr>
          <w:rFonts w:ascii="Calibri" w:hAnsi="Calibri"/>
          <w:b w:val="0"/>
          <w:i w:val="0"/>
          <w:color w:val="000000"/>
          <w:sz w:val="22"/>
        </w:rPr>
      </w:r>
    </w:p>
    <w:p>
      <w:pPr>
        <w:pStyle w:val="Heading1"/>
        <w:keepNext/>
      </w:pPr>
      <w:r>
        <w:t>G4 — Unification des quatre interactions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Spin(10) peut unifier les jauges; la coexistence avec Hgeom n’est pas encore une unification des quatre forces.</w:t>
            </w:r>
          </w:p>
        </w:tc>
      </w:tr>
    </w:tbl>
    <w:p>
      <w:pPr>
        <w:keepLines w:val="0"/>
        <w:spacing w:before="0" w:after="40" w:line="264" w:lineRule="auto"/>
        <w:jc w:val="left"/>
      </w:pPr>
      <w:r>
        <w:rPr>
          <w:rFonts w:ascii="Calibri" w:hAnsi="Calibri"/>
          <w:b w:val="0"/>
          <w:i w:val="0"/>
          <w:color w:val="000000"/>
          <w:sz w:val="22"/>
        </w:rPr>
      </w:r>
    </w:p>
    <w:p>
      <w:pPr>
        <w:pStyle w:val="Heading2"/>
        <w:keepNext/>
      </w:pPr>
      <w:r>
        <w:t>Deux sens du mot unification</w:t>
      </w:r>
    </w:p>
    <w:p>
      <w:pPr>
        <w:spacing w:before="0" w:after="120" w:line="300" w:lineRule="auto"/>
      </w:pPr>
      <w:r>
        <w:rPr>
          <w:rFonts w:ascii="Calibri" w:hAnsi="Calibri"/>
          <w:b/>
          <w:color w:val="000000"/>
          <w:sz w:val="22"/>
        </w:rPr>
        <w:t xml:space="preserve">Unification faible. </w:t>
      </w:r>
      <w:r>
        <w:rPr>
          <w:rFonts w:ascii="Calibri" w:hAnsi="Calibri"/>
          <w:color w:val="000000"/>
          <w:sz w:val="22"/>
        </w:rPr>
        <w:t>Un seul Hamiltonien cutoff contient gravité et un groupe de jauge unifié; leurs couplages restent des directions pertinentes indépendantes. C’est actuellement le statut maximal de β1/V317.</w:t>
      </w:r>
    </w:p>
    <w:p>
      <w:pPr>
        <w:spacing w:before="0" w:after="120" w:line="300" w:lineRule="auto"/>
      </w:pPr>
      <w:r>
        <w:rPr>
          <w:rFonts w:ascii="Calibri" w:hAnsi="Calibri"/>
          <w:b/>
          <w:color w:val="000000"/>
          <w:sz w:val="22"/>
        </w:rPr>
        <w:t xml:space="preserve">Unification forte. </w:t>
      </w:r>
      <w:r>
        <w:rPr>
          <w:rFonts w:ascii="Calibri" w:hAnsi="Calibri"/>
          <w:color w:val="000000"/>
          <w:sz w:val="22"/>
        </w:rPr>
        <w:t>Une symétrie, une contrainte ou le point fixe impose une relation non triviale entre couplage gravitationnel et couplage(s) de jauge, stable sous RG et donnant une prédiction. C’est la cible G4.</w:t>
      </w:r>
    </w:p>
    <w:p>
      <w:pPr>
        <w:pStyle w:val="Heading2"/>
        <w:keepNext/>
      </w:pPr>
      <w:r>
        <w:t>Certificat de jauge Spin(10)</w:t>
      </w:r>
    </w:p>
    <w:p>
      <w:pPr>
        <w:spacing w:after="80" w:line="300" w:lineRule="auto"/>
        <w:ind w:left="540" w:hanging="271"/>
      </w:pPr>
      <w:r>
        <w:rPr>
          <w:rFonts w:ascii="Calibri" w:hAnsi="Calibri"/>
          <w:b/>
          <w:color w:val="2E74B5"/>
          <w:sz w:val="22"/>
        </w:rPr>
        <w:t xml:space="preserve">1. </w:t>
      </w:r>
      <w:r>
        <w:rPr>
          <w:rFonts w:ascii="Calibri" w:hAnsi="Calibri"/>
          <w:color w:val="000000"/>
          <w:sz w:val="22"/>
        </w:rPr>
        <w:t>Geler la représentation scalaire et la chaîne exacte de brisure; ne jamais transférer les chiffres d’un autre modèle.</w:t>
      </w:r>
    </w:p>
    <w:p>
      <w:pPr>
        <w:spacing w:after="80" w:line="300" w:lineRule="auto"/>
        <w:ind w:left="540" w:hanging="271"/>
      </w:pPr>
      <w:r>
        <w:rPr>
          <w:rFonts w:ascii="Calibri" w:hAnsi="Calibri"/>
          <w:b/>
          <w:color w:val="2E74B5"/>
          <w:sz w:val="22"/>
        </w:rPr>
        <w:t xml:space="preserve">2. </w:t>
      </w:r>
      <w:r>
        <w:rPr>
          <w:rFonts w:ascii="Calibri" w:hAnsi="Calibri"/>
          <w:color w:val="000000"/>
          <w:sz w:val="22"/>
        </w:rPr>
        <w:t>Calculer β et seuils dans le même schéma que le point fixe BLOB, avec intervalles d’erreur.</w:t>
      </w:r>
    </w:p>
    <w:p>
      <w:pPr>
        <w:spacing w:after="80" w:line="300" w:lineRule="auto"/>
        <w:ind w:left="540" w:hanging="271"/>
      </w:pPr>
      <w:r>
        <w:rPr>
          <w:rFonts w:ascii="Calibri" w:hAnsi="Calibri"/>
          <w:b/>
          <w:color w:val="2E74B5"/>
          <w:sz w:val="22"/>
        </w:rPr>
        <w:t xml:space="preserve">3. </w:t>
      </w:r>
      <w:r>
        <w:rPr>
          <w:rFonts w:ascii="Calibri" w:hAnsi="Calibri"/>
          <w:color w:val="000000"/>
          <w:sz w:val="22"/>
        </w:rPr>
        <w:t>Retrouver SU(3)c×SU(2)L×U(1)Y et la normalisation hypercharge sans paramètre ajouté.</w:t>
      </w:r>
    </w:p>
    <w:p>
      <w:pPr>
        <w:spacing w:after="80" w:line="300" w:lineRule="auto"/>
        <w:ind w:left="540" w:hanging="271"/>
      </w:pPr>
      <w:r>
        <w:rPr>
          <w:rFonts w:ascii="Calibri" w:hAnsi="Calibri"/>
          <w:b/>
          <w:color w:val="2E74B5"/>
          <w:sz w:val="22"/>
        </w:rPr>
        <w:t xml:space="preserve">4. </w:t>
      </w:r>
      <w:r>
        <w:rPr>
          <w:rFonts w:ascii="Calibri" w:hAnsi="Calibri"/>
          <w:color w:val="000000"/>
          <w:sz w:val="22"/>
        </w:rPr>
        <w:t>Dériver les masses des bosons lourds et la durée de vie du proton; comparer après gel.</w:t>
      </w:r>
    </w:p>
    <w:p>
      <w:pPr>
        <w:spacing w:after="80" w:line="300" w:lineRule="auto"/>
        <w:ind w:left="540" w:hanging="271"/>
      </w:pPr>
      <w:r>
        <w:rPr>
          <w:rFonts w:ascii="Calibri" w:hAnsi="Calibri"/>
          <w:b/>
          <w:color w:val="2E74B5"/>
          <w:sz w:val="22"/>
        </w:rPr>
        <w:t xml:space="preserve">5. </w:t>
      </w:r>
      <w:r>
        <w:rPr>
          <w:rFonts w:ascii="Calibri" w:hAnsi="Calibri"/>
          <w:color w:val="000000"/>
          <w:sz w:val="22"/>
        </w:rPr>
        <w:t>Tester stabilité du vide, naturalité du doublet de Higgs et secteur neutrino.</w:t>
      </w:r>
    </w:p>
    <w:p>
      <w:pPr>
        <w:keepLines w:val="0"/>
        <w:spacing w:before="0" w:after="120" w:line="300" w:lineRule="auto"/>
        <w:jc w:val="left"/>
      </w:pPr>
      <w:r>
        <w:rPr>
          <w:rFonts w:ascii="Calibri" w:hAnsi="Calibri"/>
          <w:b w:val="0"/>
          <w:i w:val="0"/>
          <w:color w:val="000000"/>
          <w:sz w:val="22"/>
        </w:rPr>
        <w:t>Le modèle 54+126+10 peut donner une échelle Pati–Salam 10¹³–10¹⁴ GeV et une durée de vie du proton jusqu’à quelques 10³⁵ ans [R23]; ces nombres sont des repères externes, pas des prédictions BLOB. Le modèle 45+126+10_C rencontre au contraire des difficultés de doublet et de proton [R24]. La représentation précise change donc le verdict.</w:t>
      </w:r>
    </w:p>
    <w:p>
      <w:pPr>
        <w:pStyle w:val="Heading2"/>
        <w:keepNext/>
      </w:pPr>
      <w:r>
        <w:t>Test de relation gravité–jauge</w:t>
      </w:r>
    </w:p>
    <w:p>
      <w:pPr>
        <w:keepLines/>
        <w:spacing w:before="60" w:after="140" w:line="240" w:lineRule="auto"/>
        <w:jc w:val="center"/>
      </w:pPr>
      <w:r>
        <w:rPr>
          <w:rFonts w:ascii="Cambria Math" w:hAnsi="Cambria Math"/>
          <w:color w:val="0B2545"/>
          <w:sz w:val="21"/>
        </w:rPr>
        <w:t>I_G4 = inf_c ‖g_grav,* − f_c(g_10,*,λ_H,*)‖intervalle.</w:t>
      </w:r>
    </w:p>
    <w:p>
      <w:pPr>
        <w:keepLines w:val="0"/>
        <w:spacing w:before="0" w:after="120" w:line="300" w:lineRule="auto"/>
        <w:jc w:val="left"/>
      </w:pPr>
      <w:r>
        <w:rPr>
          <w:rFonts w:ascii="Calibri" w:hAnsi="Calibri"/>
          <w:b w:val="0"/>
          <w:i w:val="0"/>
          <w:color w:val="000000"/>
          <w:sz w:val="22"/>
        </w:rPr>
        <w:t>La famille f_c doit être dérivée d’une symétrie ou d’une identité de Ward, pas ajustée. PASS fort requiert I_G4=0 dans un intervalle certifié et au moins une relation IR non utilisée au matching. À défaut, on parlera de « gravité + GUT » et non d’unification des quatre forces.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cantSplit/>
          <w:tblHeader w:val="true"/>
        </w:trPr>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PASS</w:t>
            </w:r>
          </w:p>
        </w:tc>
        <w:tc>
          <w:tcPr>
            <w:tcW w:type="dxa" w:w="4680"/>
            <w:tcMar>
              <w:top w:w="80" w:type="dxa"/>
              <w:start w:w="120" w:type="dxa"/>
              <w:bottom w:w="80" w:type="dxa"/>
              <w:end w:w="120" w:type="dxa"/>
            </w:tcMar>
            <w:vAlign w:val="center"/>
            <w:shd w:fill="E8EEF5"/>
          </w:tcPr>
          <w:p>
            <w:pPr>
              <w:spacing w:after="0" w:line="240" w:lineRule="auto"/>
            </w:pPr>
            <w:r>
              <w:rPr>
                <w:rFonts w:ascii="Calibri" w:hAnsi="Calibri"/>
                <w:b/>
                <w:color w:val="0B2545"/>
                <w:sz w:val="17"/>
              </w:rPr>
              <w:t>Veto</w:t>
            </w:r>
          </w:p>
        </w:tc>
      </w:tr>
      <w:tr>
        <w:trPr>
          <w:cantSplit/>
        </w:trPr>
        <w:tc>
          <w:tcPr>
            <w:tcW w:type="dxa" w:w="4680"/>
            <w:vAlign w:val="center"/>
          </w:tcPr>
          <w:p>
            <w:pPr>
              <w:spacing w:after="0" w:line="245" w:lineRule="auto"/>
            </w:pPr>
            <w:r>
              <w:rPr>
                <w:rFonts w:ascii="Calibri" w:hAnsi="Calibri"/>
                <w:color w:val="000000"/>
                <w:sz w:val="17"/>
              </w:rPr>
              <w:t>Un seul flot total et brisure Spin(10) complète.</w:t>
            </w:r>
          </w:p>
        </w:tc>
        <w:tc>
          <w:tcPr>
            <w:tcW w:type="dxa" w:w="4680"/>
            <w:vAlign w:val="center"/>
          </w:tcPr>
          <w:p>
            <w:pPr>
              <w:spacing w:after="0" w:line="245" w:lineRule="auto"/>
            </w:pPr>
            <w:r>
              <w:rPr>
                <w:rFonts w:ascii="Calibri" w:hAnsi="Calibri"/>
                <w:color w:val="000000"/>
                <w:sz w:val="17"/>
              </w:rPr>
              <w:t>Deux campagnes RG indépendantes.</w:t>
            </w:r>
          </w:p>
        </w:tc>
      </w:tr>
      <w:tr>
        <w:trPr>
          <w:cantSplit/>
        </w:trPr>
        <w:tc>
          <w:tcPr>
            <w:tcW w:type="dxa" w:w="4680"/>
            <w:vAlign w:val="center"/>
          </w:tcPr>
          <w:p>
            <w:pPr>
              <w:spacing w:after="0" w:line="245" w:lineRule="auto"/>
            </w:pPr>
            <w:r>
              <w:rPr>
                <w:rFonts w:ascii="Calibri" w:hAnsi="Calibri"/>
                <w:color w:val="000000"/>
                <w:sz w:val="17"/>
              </w:rPr>
              <w:t>Relation gravité–jauge dérivée et prédictive.</w:t>
            </w:r>
          </w:p>
        </w:tc>
        <w:tc>
          <w:tcPr>
            <w:tcW w:type="dxa" w:w="4680"/>
            <w:vAlign w:val="center"/>
          </w:tcPr>
          <w:p>
            <w:pPr>
              <w:spacing w:after="0" w:line="245" w:lineRule="auto"/>
            </w:pPr>
            <w:r>
              <w:rPr>
                <w:rFonts w:ascii="Calibri" w:hAnsi="Calibri"/>
                <w:color w:val="000000"/>
                <w:sz w:val="17"/>
              </w:rPr>
              <w:t>Couplages libres simplement juxtaposés.</w:t>
            </w:r>
          </w:p>
        </w:tc>
      </w:tr>
      <w:tr>
        <w:trPr>
          <w:cantSplit/>
        </w:trPr>
        <w:tc>
          <w:tcPr>
            <w:tcW w:type="dxa" w:w="4680"/>
            <w:vAlign w:val="center"/>
          </w:tcPr>
          <w:p>
            <w:pPr>
              <w:spacing w:after="0" w:line="245" w:lineRule="auto"/>
            </w:pPr>
            <w:r>
              <w:rPr>
                <w:rFonts w:ascii="Calibri" w:hAnsi="Calibri"/>
                <w:color w:val="000000"/>
                <w:sz w:val="17"/>
              </w:rPr>
              <w:t>Proton/Higgs/neutrinos compatibles après gel.</w:t>
            </w:r>
          </w:p>
        </w:tc>
        <w:tc>
          <w:tcPr>
            <w:tcW w:type="dxa" w:w="4680"/>
            <w:vAlign w:val="center"/>
          </w:tcPr>
          <w:p>
            <w:pPr>
              <w:spacing w:after="0" w:line="245" w:lineRule="auto"/>
            </w:pPr>
            <w:r>
              <w:rPr>
                <w:rFonts w:ascii="Calibri" w:hAnsi="Calibri"/>
                <w:color w:val="000000"/>
                <w:sz w:val="17"/>
              </w:rPr>
              <w:t>Choix de seuils après confrontation.</w:t>
            </w:r>
          </w:p>
        </w:tc>
      </w:tr>
    </w:tbl>
    <w:p>
      <w:pPr>
        <w:keepLines w:val="0"/>
        <w:spacing w:before="0" w:after="120" w:line="264" w:lineRule="auto"/>
        <w:jc w:val="left"/>
      </w:pPr>
      <w:r>
        <w:rPr>
          <w:rFonts w:ascii="Calibri" w:hAnsi="Calibri"/>
          <w:b w:val="0"/>
          <w:i w:val="0"/>
          <w:color w:val="000000"/>
          <w:sz w:val="22"/>
        </w:rPr>
      </w:r>
    </w:p>
    <w:p>
      <w:pPr>
        <w:pStyle w:val="Heading1"/>
        <w:keepNext/>
      </w:pPr>
      <w:r>
        <w:t>G5 — Constante cosmologique et cosmologie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CAN-Λ prouve une insensibilité additive à volume fixé, mais ne calcule ni Λ observée ni l’histoire cosmique.</w:t>
            </w:r>
          </w:p>
        </w:tc>
      </w:tr>
    </w:tbl>
    <w:p>
      <w:pPr>
        <w:keepLines w:val="0"/>
        <w:spacing w:before="0" w:after="40" w:line="264" w:lineRule="auto"/>
        <w:jc w:val="left"/>
      </w:pPr>
      <w:r>
        <w:rPr>
          <w:rFonts w:ascii="Calibri" w:hAnsi="Calibri"/>
          <w:b w:val="0"/>
          <w:i w:val="0"/>
          <w:color w:val="000000"/>
          <w:sz w:val="22"/>
        </w:rPr>
      </w:r>
    </w:p>
    <w:p>
      <w:pPr>
        <w:pStyle w:val="Heading2"/>
        <w:keepNext/>
      </w:pPr>
      <w:r>
        <w:t>Décomposition obligatoire du problème</w:t>
      </w:r>
    </w:p>
    <w:tbl>
      <w:tblPr>
        <w:tblStyle w:val="TableGrid"/>
        <w:tblW w:type="dxa" w:w="9360"/>
        <w:tblLayout w:type="fixed"/>
        <w:tblLook w:firstColumn="1" w:firstRow="1" w:lastColumn="0" w:lastRow="0" w:noHBand="0" w:noVBand="1" w:val="04A0"/>
        <w:jc w:val="left"/>
        <w:tblInd w:w="120" w:type="dxa"/>
      </w:tblPr>
      <w:tblGrid>
        <w:gridCol w:w="1700"/>
        <w:gridCol w:w="3300"/>
        <w:gridCol w:w="4360"/>
      </w:tblGrid>
      <w:tr>
        <w:trPr>
          <w:tblHeader w:val="true"/>
          <w:cantSplit/>
          <w:tblHeader w:val="true"/>
        </w:trPr>
        <w:tc>
          <w:tcPr>
            <w:tcW w:type="dxa" w:w="1700"/>
            <w:tcMar>
              <w:top w:w="80" w:type="dxa"/>
              <w:start w:w="120" w:type="dxa"/>
              <w:bottom w:w="80" w:type="dxa"/>
              <w:end w:w="120" w:type="dxa"/>
            </w:tcMar>
            <w:vAlign w:val="center"/>
            <w:shd w:fill="E8EEF5"/>
          </w:tcPr>
          <w:p>
            <w:pPr>
              <w:spacing w:after="0" w:line="240" w:lineRule="auto"/>
            </w:pPr>
            <w:r>
              <w:rPr>
                <w:rFonts w:ascii="Calibri" w:hAnsi="Calibri"/>
                <w:b/>
                <w:color w:val="0B2545"/>
                <w:sz w:val="16"/>
              </w:rPr>
              <w:t>Sous-question</w:t>
            </w:r>
          </w:p>
        </w:tc>
        <w:tc>
          <w:tcPr>
            <w:tcW w:type="dxa" w:w="3300"/>
            <w:tcMar>
              <w:top w:w="80" w:type="dxa"/>
              <w:start w:w="120" w:type="dxa"/>
              <w:bottom w:w="80" w:type="dxa"/>
              <w:end w:w="120" w:type="dxa"/>
            </w:tcMar>
            <w:vAlign w:val="center"/>
            <w:shd w:fill="E8EEF5"/>
          </w:tcPr>
          <w:p>
            <w:pPr>
              <w:spacing w:after="0" w:line="240" w:lineRule="auto"/>
            </w:pPr>
            <w:r>
              <w:rPr>
                <w:rFonts w:ascii="Calibri" w:hAnsi="Calibri"/>
                <w:b/>
                <w:color w:val="0B2545"/>
                <w:sz w:val="16"/>
              </w:rPr>
              <w:t>Résultat V317</w:t>
            </w:r>
          </w:p>
        </w:tc>
        <w:tc>
          <w:tcPr>
            <w:tcW w:type="dxa" w:w="4360"/>
            <w:tcMar>
              <w:top w:w="80" w:type="dxa"/>
              <w:start w:w="120" w:type="dxa"/>
              <w:bottom w:w="80" w:type="dxa"/>
              <w:end w:w="120" w:type="dxa"/>
            </w:tcMar>
            <w:vAlign w:val="center"/>
            <w:shd w:fill="E8EEF5"/>
          </w:tcPr>
          <w:p>
            <w:pPr>
              <w:spacing w:after="0" w:line="240" w:lineRule="auto"/>
            </w:pPr>
            <w:r>
              <w:rPr>
                <w:rFonts w:ascii="Calibri" w:hAnsi="Calibri"/>
                <w:b/>
                <w:color w:val="0B2545"/>
                <w:sz w:val="16"/>
              </w:rPr>
              <w:t>Reste</w:t>
            </w:r>
          </w:p>
        </w:tc>
      </w:tr>
      <w:tr>
        <w:trPr>
          <w:cantSplit/>
        </w:trPr>
        <w:tc>
          <w:tcPr>
            <w:tcW w:type="dxa" w:w="1700"/>
            <w:vAlign w:val="center"/>
          </w:tcPr>
          <w:p>
            <w:pPr>
              <w:spacing w:after="0" w:line="245" w:lineRule="auto"/>
            </w:pPr>
            <w:r>
              <w:rPr>
                <w:rFonts w:ascii="Calibri" w:hAnsi="Calibri"/>
                <w:color w:val="000000"/>
                <w:sz w:val="16"/>
              </w:rPr>
              <w:t>Radiative</w:t>
            </w:r>
          </w:p>
        </w:tc>
        <w:tc>
          <w:tcPr>
            <w:tcW w:type="dxa" w:w="3300"/>
            <w:vAlign w:val="center"/>
          </w:tcPr>
          <w:p>
            <w:pPr>
              <w:spacing w:after="0" w:line="245" w:lineRule="auto"/>
            </w:pPr>
            <w:r>
              <w:rPr>
                <w:rFonts w:ascii="Calibri" w:hAnsi="Calibri"/>
                <w:color w:val="000000"/>
                <w:sz w:val="16"/>
              </w:rPr>
              <w:t>S→S+cN invisible canoniquement [T].</w:t>
            </w:r>
          </w:p>
        </w:tc>
        <w:tc>
          <w:tcPr>
            <w:tcW w:type="dxa" w:w="4360"/>
            <w:vAlign w:val="center"/>
          </w:tcPr>
          <w:p>
            <w:pPr>
              <w:spacing w:after="0" w:line="245" w:lineRule="auto"/>
            </w:pPr>
            <w:r>
              <w:rPr>
                <w:rFonts w:ascii="Calibri" w:hAnsi="Calibri"/>
                <w:color w:val="000000"/>
                <w:sz w:val="16"/>
              </w:rPr>
              <w:t>Stabilité lors du retour grand-canonique.</w:t>
            </w:r>
          </w:p>
        </w:tc>
      </w:tr>
      <w:tr>
        <w:trPr>
          <w:cantSplit/>
        </w:trPr>
        <w:tc>
          <w:tcPr>
            <w:tcW w:type="dxa" w:w="1700"/>
            <w:vAlign w:val="center"/>
          </w:tcPr>
          <w:p>
            <w:pPr>
              <w:spacing w:after="0" w:line="245" w:lineRule="auto"/>
            </w:pPr>
            <w:r>
              <w:rPr>
                <w:rFonts w:ascii="Calibri" w:hAnsi="Calibri"/>
                <w:color w:val="000000"/>
                <w:sz w:val="16"/>
              </w:rPr>
              <w:t>Valeur absolue</w:t>
            </w:r>
          </w:p>
        </w:tc>
        <w:tc>
          <w:tcPr>
            <w:tcW w:type="dxa" w:w="3300"/>
            <w:vAlign w:val="center"/>
          </w:tcPr>
          <w:p>
            <w:pPr>
              <w:spacing w:after="0" w:line="245" w:lineRule="auto"/>
            </w:pPr>
            <w:r>
              <w:rPr>
                <w:rFonts w:ascii="Calibri" w:hAnsi="Calibri"/>
                <w:color w:val="000000"/>
                <w:sz w:val="16"/>
              </w:rPr>
              <w:t>Non identifiable à N fixé [T].</w:t>
            </w:r>
          </w:p>
        </w:tc>
        <w:tc>
          <w:tcPr>
            <w:tcW w:type="dxa" w:w="4360"/>
            <w:vAlign w:val="center"/>
          </w:tcPr>
          <w:p>
            <w:pPr>
              <w:spacing w:after="0" w:line="245" w:lineRule="auto"/>
            </w:pPr>
            <w:r>
              <w:rPr>
                <w:rFonts w:ascii="Calibri" w:hAnsi="Calibri"/>
                <w:color w:val="000000"/>
                <w:sz w:val="16"/>
              </w:rPr>
              <w:t>Principe/bord imposant μ ou Λeff.</w:t>
            </w:r>
          </w:p>
        </w:tc>
      </w:tr>
      <w:tr>
        <w:trPr>
          <w:cantSplit/>
        </w:trPr>
        <w:tc>
          <w:tcPr>
            <w:tcW w:type="dxa" w:w="1700"/>
            <w:vAlign w:val="center"/>
          </w:tcPr>
          <w:p>
            <w:pPr>
              <w:spacing w:after="0" w:line="245" w:lineRule="auto"/>
            </w:pPr>
            <w:r>
              <w:rPr>
                <w:rFonts w:ascii="Calibri" w:hAnsi="Calibri"/>
                <w:color w:val="000000"/>
                <w:sz w:val="16"/>
              </w:rPr>
              <w:t>Fond</w:t>
            </w:r>
          </w:p>
        </w:tc>
        <w:tc>
          <w:tcPr>
            <w:tcW w:type="dxa" w:w="3300"/>
            <w:vAlign w:val="center"/>
          </w:tcPr>
          <w:p>
            <w:pPr>
              <w:spacing w:after="0" w:line="245" w:lineRule="auto"/>
            </w:pPr>
            <w:r>
              <w:rPr>
                <w:rFonts w:ascii="Calibri" w:hAnsi="Calibri"/>
                <w:color w:val="000000"/>
                <w:sz w:val="16"/>
              </w:rPr>
              <w:t>Pipeline seulement.</w:t>
            </w:r>
          </w:p>
        </w:tc>
        <w:tc>
          <w:tcPr>
            <w:tcW w:type="dxa" w:w="4360"/>
            <w:vAlign w:val="center"/>
          </w:tcPr>
          <w:p>
            <w:pPr>
              <w:spacing w:after="0" w:line="245" w:lineRule="auto"/>
            </w:pPr>
            <w:r>
              <w:rPr>
                <w:rFonts w:ascii="Calibri" w:hAnsi="Calibri"/>
                <w:color w:val="000000"/>
                <w:sz w:val="16"/>
              </w:rPr>
              <w:t>Friedmann, rebond/inflation/ère sombre dérivés.</w:t>
            </w:r>
          </w:p>
        </w:tc>
      </w:tr>
      <w:tr>
        <w:trPr>
          <w:cantSplit/>
        </w:trPr>
        <w:tc>
          <w:tcPr>
            <w:tcW w:type="dxa" w:w="1700"/>
            <w:vAlign w:val="center"/>
          </w:tcPr>
          <w:p>
            <w:pPr>
              <w:spacing w:after="0" w:line="245" w:lineRule="auto"/>
            </w:pPr>
            <w:r>
              <w:rPr>
                <w:rFonts w:ascii="Calibri" w:hAnsi="Calibri"/>
                <w:color w:val="000000"/>
                <w:sz w:val="16"/>
              </w:rPr>
              <w:t>Perturbations</w:t>
            </w:r>
          </w:p>
        </w:tc>
        <w:tc>
          <w:tcPr>
            <w:tcW w:type="dxa" w:w="3300"/>
            <w:vAlign w:val="center"/>
          </w:tcPr>
          <w:p>
            <w:pPr>
              <w:spacing w:after="0" w:line="245" w:lineRule="auto"/>
            </w:pPr>
            <w:r>
              <w:rPr>
                <w:rFonts w:ascii="Calibri" w:hAnsi="Calibri"/>
                <w:color w:val="000000"/>
                <w:sz w:val="16"/>
              </w:rPr>
              <w:t>Aucun spectre primordial dérivé.</w:t>
            </w:r>
          </w:p>
        </w:tc>
        <w:tc>
          <w:tcPr>
            <w:tcW w:type="dxa" w:w="4360"/>
            <w:vAlign w:val="center"/>
          </w:tcPr>
          <w:p>
            <w:pPr>
              <w:spacing w:after="0" w:line="245" w:lineRule="auto"/>
            </w:pPr>
            <w:r>
              <w:rPr>
                <w:rFonts w:ascii="Calibri" w:hAnsi="Calibri"/>
                <w:color w:val="000000"/>
                <w:sz w:val="16"/>
              </w:rPr>
              <w:t>n_s, r, non-gaussianités, croissance.</w:t>
            </w:r>
          </w:p>
        </w:tc>
      </w:tr>
      <w:tr>
        <w:trPr>
          <w:cantSplit/>
        </w:trPr>
        <w:tc>
          <w:tcPr>
            <w:tcW w:type="dxa" w:w="1700"/>
            <w:vAlign w:val="center"/>
          </w:tcPr>
          <w:p>
            <w:pPr>
              <w:spacing w:after="0" w:line="245" w:lineRule="auto"/>
            </w:pPr>
            <w:r>
              <w:rPr>
                <w:rFonts w:ascii="Calibri" w:hAnsi="Calibri"/>
                <w:color w:val="000000"/>
                <w:sz w:val="16"/>
              </w:rPr>
              <w:t>Contenu sombre</w:t>
            </w:r>
          </w:p>
        </w:tc>
        <w:tc>
          <w:tcPr>
            <w:tcW w:type="dxa" w:w="3300"/>
            <w:vAlign w:val="center"/>
          </w:tcPr>
          <w:p>
            <w:pPr>
              <w:spacing w:after="0" w:line="245" w:lineRule="auto"/>
            </w:pPr>
            <w:r>
              <w:rPr>
                <w:rFonts w:ascii="Calibri" w:hAnsi="Calibri"/>
                <w:color w:val="000000"/>
                <w:sz w:val="16"/>
              </w:rPr>
              <w:t>Aucun secteur fixé.</w:t>
            </w:r>
          </w:p>
        </w:tc>
        <w:tc>
          <w:tcPr>
            <w:tcW w:type="dxa" w:w="4360"/>
            <w:vAlign w:val="center"/>
          </w:tcPr>
          <w:p>
            <w:pPr>
              <w:spacing w:after="0" w:line="245" w:lineRule="auto"/>
            </w:pPr>
            <w:r>
              <w:rPr>
                <w:rFonts w:ascii="Calibri" w:hAnsi="Calibri"/>
                <w:color w:val="000000"/>
                <w:sz w:val="16"/>
              </w:rPr>
              <w:t>Candidat, abondance et contraintes.</w:t>
            </w:r>
          </w:p>
        </w:tc>
      </w:tr>
    </w:tbl>
    <w:p>
      <w:pPr>
        <w:keepLines w:val="0"/>
        <w:spacing w:before="0" w:after="120" w:line="264" w:lineRule="auto"/>
        <w:jc w:val="left"/>
      </w:pPr>
      <w:r>
        <w:rPr>
          <w:rFonts w:ascii="Calibri" w:hAnsi="Calibri"/>
          <w:b w:val="0"/>
          <w:i w:val="0"/>
          <w:color w:val="000000"/>
          <w:sz w:val="22"/>
        </w:rPr>
      </w:r>
    </w:p>
    <w:p>
      <w:pPr>
        <w:pStyle w:val="Heading2"/>
        <w:keepNext/>
      </w:pPr>
      <w:r>
        <w:t>Retour grand-canonique</w:t>
      </w:r>
    </w:p>
    <w:p>
      <w:pPr>
        <w:keepLines/>
        <w:spacing w:before="60" w:after="140" w:line="240" w:lineRule="auto"/>
        <w:jc w:val="center"/>
      </w:pPr>
      <w:r>
        <w:rPr>
          <w:rFonts w:ascii="Cambria Math" w:hAnsi="Cambria Math"/>
          <w:color w:val="0B2545"/>
          <w:sz w:val="21"/>
        </w:rPr>
        <w:t>Z(μ)=ΣN≥0 e^(−μN) Z_N,     S→S+cN ⇔ μ→μ+c.</w:t>
      </w:r>
    </w:p>
    <w:p>
      <w:pPr>
        <w:keepLines w:val="0"/>
        <w:spacing w:before="0" w:after="120" w:line="300" w:lineRule="auto"/>
        <w:jc w:val="left"/>
      </w:pPr>
      <w:r>
        <w:rPr>
          <w:rFonts w:ascii="Calibri" w:hAnsi="Calibri"/>
          <w:b w:val="0"/>
          <w:i w:val="0"/>
          <w:color w:val="000000"/>
          <w:sz w:val="22"/>
        </w:rPr>
        <w:t>La transformation n’élimine pas la constante conjugée au volume : elle la déplace. Une solution complète doit spécifier si μ est une condition aux bords, une constante d’intégration, une variable dynamique ou une direction fixée par le point critique. Chaque option a des observables différentes. Le no-go de Weinberg interdit de promettre une relaxation locale générique sans hypothèse nouvelle [R27]; l’unimodulaire traite l’insensibilité mais pas automatiquement la petite valeur [R28].</w:t>
      </w:r>
    </w:p>
    <w:p>
      <w:pPr>
        <w:pStyle w:val="Heading2"/>
        <w:keepNext/>
      </w:pPr>
      <w:r>
        <w:t>Certificat cosmologique</w:t>
      </w:r>
    </w:p>
    <w:p>
      <w:pPr>
        <w:spacing w:after="80" w:line="300" w:lineRule="auto"/>
        <w:ind w:left="540" w:hanging="271"/>
      </w:pPr>
      <w:r>
        <w:rPr>
          <w:rFonts w:ascii="Calibri" w:hAnsi="Calibri"/>
          <w:b/>
          <w:color w:val="2E74B5"/>
          <w:sz w:val="22"/>
        </w:rPr>
        <w:t xml:space="preserve">1. </w:t>
      </w:r>
      <w:r>
        <w:rPr>
          <w:rFonts w:ascii="Calibri" w:hAnsi="Calibri"/>
          <w:color w:val="000000"/>
          <w:sz w:val="22"/>
        </w:rPr>
        <w:t>Dériver l’action effective homogène à partir du même g* et de la même limite G1.</w:t>
      </w:r>
    </w:p>
    <w:p>
      <w:pPr>
        <w:spacing w:after="80" w:line="300" w:lineRule="auto"/>
        <w:ind w:left="540" w:hanging="271"/>
      </w:pPr>
      <w:r>
        <w:rPr>
          <w:rFonts w:ascii="Calibri" w:hAnsi="Calibri"/>
          <w:b/>
          <w:color w:val="2E74B5"/>
          <w:sz w:val="22"/>
        </w:rPr>
        <w:t xml:space="preserve">2. </w:t>
      </w:r>
      <w:r>
        <w:rPr>
          <w:rFonts w:ascii="Calibri" w:hAnsi="Calibri"/>
          <w:color w:val="000000"/>
          <w:sz w:val="22"/>
        </w:rPr>
        <w:t>Identifier temps cosmique, facteur d’échelle et état initial sans calibration cachée.</w:t>
      </w:r>
    </w:p>
    <w:p>
      <w:pPr>
        <w:spacing w:after="80" w:line="300" w:lineRule="auto"/>
        <w:ind w:left="540" w:hanging="271"/>
      </w:pPr>
      <w:r>
        <w:rPr>
          <w:rFonts w:ascii="Calibri" w:hAnsi="Calibri"/>
          <w:b/>
          <w:color w:val="2E74B5"/>
          <w:sz w:val="22"/>
        </w:rPr>
        <w:t xml:space="preserve">3. </w:t>
      </w:r>
      <w:r>
        <w:rPr>
          <w:rFonts w:ascii="Calibri" w:hAnsi="Calibri"/>
          <w:color w:val="000000"/>
          <w:sz w:val="22"/>
        </w:rPr>
        <w:t>Calculer H(z), distances, croissance et spectres de perturbations avec covariance complète.</w:t>
      </w:r>
    </w:p>
    <w:p>
      <w:pPr>
        <w:spacing w:after="80" w:line="300" w:lineRule="auto"/>
        <w:ind w:left="540" w:hanging="271"/>
      </w:pPr>
      <w:r>
        <w:rPr>
          <w:rFonts w:ascii="Calibri" w:hAnsi="Calibri"/>
          <w:b/>
          <w:color w:val="2E74B5"/>
          <w:sz w:val="22"/>
        </w:rPr>
        <w:t xml:space="preserve">4. </w:t>
      </w:r>
      <w:r>
        <w:rPr>
          <w:rFonts w:ascii="Calibri" w:hAnsi="Calibri"/>
          <w:color w:val="000000"/>
          <w:sz w:val="22"/>
        </w:rPr>
        <w:t>Geler au moins une quantité non utilisée dans le matching.</w:t>
      </w:r>
    </w:p>
    <w:p>
      <w:pPr>
        <w:spacing w:after="80" w:line="300" w:lineRule="auto"/>
        <w:ind w:left="540" w:hanging="271"/>
      </w:pPr>
      <w:r>
        <w:rPr>
          <w:rFonts w:ascii="Calibri" w:hAnsi="Calibri"/>
          <w:b/>
          <w:color w:val="2E74B5"/>
          <w:sz w:val="22"/>
        </w:rPr>
        <w:t xml:space="preserve">5. </w:t>
      </w:r>
      <w:r>
        <w:rPr>
          <w:rFonts w:ascii="Calibri" w:hAnsi="Calibri"/>
          <w:color w:val="000000"/>
          <w:sz w:val="22"/>
        </w:rPr>
        <w:t>Comparer à un jeu de données réservé; publier aussi les échecs.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DECEC"/>
          </w:tcPr>
          <w:p>
            <w:pPr>
              <w:spacing w:before="60" w:after="60" w:line="264" w:lineRule="auto"/>
            </w:pPr>
            <w:r>
              <w:rPr>
                <w:rFonts w:ascii="Calibri" w:hAnsi="Calibri"/>
                <w:b/>
                <w:color w:val="9B1C1C"/>
                <w:sz w:val="22"/>
              </w:rPr>
              <w:t xml:space="preserve">Critère de mort G5. </w:t>
            </w:r>
            <w:r>
              <w:rPr>
                <w:rFonts w:ascii="Calibri" w:hAnsi="Calibri"/>
                <w:color w:val="9B1C1C"/>
                <w:sz w:val="22"/>
              </w:rPr>
              <w:t>Une valeur de Λ choisie comme μ, une courbe cosmologique ajustée après lecture des données ou l’absence de perturbations ne constitue pas une dérivation cosmologique.</w:t>
            </w:r>
          </w:p>
        </w:tc>
      </w:tr>
    </w:tbl>
    <w:p>
      <w:pPr>
        <w:keepLines w:val="0"/>
        <w:spacing w:before="0" w:after="40" w:line="264" w:lineRule="auto"/>
        <w:jc w:val="left"/>
      </w:pPr>
      <w:r>
        <w:rPr>
          <w:rFonts w:ascii="Calibri" w:hAnsi="Calibri"/>
          <w:b w:val="0"/>
          <w:i w:val="0"/>
          <w:color w:val="000000"/>
          <w:sz w:val="22"/>
        </w:rPr>
      </w:r>
    </w:p>
    <w:p>
      <w:pPr>
        <w:pStyle w:val="Heading1"/>
        <w:keepNext/>
      </w:pPr>
      <w:r>
        <w:t>G6 — Prédiction falsifiable et réplications indépendantes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Verdict V317. </w:t>
            </w:r>
            <w:r>
              <w:rPr>
                <w:rFonts w:ascii="Calibri" w:hAnsi="Calibri"/>
                <w:color w:val="7A5A00"/>
                <w:sz w:val="22"/>
              </w:rPr>
              <w:t>OUVERTE PAR NATURE. Aucune mathématique interne ne peut produire rétroactivement une validation externe.</w:t>
            </w:r>
          </w:p>
        </w:tc>
      </w:tr>
    </w:tbl>
    <w:p>
      <w:pPr>
        <w:keepLines w:val="0"/>
        <w:spacing w:before="0" w:after="40" w:line="264" w:lineRule="auto"/>
        <w:jc w:val="left"/>
      </w:pPr>
      <w:r>
        <w:rPr>
          <w:rFonts w:ascii="Calibri" w:hAnsi="Calibri"/>
          <w:b w:val="0"/>
          <w:i w:val="0"/>
          <w:color w:val="000000"/>
          <w:sz w:val="22"/>
        </w:rPr>
      </w:r>
    </w:p>
    <w:p>
      <w:pPr>
        <w:pStyle w:val="Heading2"/>
        <w:keepNext/>
      </w:pPr>
      <w:r>
        <w:t>Protocole de fermeture</w:t>
      </w:r>
    </w:p>
    <w:p>
      <w:pPr>
        <w:spacing w:after="80" w:line="300" w:lineRule="auto"/>
        <w:ind w:left="540" w:hanging="271"/>
      </w:pPr>
      <w:r>
        <w:rPr>
          <w:rFonts w:ascii="Calibri" w:hAnsi="Calibri"/>
          <w:b/>
          <w:color w:val="2E74B5"/>
          <w:sz w:val="22"/>
        </w:rPr>
        <w:t xml:space="preserve">1. </w:t>
      </w:r>
      <w:r>
        <w:rPr>
          <w:rFonts w:ascii="Calibri" w:hAnsi="Calibri"/>
          <w:color w:val="000000"/>
          <w:sz w:val="22"/>
        </w:rPr>
        <w:t>Choisir une observable réellement non utilisée pour fixer les couplages ou sélectionner la phase.</w:t>
      </w:r>
    </w:p>
    <w:p>
      <w:pPr>
        <w:spacing w:after="80" w:line="300" w:lineRule="auto"/>
        <w:ind w:left="540" w:hanging="271"/>
      </w:pPr>
      <w:r>
        <w:rPr>
          <w:rFonts w:ascii="Calibri" w:hAnsi="Calibri"/>
          <w:b/>
          <w:color w:val="2E74B5"/>
          <w:sz w:val="22"/>
        </w:rPr>
        <w:t xml:space="preserve">2. </w:t>
      </w:r>
      <w:r>
        <w:rPr>
          <w:rFonts w:ascii="Calibri" w:hAnsi="Calibri"/>
          <w:color w:val="000000"/>
          <w:sz w:val="22"/>
        </w:rPr>
        <w:t>Écrire valeur centrale, intervalle total, domaine de validité et résultat qui réfuterait le modèle.</w:t>
      </w:r>
    </w:p>
    <w:p>
      <w:pPr>
        <w:spacing w:after="80" w:line="300" w:lineRule="auto"/>
        <w:ind w:left="540" w:hanging="271"/>
      </w:pPr>
      <w:r>
        <w:rPr>
          <w:rFonts w:ascii="Calibri" w:hAnsi="Calibri"/>
          <w:b/>
          <w:color w:val="2E74B5"/>
          <w:sz w:val="22"/>
        </w:rPr>
        <w:t xml:space="preserve">3. </w:t>
      </w:r>
      <w:r>
        <w:rPr>
          <w:rFonts w:ascii="Calibri" w:hAnsi="Calibri"/>
          <w:color w:val="000000"/>
          <w:sz w:val="22"/>
        </w:rPr>
        <w:t>Geler texte, code, données d’entraînement et hash avant ouverture du jeu réservé.</w:t>
      </w:r>
    </w:p>
    <w:p>
      <w:pPr>
        <w:spacing w:after="80" w:line="300" w:lineRule="auto"/>
        <w:ind w:left="540" w:hanging="271"/>
      </w:pPr>
      <w:r>
        <w:rPr>
          <w:rFonts w:ascii="Calibri" w:hAnsi="Calibri"/>
          <w:b/>
          <w:color w:val="2E74B5"/>
          <w:sz w:val="22"/>
        </w:rPr>
        <w:t xml:space="preserve">4. </w:t>
      </w:r>
      <w:r>
        <w:rPr>
          <w:rFonts w:ascii="Calibri" w:hAnsi="Calibri"/>
          <w:color w:val="000000"/>
          <w:sz w:val="22"/>
        </w:rPr>
        <w:t>Exécuter une première confrontation aveugle et publier le journal complet.</w:t>
      </w:r>
    </w:p>
    <w:p>
      <w:pPr>
        <w:spacing w:after="80" w:line="300" w:lineRule="auto"/>
        <w:ind w:left="540" w:hanging="271"/>
      </w:pPr>
      <w:r>
        <w:rPr>
          <w:rFonts w:ascii="Calibri" w:hAnsi="Calibri"/>
          <w:b/>
          <w:color w:val="2E74B5"/>
          <w:sz w:val="22"/>
        </w:rPr>
        <w:t xml:space="preserve">5. </w:t>
      </w:r>
      <w:r>
        <w:rPr>
          <w:rFonts w:ascii="Calibri" w:hAnsi="Calibri"/>
          <w:color w:val="000000"/>
          <w:sz w:val="22"/>
        </w:rPr>
        <w:t>Faire reproduire par deux équipes sans partage de code exécutable ni réglage de paramètres.</w:t>
      </w:r>
    </w:p>
    <w:p>
      <w:pPr>
        <w:spacing w:after="80" w:line="300" w:lineRule="auto"/>
        <w:ind w:left="540" w:hanging="271"/>
      </w:pPr>
      <w:r>
        <w:rPr>
          <w:rFonts w:ascii="Calibri" w:hAnsi="Calibri"/>
          <w:b/>
          <w:color w:val="2E74B5"/>
          <w:sz w:val="22"/>
        </w:rPr>
        <w:t xml:space="preserve">6. </w:t>
      </w:r>
      <w:r>
        <w:rPr>
          <w:rFonts w:ascii="Calibri" w:hAnsi="Calibri"/>
          <w:color w:val="000000"/>
          <w:sz w:val="22"/>
        </w:rPr>
        <w:t>Promouvoir G6 seulement si les trois intervalles pré-enregistrés sont compatibles.</w:t>
      </w:r>
    </w:p>
    <w:p>
      <w:pPr>
        <w:keepLines/>
        <w:spacing w:before="60" w:after="140" w:line="240" w:lineRule="auto"/>
        <w:jc w:val="center"/>
      </w:pPr>
      <w:r>
        <w:rPr>
          <w:rFonts w:ascii="Cambria Math" w:hAnsi="Cambria Math"/>
          <w:color w:val="0B2545"/>
          <w:sz w:val="21"/>
        </w:rPr>
        <w:t>PASS G6 ⇔ prereg ∧ holdout ∧ résultat compatible ∧ réplication A ∧ réplication B.</w:t>
      </w:r>
    </w:p>
    <w:p>
      <w:pPr>
        <w:pStyle w:val="Heading2"/>
        <w:keepNext/>
      </w:pPr>
      <w:r>
        <w:t>Candidats de prédiction, sans les annoncer encore comme sorties</w:t>
      </w:r>
    </w:p>
    <w:tbl>
      <w:tblPr>
        <w:tblStyle w:val="TableGrid"/>
        <w:tblW w:type="dxa" w:w="9360"/>
        <w:tblLayout w:type="fixed"/>
        <w:tblLook w:firstColumn="1" w:firstRow="1" w:lastColumn="0" w:lastRow="0" w:noHBand="0" w:noVBand="1" w:val="04A0"/>
        <w:jc w:val="left"/>
        <w:tblInd w:w="120" w:type="dxa"/>
      </w:tblPr>
      <w:tblGrid>
        <w:gridCol w:w="2200"/>
        <w:gridCol w:w="3420"/>
        <w:gridCol w:w="3740"/>
      </w:tblGrid>
      <w:tr>
        <w:trPr>
          <w:tblHeader w:val="true"/>
          <w:cantSplit/>
          <w:tblHeader w:val="true"/>
        </w:trP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6"/>
              </w:rPr>
              <w:t>Candidat</w:t>
            </w:r>
          </w:p>
        </w:tc>
        <w:tc>
          <w:tcPr>
            <w:tcW w:type="dxa" w:w="3420"/>
            <w:tcMar>
              <w:top w:w="80" w:type="dxa"/>
              <w:start w:w="120" w:type="dxa"/>
              <w:bottom w:w="80" w:type="dxa"/>
              <w:end w:w="120" w:type="dxa"/>
            </w:tcMar>
            <w:vAlign w:val="center"/>
            <w:shd w:fill="E8EEF5"/>
          </w:tcPr>
          <w:p>
            <w:pPr>
              <w:spacing w:after="0" w:line="240" w:lineRule="auto"/>
            </w:pPr>
            <w:r>
              <w:rPr>
                <w:rFonts w:ascii="Calibri" w:hAnsi="Calibri"/>
                <w:b/>
                <w:color w:val="0B2545"/>
                <w:sz w:val="16"/>
              </w:rPr>
              <w:t>Pourquoi intéressant</w:t>
            </w:r>
          </w:p>
        </w:tc>
        <w:tc>
          <w:tcPr>
            <w:tcW w:type="dxa" w:w="3740"/>
            <w:tcMar>
              <w:top w:w="80" w:type="dxa"/>
              <w:start w:w="120" w:type="dxa"/>
              <w:bottom w:w="80" w:type="dxa"/>
              <w:end w:w="120" w:type="dxa"/>
            </w:tcMar>
            <w:vAlign w:val="center"/>
            <w:shd w:fill="E8EEF5"/>
          </w:tcPr>
          <w:p>
            <w:pPr>
              <w:spacing w:after="0" w:line="240" w:lineRule="auto"/>
            </w:pPr>
            <w:r>
              <w:rPr>
                <w:rFonts w:ascii="Calibri" w:hAnsi="Calibri"/>
                <w:b/>
                <w:color w:val="0B2545"/>
                <w:sz w:val="16"/>
              </w:rPr>
              <w:t>Pourquoi non prêt</w:t>
            </w:r>
          </w:p>
        </w:tc>
      </w:tr>
      <w:tr>
        <w:trPr>
          <w:cantSplit/>
        </w:trPr>
        <w:tc>
          <w:tcPr>
            <w:tcW w:type="dxa" w:w="2200"/>
            <w:vAlign w:val="center"/>
          </w:tcPr>
          <w:p>
            <w:pPr>
              <w:spacing w:after="0" w:line="245" w:lineRule="auto"/>
            </w:pPr>
            <w:r>
              <w:rPr>
                <w:rFonts w:ascii="Calibri" w:hAnsi="Calibri"/>
                <w:color w:val="000000"/>
                <w:sz w:val="16"/>
              </w:rPr>
              <w:t>Exposant spectral universel</w:t>
            </w:r>
          </w:p>
        </w:tc>
        <w:tc>
          <w:tcPr>
            <w:tcW w:type="dxa" w:w="3420"/>
            <w:vAlign w:val="center"/>
          </w:tcPr>
          <w:p>
            <w:pPr>
              <w:spacing w:after="0" w:line="245" w:lineRule="auto"/>
            </w:pPr>
            <w:r>
              <w:rPr>
                <w:rFonts w:ascii="Calibri" w:hAnsi="Calibri"/>
                <w:color w:val="000000"/>
                <w:sz w:val="16"/>
              </w:rPr>
              <w:t>Directement lié au point fixe CAP.</w:t>
            </w:r>
          </w:p>
        </w:tc>
        <w:tc>
          <w:tcPr>
            <w:tcW w:type="dxa" w:w="3740"/>
            <w:vAlign w:val="center"/>
          </w:tcPr>
          <w:p>
            <w:pPr>
              <w:spacing w:after="0" w:line="245" w:lineRule="auto"/>
            </w:pPr>
            <w:r>
              <w:rPr>
                <w:rFonts w:ascii="Calibri" w:hAnsi="Calibri"/>
                <w:color w:val="000000"/>
                <w:sz w:val="16"/>
              </w:rPr>
              <w:t>g* absent.</w:t>
            </w:r>
          </w:p>
        </w:tc>
      </w:tr>
      <w:tr>
        <w:trPr>
          <w:cantSplit/>
        </w:trPr>
        <w:tc>
          <w:tcPr>
            <w:tcW w:type="dxa" w:w="2200"/>
            <w:vAlign w:val="center"/>
          </w:tcPr>
          <w:p>
            <w:pPr>
              <w:spacing w:after="0" w:line="245" w:lineRule="auto"/>
            </w:pPr>
            <w:r>
              <w:rPr>
                <w:rFonts w:ascii="Calibri" w:hAnsi="Calibri"/>
                <w:color w:val="000000"/>
                <w:sz w:val="16"/>
              </w:rPr>
              <w:t>Rapport de résidus TT/matière</w:t>
            </w:r>
          </w:p>
        </w:tc>
        <w:tc>
          <w:tcPr>
            <w:tcW w:type="dxa" w:w="3420"/>
            <w:vAlign w:val="center"/>
          </w:tcPr>
          <w:p>
            <w:pPr>
              <w:spacing w:after="0" w:line="245" w:lineRule="auto"/>
            </w:pPr>
            <w:r>
              <w:rPr>
                <w:rFonts w:ascii="Calibri" w:hAnsi="Calibri"/>
                <w:color w:val="000000"/>
                <w:sz w:val="16"/>
              </w:rPr>
              <w:t>Teste équivalence et unification.</w:t>
            </w:r>
          </w:p>
        </w:tc>
        <w:tc>
          <w:tcPr>
            <w:tcW w:type="dxa" w:w="3740"/>
            <w:vAlign w:val="center"/>
          </w:tcPr>
          <w:p>
            <w:pPr>
              <w:spacing w:after="0" w:line="245" w:lineRule="auto"/>
            </w:pPr>
            <w:r>
              <w:rPr>
                <w:rFonts w:ascii="Calibri" w:hAnsi="Calibri"/>
                <w:color w:val="000000"/>
                <w:sz w:val="16"/>
              </w:rPr>
              <w:t>Pôle TT absent.</w:t>
            </w:r>
          </w:p>
        </w:tc>
      </w:tr>
      <w:tr>
        <w:trPr>
          <w:cantSplit/>
        </w:trPr>
        <w:tc>
          <w:tcPr>
            <w:tcW w:type="dxa" w:w="2200"/>
            <w:vAlign w:val="center"/>
          </w:tcPr>
          <w:p>
            <w:pPr>
              <w:spacing w:after="0" w:line="245" w:lineRule="auto"/>
            </w:pPr>
            <w:r>
              <w:rPr>
                <w:rFonts w:ascii="Calibri" w:hAnsi="Calibri"/>
                <w:color w:val="000000"/>
                <w:sz w:val="16"/>
              </w:rPr>
              <w:t>Durée de vie du proton</w:t>
            </w:r>
          </w:p>
        </w:tc>
        <w:tc>
          <w:tcPr>
            <w:tcW w:type="dxa" w:w="3420"/>
            <w:vAlign w:val="center"/>
          </w:tcPr>
          <w:p>
            <w:pPr>
              <w:spacing w:after="0" w:line="245" w:lineRule="auto"/>
            </w:pPr>
            <w:r>
              <w:rPr>
                <w:rFonts w:ascii="Calibri" w:hAnsi="Calibri"/>
                <w:color w:val="000000"/>
                <w:sz w:val="16"/>
              </w:rPr>
              <w:t>Falsifiable et externe.</w:t>
            </w:r>
          </w:p>
        </w:tc>
        <w:tc>
          <w:tcPr>
            <w:tcW w:type="dxa" w:w="3740"/>
            <w:vAlign w:val="center"/>
          </w:tcPr>
          <w:p>
            <w:pPr>
              <w:spacing w:after="0" w:line="245" w:lineRule="auto"/>
            </w:pPr>
            <w:r>
              <w:rPr>
                <w:rFonts w:ascii="Calibri" w:hAnsi="Calibri"/>
                <w:color w:val="000000"/>
                <w:sz w:val="16"/>
              </w:rPr>
              <w:t>Secteur Higgs/seuils Spin(10) non gelé.</w:t>
            </w:r>
          </w:p>
        </w:tc>
      </w:tr>
      <w:tr>
        <w:trPr>
          <w:cantSplit/>
        </w:trPr>
        <w:tc>
          <w:tcPr>
            <w:tcW w:type="dxa" w:w="2200"/>
            <w:vAlign w:val="center"/>
          </w:tcPr>
          <w:p>
            <w:pPr>
              <w:spacing w:after="0" w:line="245" w:lineRule="auto"/>
            </w:pPr>
            <w:r>
              <w:rPr>
                <w:rFonts w:ascii="Calibri" w:hAnsi="Calibri"/>
                <w:color w:val="000000"/>
                <w:sz w:val="16"/>
              </w:rPr>
              <w:t>Déviation de propagation</w:t>
            </w:r>
          </w:p>
        </w:tc>
        <w:tc>
          <w:tcPr>
            <w:tcW w:type="dxa" w:w="3420"/>
            <w:vAlign w:val="center"/>
          </w:tcPr>
          <w:p>
            <w:pPr>
              <w:spacing w:after="0" w:line="245" w:lineRule="auto"/>
            </w:pPr>
            <w:r>
              <w:rPr>
                <w:rFonts w:ascii="Calibri" w:hAnsi="Calibri"/>
                <w:color w:val="000000"/>
                <w:sz w:val="16"/>
              </w:rPr>
              <w:t>Teste Lorentz commune.</w:t>
            </w:r>
          </w:p>
        </w:tc>
        <w:tc>
          <w:tcPr>
            <w:tcW w:type="dxa" w:w="3740"/>
            <w:vAlign w:val="center"/>
          </w:tcPr>
          <w:p>
            <w:pPr>
              <w:spacing w:after="0" w:line="245" w:lineRule="auto"/>
            </w:pPr>
            <w:r>
              <w:rPr>
                <w:rFonts w:ascii="Calibri" w:hAnsi="Calibri"/>
                <w:color w:val="000000"/>
                <w:sz w:val="16"/>
              </w:rPr>
              <w:t>Continuum/cône absent.</w:t>
            </w:r>
          </w:p>
        </w:tc>
      </w:tr>
      <w:tr>
        <w:trPr>
          <w:cantSplit/>
        </w:trPr>
        <w:tc>
          <w:tcPr>
            <w:tcW w:type="dxa" w:w="2200"/>
            <w:vAlign w:val="center"/>
          </w:tcPr>
          <w:p>
            <w:pPr>
              <w:spacing w:after="0" w:line="245" w:lineRule="auto"/>
            </w:pPr>
            <w:r>
              <w:rPr>
                <w:rFonts w:ascii="Calibri" w:hAnsi="Calibri"/>
                <w:color w:val="000000"/>
                <w:sz w:val="16"/>
              </w:rPr>
              <w:t>Paramètre cosmologique</w:t>
            </w:r>
          </w:p>
        </w:tc>
        <w:tc>
          <w:tcPr>
            <w:tcW w:type="dxa" w:w="3420"/>
            <w:vAlign w:val="center"/>
          </w:tcPr>
          <w:p>
            <w:pPr>
              <w:spacing w:after="0" w:line="245" w:lineRule="auto"/>
            </w:pPr>
            <w:r>
              <w:rPr>
                <w:rFonts w:ascii="Calibri" w:hAnsi="Calibri"/>
                <w:color w:val="000000"/>
                <w:sz w:val="16"/>
              </w:rPr>
              <w:t>Données riches.</w:t>
            </w:r>
          </w:p>
        </w:tc>
        <w:tc>
          <w:tcPr>
            <w:tcW w:type="dxa" w:w="3740"/>
            <w:vAlign w:val="center"/>
          </w:tcPr>
          <w:p>
            <w:pPr>
              <w:spacing w:after="0" w:line="245" w:lineRule="auto"/>
            </w:pPr>
            <w:r>
              <w:rPr>
                <w:rFonts w:ascii="Calibri" w:hAnsi="Calibri"/>
                <w:color w:val="000000"/>
                <w:sz w:val="16"/>
              </w:rPr>
              <w:t>Λ et état initial non dérivés.</w:t>
            </w:r>
          </w:p>
        </w:tc>
      </w:tr>
    </w:tbl>
    <w:p>
      <w:pPr>
        <w:keepLines w:val="0"/>
        <w:spacing w:before="0" w:after="12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4D6"/>
          </w:tcPr>
          <w:p>
            <w:pPr>
              <w:spacing w:before="60" w:after="60" w:line="264" w:lineRule="auto"/>
            </w:pPr>
            <w:r>
              <w:rPr>
                <w:rFonts w:ascii="Calibri" w:hAnsi="Calibri"/>
                <w:b/>
                <w:color w:val="7A5A00"/>
                <w:sz w:val="22"/>
              </w:rPr>
              <w:t xml:space="preserve">Interdiction. </w:t>
            </w:r>
            <w:r>
              <w:rPr>
                <w:rFonts w:ascii="Calibri" w:hAnsi="Calibri"/>
                <w:color w:val="7A5A00"/>
                <w:sz w:val="22"/>
              </w:rPr>
              <w:t>Les valeurs déjà connues ne peuvent devenir des prédictions en les reproduisant après ajustement. Une prédiction BLOB commence à la date du hash, pas à la date de la première intuition.</w:t>
            </w:r>
          </w:p>
        </w:tc>
      </w:tr>
    </w:tbl>
    <w:p>
      <w:pPr>
        <w:keepLines w:val="0"/>
        <w:spacing w:before="0" w:after="40" w:line="264" w:lineRule="auto"/>
        <w:jc w:val="left"/>
      </w:pPr>
      <w:r>
        <w:rPr>
          <w:rFonts w:ascii="Calibri" w:hAnsi="Calibri"/>
          <w:b w:val="0"/>
          <w:i w:val="0"/>
          <w:color w:val="000000"/>
          <w:sz w:val="22"/>
        </w:rPr>
      </w:r>
    </w:p>
    <w:p>
      <w:pPr>
        <w:pStyle w:val="Heading1"/>
        <w:keepNext/>
        <w:pageBreakBefore/>
      </w:pPr>
      <w:r>
        <w:t>Table de domino finale</w:t>
      </w:r>
    </w:p>
    <w:tbl>
      <w:tblPr>
        <w:tblStyle w:val="TableGrid"/>
        <w:tblW w:type="dxa" w:w="9360"/>
        <w:tblLayout w:type="fixed"/>
        <w:tblLook w:firstColumn="1" w:firstRow="1" w:lastColumn="0" w:lastRow="0" w:noHBand="0" w:noVBand="1" w:val="04A0"/>
        <w:jc w:val="left"/>
        <w:tblInd w:w="120" w:type="dxa"/>
      </w:tblPr>
      <w:tblGrid>
        <w:gridCol w:w="1900"/>
        <w:gridCol w:w="4960"/>
        <w:gridCol w:w="2500"/>
      </w:tblGrid>
      <w:tr>
        <w:trPr>
          <w:tblHeader w:val="true"/>
          <w:cantSplit/>
          <w:tblHeader w:val="true"/>
        </w:trPr>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6"/>
              </w:rPr>
              <w:t>Domino</w:t>
            </w:r>
          </w:p>
        </w:tc>
        <w:tc>
          <w:tcPr>
            <w:tcW w:type="dxa" w:w="4960"/>
            <w:tcMar>
              <w:top w:w="80" w:type="dxa"/>
              <w:start w:w="120" w:type="dxa"/>
              <w:bottom w:w="80" w:type="dxa"/>
              <w:end w:w="120" w:type="dxa"/>
            </w:tcMar>
            <w:vAlign w:val="center"/>
            <w:shd w:fill="E8EEF5"/>
          </w:tcPr>
          <w:p>
            <w:pPr>
              <w:spacing w:after="0" w:line="240" w:lineRule="auto"/>
            </w:pPr>
            <w:r>
              <w:rPr>
                <w:rFonts w:ascii="Calibri" w:hAnsi="Calibri"/>
                <w:b/>
                <w:color w:val="0B2545"/>
                <w:sz w:val="16"/>
              </w:rPr>
              <w:t>Produit vérifiable</w:t>
            </w:r>
          </w:p>
        </w:tc>
        <w:tc>
          <w:tcPr>
            <w:tcW w:type="dxa" w:w="2500"/>
            <w:tcMar>
              <w:top w:w="80" w:type="dxa"/>
              <w:start w:w="120" w:type="dxa"/>
              <w:bottom w:w="80" w:type="dxa"/>
              <w:end w:w="120" w:type="dxa"/>
            </w:tcMar>
            <w:vAlign w:val="center"/>
            <w:shd w:fill="E8EEF5"/>
          </w:tcPr>
          <w:p>
            <w:pPr>
              <w:spacing w:after="0" w:line="240" w:lineRule="auto"/>
            </w:pPr>
            <w:r>
              <w:rPr>
                <w:rFonts w:ascii="Calibri" w:hAnsi="Calibri"/>
                <w:b/>
                <w:color w:val="0B2545"/>
                <w:sz w:val="16"/>
              </w:rPr>
              <w:t>Portes débloquées</w:t>
            </w:r>
          </w:p>
        </w:tc>
      </w:tr>
      <w:tr>
        <w:trPr>
          <w:cantSplit/>
        </w:trPr>
        <w:tc>
          <w:tcPr>
            <w:tcW w:type="dxa" w:w="1900"/>
            <w:vAlign w:val="center"/>
          </w:tcPr>
          <w:p>
            <w:pPr>
              <w:spacing w:after="0" w:line="245" w:lineRule="auto"/>
            </w:pPr>
            <w:r>
              <w:rPr>
                <w:rFonts w:ascii="Calibri" w:hAnsi="Calibri"/>
                <w:color w:val="000000"/>
                <w:sz w:val="16"/>
              </w:rPr>
              <w:t>D1 — CAP-RG</w:t>
            </w:r>
          </w:p>
        </w:tc>
        <w:tc>
          <w:tcPr>
            <w:tcW w:type="dxa" w:w="4960"/>
            <w:vAlign w:val="center"/>
          </w:tcPr>
          <w:p>
            <w:pPr>
              <w:spacing w:after="0" w:line="245" w:lineRule="auto"/>
            </w:pPr>
            <w:r>
              <w:rPr>
                <w:rFonts w:ascii="Calibri" w:hAnsi="Calibri"/>
                <w:color w:val="000000"/>
                <w:sz w:val="16"/>
              </w:rPr>
              <w:t>g*, boule, queues, spectre pertinent.</w:t>
            </w:r>
          </w:p>
        </w:tc>
        <w:tc>
          <w:tcPr>
            <w:tcW w:type="dxa" w:w="2500"/>
            <w:vAlign w:val="center"/>
          </w:tcPr>
          <w:p>
            <w:pPr>
              <w:spacing w:after="0" w:line="245" w:lineRule="auto"/>
            </w:pPr>
            <w:r>
              <w:rPr>
                <w:rFonts w:ascii="Calibri" w:hAnsi="Calibri"/>
                <w:color w:val="000000"/>
                <w:sz w:val="16"/>
              </w:rPr>
              <w:t>G0; prérequis G1–G5.</w:t>
            </w:r>
          </w:p>
        </w:tc>
      </w:tr>
      <w:tr>
        <w:trPr>
          <w:cantSplit/>
        </w:trPr>
        <w:tc>
          <w:tcPr>
            <w:tcW w:type="dxa" w:w="1900"/>
            <w:vAlign w:val="center"/>
          </w:tcPr>
          <w:p>
            <w:pPr>
              <w:spacing w:after="0" w:line="245" w:lineRule="auto"/>
            </w:pPr>
            <w:r>
              <w:rPr>
                <w:rFonts w:ascii="Calibri" w:hAnsi="Calibri"/>
                <w:color w:val="000000"/>
                <w:sz w:val="16"/>
              </w:rPr>
              <w:t>D2 — OS/RAQ</w:t>
            </w:r>
          </w:p>
        </w:tc>
        <w:tc>
          <w:tcPr>
            <w:tcW w:type="dxa" w:w="4960"/>
            <w:vAlign w:val="center"/>
          </w:tcPr>
          <w:p>
            <w:pPr>
              <w:spacing w:after="0" w:line="245" w:lineRule="auto"/>
            </w:pPr>
            <w:r>
              <w:rPr>
                <w:rFonts w:ascii="Calibri" w:hAnsi="Calibri"/>
                <w:color w:val="000000"/>
                <w:sz w:val="16"/>
              </w:rPr>
              <w:t>S_n limites ou rigging map + témoin propagatif.</w:t>
            </w:r>
          </w:p>
        </w:tc>
        <w:tc>
          <w:tcPr>
            <w:tcW w:type="dxa" w:w="2500"/>
            <w:vAlign w:val="center"/>
          </w:tcPr>
          <w:p>
            <w:pPr>
              <w:spacing w:after="0" w:line="245" w:lineRule="auto"/>
            </w:pPr>
            <w:r>
              <w:rPr>
                <w:rFonts w:ascii="Calibri" w:hAnsi="Calibri"/>
                <w:color w:val="000000"/>
                <w:sz w:val="16"/>
              </w:rPr>
              <w:t>G1; autorise G2/G5.</w:t>
            </w:r>
          </w:p>
        </w:tc>
      </w:tr>
      <w:tr>
        <w:trPr>
          <w:cantSplit/>
        </w:trPr>
        <w:tc>
          <w:tcPr>
            <w:tcW w:type="dxa" w:w="1900"/>
            <w:vAlign w:val="center"/>
          </w:tcPr>
          <w:p>
            <w:pPr>
              <w:spacing w:after="0" w:line="245" w:lineRule="auto"/>
            </w:pPr>
            <w:r>
              <w:rPr>
                <w:rFonts w:ascii="Calibri" w:hAnsi="Calibri"/>
                <w:color w:val="000000"/>
                <w:sz w:val="16"/>
              </w:rPr>
              <w:t>D3 — TT</w:t>
            </w:r>
          </w:p>
        </w:tc>
        <w:tc>
          <w:tcPr>
            <w:tcW w:type="dxa" w:w="4960"/>
            <w:vAlign w:val="center"/>
          </w:tcPr>
          <w:p>
            <w:pPr>
              <w:spacing w:after="0" w:line="245" w:lineRule="auto"/>
            </w:pPr>
            <w:r>
              <w:rPr>
                <w:rFonts w:ascii="Calibri" w:hAnsi="Calibri"/>
                <w:color w:val="000000"/>
                <w:sz w:val="16"/>
              </w:rPr>
              <w:t>Pôle positif, 2 hélicités, GN universel.</w:t>
            </w:r>
          </w:p>
        </w:tc>
        <w:tc>
          <w:tcPr>
            <w:tcW w:type="dxa" w:w="2500"/>
            <w:vAlign w:val="center"/>
          </w:tcPr>
          <w:p>
            <w:pPr>
              <w:spacing w:after="0" w:line="245" w:lineRule="auto"/>
            </w:pPr>
            <w:r>
              <w:rPr>
                <w:rFonts w:ascii="Calibri" w:hAnsi="Calibri"/>
                <w:color w:val="000000"/>
                <w:sz w:val="16"/>
              </w:rPr>
              <w:t>G2; moitié gravité de G4.</w:t>
            </w:r>
          </w:p>
        </w:tc>
      </w:tr>
      <w:tr>
        <w:trPr>
          <w:cantSplit/>
        </w:trPr>
        <w:tc>
          <w:tcPr>
            <w:tcW w:type="dxa" w:w="1900"/>
            <w:vAlign w:val="center"/>
          </w:tcPr>
          <w:p>
            <w:pPr>
              <w:spacing w:after="0" w:line="245" w:lineRule="auto"/>
            </w:pPr>
            <w:r>
              <w:rPr>
                <w:rFonts w:ascii="Calibri" w:hAnsi="Calibri"/>
                <w:color w:val="000000"/>
                <w:sz w:val="16"/>
              </w:rPr>
              <w:t>D4 — Chiral</w:t>
            </w:r>
          </w:p>
        </w:tc>
        <w:tc>
          <w:tcPr>
            <w:tcW w:type="dxa" w:w="4960"/>
            <w:vAlign w:val="center"/>
          </w:tcPr>
          <w:p>
            <w:pPr>
              <w:spacing w:after="0" w:line="245" w:lineRule="auto"/>
            </w:pPr>
            <w:r>
              <w:rPr>
                <w:rFonts w:ascii="Calibri" w:hAnsi="Calibri"/>
                <w:color w:val="000000"/>
                <w:sz w:val="16"/>
              </w:rPr>
              <w:t>GW/localité/mesure/gauging/miroirs.</w:t>
            </w:r>
          </w:p>
        </w:tc>
        <w:tc>
          <w:tcPr>
            <w:tcW w:type="dxa" w:w="2500"/>
            <w:vAlign w:val="center"/>
          </w:tcPr>
          <w:p>
            <w:pPr>
              <w:spacing w:after="0" w:line="245" w:lineRule="auto"/>
            </w:pPr>
            <w:r>
              <w:rPr>
                <w:rFonts w:ascii="Calibri" w:hAnsi="Calibri"/>
                <w:color w:val="000000"/>
                <w:sz w:val="16"/>
              </w:rPr>
              <w:t>G3; moitié matière de G4.</w:t>
            </w:r>
          </w:p>
        </w:tc>
      </w:tr>
      <w:tr>
        <w:trPr>
          <w:cantSplit/>
        </w:trPr>
        <w:tc>
          <w:tcPr>
            <w:tcW w:type="dxa" w:w="1900"/>
            <w:vAlign w:val="center"/>
          </w:tcPr>
          <w:p>
            <w:pPr>
              <w:spacing w:after="0" w:line="245" w:lineRule="auto"/>
            </w:pPr>
            <w:r>
              <w:rPr>
                <w:rFonts w:ascii="Calibri" w:hAnsi="Calibri"/>
                <w:color w:val="000000"/>
                <w:sz w:val="16"/>
              </w:rPr>
              <w:t>D5 — Matching</w:t>
            </w:r>
          </w:p>
        </w:tc>
        <w:tc>
          <w:tcPr>
            <w:tcW w:type="dxa" w:w="4960"/>
            <w:vAlign w:val="center"/>
          </w:tcPr>
          <w:p>
            <w:pPr>
              <w:spacing w:after="0" w:line="245" w:lineRule="auto"/>
            </w:pPr>
            <w:r>
              <w:rPr>
                <w:rFonts w:ascii="Calibri" w:hAnsi="Calibri"/>
                <w:color w:val="000000"/>
                <w:sz w:val="16"/>
              </w:rPr>
              <w:t>Spin(10), Higgs, saveurs, relation gravité–jauge.</w:t>
            </w:r>
          </w:p>
        </w:tc>
        <w:tc>
          <w:tcPr>
            <w:tcW w:type="dxa" w:w="2500"/>
            <w:vAlign w:val="center"/>
          </w:tcPr>
          <w:p>
            <w:pPr>
              <w:spacing w:after="0" w:line="245" w:lineRule="auto"/>
            </w:pPr>
            <w:r>
              <w:rPr>
                <w:rFonts w:ascii="Calibri" w:hAnsi="Calibri"/>
                <w:color w:val="000000"/>
                <w:sz w:val="16"/>
              </w:rPr>
              <w:t>G4.</w:t>
            </w:r>
          </w:p>
        </w:tc>
      </w:tr>
      <w:tr>
        <w:trPr>
          <w:cantSplit/>
        </w:trPr>
        <w:tc>
          <w:tcPr>
            <w:tcW w:type="dxa" w:w="1900"/>
            <w:vAlign w:val="center"/>
          </w:tcPr>
          <w:p>
            <w:pPr>
              <w:spacing w:after="0" w:line="245" w:lineRule="auto"/>
            </w:pPr>
            <w:r>
              <w:rPr>
                <w:rFonts w:ascii="Calibri" w:hAnsi="Calibri"/>
                <w:color w:val="000000"/>
                <w:sz w:val="16"/>
              </w:rPr>
              <w:t>D6 — Cosmologie</w:t>
            </w:r>
          </w:p>
        </w:tc>
        <w:tc>
          <w:tcPr>
            <w:tcW w:type="dxa" w:w="4960"/>
            <w:vAlign w:val="center"/>
          </w:tcPr>
          <w:p>
            <w:pPr>
              <w:spacing w:after="0" w:line="245" w:lineRule="auto"/>
            </w:pPr>
            <w:r>
              <w:rPr>
                <w:rFonts w:ascii="Calibri" w:hAnsi="Calibri"/>
                <w:color w:val="000000"/>
                <w:sz w:val="16"/>
              </w:rPr>
              <w:t>Λ absolue + fond + perturbations.</w:t>
            </w:r>
          </w:p>
        </w:tc>
        <w:tc>
          <w:tcPr>
            <w:tcW w:type="dxa" w:w="2500"/>
            <w:vAlign w:val="center"/>
          </w:tcPr>
          <w:p>
            <w:pPr>
              <w:spacing w:after="0" w:line="245" w:lineRule="auto"/>
            </w:pPr>
            <w:r>
              <w:rPr>
                <w:rFonts w:ascii="Calibri" w:hAnsi="Calibri"/>
                <w:color w:val="000000"/>
                <w:sz w:val="16"/>
              </w:rPr>
              <w:t>G5.</w:t>
            </w:r>
          </w:p>
        </w:tc>
      </w:tr>
      <w:tr>
        <w:trPr>
          <w:cantSplit/>
        </w:trPr>
        <w:tc>
          <w:tcPr>
            <w:tcW w:type="dxa" w:w="1900"/>
            <w:vAlign w:val="center"/>
          </w:tcPr>
          <w:p>
            <w:pPr>
              <w:spacing w:after="0" w:line="245" w:lineRule="auto"/>
            </w:pPr>
            <w:r>
              <w:rPr>
                <w:rFonts w:ascii="Calibri" w:hAnsi="Calibri"/>
                <w:color w:val="000000"/>
                <w:sz w:val="16"/>
              </w:rPr>
              <w:t>D7 — Blind test</w:t>
            </w:r>
          </w:p>
        </w:tc>
        <w:tc>
          <w:tcPr>
            <w:tcW w:type="dxa" w:w="4960"/>
            <w:vAlign w:val="center"/>
          </w:tcPr>
          <w:p>
            <w:pPr>
              <w:spacing w:after="0" w:line="245" w:lineRule="auto"/>
            </w:pPr>
            <w:r>
              <w:rPr>
                <w:rFonts w:ascii="Calibri" w:hAnsi="Calibri"/>
                <w:color w:val="000000"/>
                <w:sz w:val="16"/>
              </w:rPr>
              <w:t>Hash, holdout, deux réplications.</w:t>
            </w:r>
          </w:p>
        </w:tc>
        <w:tc>
          <w:tcPr>
            <w:tcW w:type="dxa" w:w="2500"/>
            <w:vAlign w:val="center"/>
          </w:tcPr>
          <w:p>
            <w:pPr>
              <w:spacing w:after="0" w:line="245" w:lineRule="auto"/>
            </w:pPr>
            <w:r>
              <w:rPr>
                <w:rFonts w:ascii="Calibri" w:hAnsi="Calibri"/>
                <w:color w:val="000000"/>
                <w:sz w:val="16"/>
              </w:rPr>
              <w:t>G6.</w:t>
            </w:r>
          </w:p>
        </w:tc>
      </w:tr>
    </w:tbl>
    <w:p>
      <w:pPr>
        <w:keepLines w:val="0"/>
        <w:spacing w:before="0" w:after="120" w:line="264" w:lineRule="auto"/>
        <w:jc w:val="left"/>
      </w:pPr>
      <w:r>
        <w:rPr>
          <w:rFonts w:ascii="Calibri" w:hAnsi="Calibri"/>
          <w:b w:val="0"/>
          <w:i w:val="0"/>
          <w:color w:val="000000"/>
          <w:sz w:val="22"/>
        </w:rPr>
      </w:r>
    </w:p>
    <w:p>
      <w:pPr>
        <w:pStyle w:val="Heading1"/>
        <w:keepNext/>
      </w:pPr>
      <w:r>
        <w:t>PARTIE VII — Benchmark honnête des grandes candidatures</w:t>
      </w:r>
    </w:p>
    <w:p>
      <w:pPr>
        <w:keepLines w:val="0"/>
        <w:spacing w:before="0" w:after="120" w:line="300" w:lineRule="auto"/>
        <w:jc w:val="left"/>
      </w:pPr>
      <w:r>
        <w:rPr>
          <w:rFonts w:ascii="Calibri" w:hAnsi="Calibri"/>
          <w:b w:val="0"/>
          <w:i w:val="0"/>
          <w:color w:val="000000"/>
          <w:sz w:val="22"/>
        </w:rPr>
        <w:t>La comparaison porte sur des axes de preuve, non sur la popularité. « Ouvert » signifie que la question n’est pas résolue au niveau requis ici; cela ne nie ni résultats partiels ni puissance conceptuelle.</w:t>
      </w:r>
    </w:p>
    <w:tbl>
      <w:tblPr>
        <w:tblStyle w:val="TableGrid"/>
        <w:tblW w:type="dxa" w:w="9360"/>
        <w:tblLayout w:type="fixed"/>
        <w:tblLook w:firstColumn="1" w:firstRow="1" w:lastColumn="0" w:lastRow="0" w:noHBand="0" w:noVBand="1" w:val="04A0"/>
        <w:jc w:val="left"/>
        <w:tblInd w:w="120" w:type="dxa"/>
      </w:tblPr>
      <w:tblGrid>
        <w:gridCol w:w="1500"/>
        <w:gridCol w:w="3000"/>
        <w:gridCol w:w="2960"/>
        <w:gridCol w:w="1900"/>
      </w:tblGrid>
      <w:tr>
        <w:trPr>
          <w:tblHeader w:val="true"/>
          <w:cantSplit/>
          <w:tblHeader w:val="true"/>
        </w:trPr>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0B2545"/>
                <w:sz w:val="15"/>
              </w:rPr>
              <w:t>Programme</w:t>
            </w:r>
          </w:p>
        </w:tc>
        <w:tc>
          <w:tcPr>
            <w:tcW w:type="dxa" w:w="3000"/>
            <w:tcMar>
              <w:top w:w="80" w:type="dxa"/>
              <w:start w:w="120" w:type="dxa"/>
              <w:bottom w:w="80" w:type="dxa"/>
              <w:end w:w="120" w:type="dxa"/>
            </w:tcMar>
            <w:vAlign w:val="center"/>
            <w:shd w:fill="E8EEF5"/>
          </w:tcPr>
          <w:p>
            <w:pPr>
              <w:spacing w:after="0" w:line="240" w:lineRule="auto"/>
            </w:pPr>
            <w:r>
              <w:rPr>
                <w:rFonts w:ascii="Calibri" w:hAnsi="Calibri"/>
                <w:b/>
                <w:color w:val="0B2545"/>
                <w:sz w:val="15"/>
              </w:rPr>
              <w:t>Forces documentées</w:t>
            </w:r>
          </w:p>
        </w:tc>
        <w:tc>
          <w:tcPr>
            <w:tcW w:type="dxa" w:w="2960"/>
            <w:tcMar>
              <w:top w:w="80" w:type="dxa"/>
              <w:start w:w="120" w:type="dxa"/>
              <w:bottom w:w="80" w:type="dxa"/>
              <w:end w:w="120" w:type="dxa"/>
            </w:tcMar>
            <w:vAlign w:val="center"/>
            <w:shd w:fill="E8EEF5"/>
          </w:tcPr>
          <w:p>
            <w:pPr>
              <w:spacing w:after="0" w:line="240" w:lineRule="auto"/>
            </w:pPr>
            <w:r>
              <w:rPr>
                <w:rFonts w:ascii="Calibri" w:hAnsi="Calibri"/>
                <w:b/>
                <w:color w:val="0B2545"/>
                <w:sz w:val="15"/>
              </w:rPr>
              <w:t>Verrou majeur comparable</w:t>
            </w:r>
          </w:p>
        </w:tc>
        <w:tc>
          <w:tcPr>
            <w:tcW w:type="dxa" w:w="1900"/>
            <w:tcMar>
              <w:top w:w="80" w:type="dxa"/>
              <w:start w:w="120" w:type="dxa"/>
              <w:bottom w:w="80" w:type="dxa"/>
              <w:end w:w="120" w:type="dxa"/>
            </w:tcMar>
            <w:vAlign w:val="center"/>
            <w:shd w:fill="E8EEF5"/>
          </w:tcPr>
          <w:p>
            <w:pPr>
              <w:spacing w:after="0" w:line="240" w:lineRule="auto"/>
            </w:pPr>
            <w:r>
              <w:rPr>
                <w:rFonts w:ascii="Calibri" w:hAnsi="Calibri"/>
                <w:b/>
                <w:color w:val="0B2545"/>
                <w:sz w:val="15"/>
              </w:rPr>
              <w:t>Leçon pour BLOB</w:t>
            </w:r>
          </w:p>
        </w:tc>
      </w:tr>
      <w:tr>
        <w:trPr>
          <w:cantSplit/>
        </w:trPr>
        <w:tc>
          <w:tcPr>
            <w:tcW w:type="dxa" w:w="1500"/>
            <w:vAlign w:val="center"/>
          </w:tcPr>
          <w:p>
            <w:pPr>
              <w:spacing w:after="0" w:line="245" w:lineRule="auto"/>
            </w:pPr>
            <w:r>
              <w:rPr>
                <w:rFonts w:ascii="Calibri" w:hAnsi="Calibri"/>
                <w:color w:val="000000"/>
                <w:sz w:val="15"/>
              </w:rPr>
              <w:t>Cordes/M</w:t>
            </w:r>
          </w:p>
        </w:tc>
        <w:tc>
          <w:tcPr>
            <w:tcW w:type="dxa" w:w="3000"/>
            <w:vAlign w:val="center"/>
          </w:tcPr>
          <w:p>
            <w:pPr>
              <w:spacing w:after="0" w:line="245" w:lineRule="auto"/>
            </w:pPr>
            <w:r>
              <w:rPr>
                <w:rFonts w:ascii="Calibri" w:hAnsi="Calibri"/>
                <w:color w:val="000000"/>
                <w:sz w:val="15"/>
              </w:rPr>
              <w:t>UV perturbatif, gravité quantique, jauges/chiralité dans de nombreux vides.</w:t>
            </w:r>
          </w:p>
        </w:tc>
        <w:tc>
          <w:tcPr>
            <w:tcW w:type="dxa" w:w="2960"/>
            <w:vAlign w:val="center"/>
          </w:tcPr>
          <w:p>
            <w:pPr>
              <w:spacing w:after="0" w:line="245" w:lineRule="auto"/>
            </w:pPr>
            <w:r>
              <w:rPr>
                <w:rFonts w:ascii="Calibri" w:hAnsi="Calibri"/>
                <w:color w:val="000000"/>
                <w:sz w:val="15"/>
              </w:rPr>
              <w:t>Sélection du vide, prédictivité, de Sitter contrôlé [R29,R30].</w:t>
            </w:r>
          </w:p>
        </w:tc>
        <w:tc>
          <w:tcPr>
            <w:tcW w:type="dxa" w:w="1900"/>
            <w:vAlign w:val="center"/>
          </w:tcPr>
          <w:p>
            <w:pPr>
              <w:spacing w:after="0" w:line="245" w:lineRule="auto"/>
            </w:pPr>
            <w:r>
              <w:rPr>
                <w:rFonts w:ascii="Calibri" w:hAnsi="Calibri"/>
                <w:color w:val="000000"/>
                <w:sz w:val="15"/>
              </w:rPr>
              <w:t>Éviter un paysage de choix cachés.</w:t>
            </w:r>
          </w:p>
        </w:tc>
      </w:tr>
      <w:tr>
        <w:trPr>
          <w:cantSplit/>
        </w:trPr>
        <w:tc>
          <w:tcPr>
            <w:tcW w:type="dxa" w:w="1500"/>
            <w:vAlign w:val="center"/>
          </w:tcPr>
          <w:p>
            <w:pPr>
              <w:spacing w:after="0" w:line="245" w:lineRule="auto"/>
            </w:pPr>
            <w:r>
              <w:rPr>
                <w:rFonts w:ascii="Calibri" w:hAnsi="Calibri"/>
                <w:color w:val="000000"/>
                <w:sz w:val="15"/>
              </w:rPr>
              <w:t>Boucles/spinfoams/GFT</w:t>
            </w:r>
          </w:p>
        </w:tc>
        <w:tc>
          <w:tcPr>
            <w:tcW w:type="dxa" w:w="3000"/>
            <w:vAlign w:val="center"/>
          </w:tcPr>
          <w:p>
            <w:pPr>
              <w:spacing w:after="0" w:line="245" w:lineRule="auto"/>
            </w:pPr>
            <w:r>
              <w:rPr>
                <w:rFonts w:ascii="Calibri" w:hAnsi="Calibri"/>
                <w:color w:val="000000"/>
                <w:sz w:val="15"/>
              </w:rPr>
              <w:t>Cinématique géométrique, contraintes, lien GFT–LQG [R31].</w:t>
            </w:r>
          </w:p>
        </w:tc>
        <w:tc>
          <w:tcPr>
            <w:tcW w:type="dxa" w:w="2960"/>
            <w:vAlign w:val="center"/>
          </w:tcPr>
          <w:p>
            <w:pPr>
              <w:spacing w:after="0" w:line="245" w:lineRule="auto"/>
            </w:pPr>
            <w:r>
              <w:rPr>
                <w:rFonts w:ascii="Calibri" w:hAnsi="Calibri"/>
                <w:color w:val="000000"/>
                <w:sz w:val="15"/>
              </w:rPr>
              <w:t>Continuum/dynamique physique; convergence trop forte peut être topologique [R8].</w:t>
            </w:r>
          </w:p>
        </w:tc>
        <w:tc>
          <w:tcPr>
            <w:tcW w:type="dxa" w:w="1900"/>
            <w:vAlign w:val="center"/>
          </w:tcPr>
          <w:p>
            <w:pPr>
              <w:spacing w:after="0" w:line="245" w:lineRule="auto"/>
            </w:pPr>
            <w:r>
              <w:rPr>
                <w:rFonts w:ascii="Calibri" w:hAnsi="Calibri"/>
                <w:color w:val="000000"/>
                <w:sz w:val="15"/>
              </w:rPr>
              <w:t>RAQ + témoin propagatif.</w:t>
            </w:r>
          </w:p>
        </w:tc>
      </w:tr>
      <w:tr>
        <w:trPr>
          <w:cantSplit/>
        </w:trPr>
        <w:tc>
          <w:tcPr>
            <w:tcW w:type="dxa" w:w="1500"/>
            <w:vAlign w:val="center"/>
          </w:tcPr>
          <w:p>
            <w:pPr>
              <w:spacing w:after="0" w:line="245" w:lineRule="auto"/>
            </w:pPr>
            <w:r>
              <w:rPr>
                <w:rFonts w:ascii="Calibri" w:hAnsi="Calibri"/>
                <w:color w:val="000000"/>
                <w:sz w:val="15"/>
              </w:rPr>
              <w:t>CDT</w:t>
            </w:r>
          </w:p>
        </w:tc>
        <w:tc>
          <w:tcPr>
            <w:tcW w:type="dxa" w:w="3000"/>
            <w:vAlign w:val="center"/>
          </w:tcPr>
          <w:p>
            <w:pPr>
              <w:spacing w:after="0" w:line="245" w:lineRule="auto"/>
            </w:pPr>
            <w:r>
              <w:rPr>
                <w:rFonts w:ascii="Calibri" w:hAnsi="Calibri"/>
                <w:color w:val="000000"/>
                <w:sz w:val="15"/>
              </w:rPr>
              <w:t>Somme lorentzienne régularisée, Wick, transfert/RP, phases 4D [R9,R10].</w:t>
            </w:r>
          </w:p>
        </w:tc>
        <w:tc>
          <w:tcPr>
            <w:tcW w:type="dxa" w:w="2960"/>
            <w:vAlign w:val="center"/>
          </w:tcPr>
          <w:p>
            <w:pPr>
              <w:spacing w:after="0" w:line="245" w:lineRule="auto"/>
            </w:pPr>
            <w:r>
              <w:rPr>
                <w:rFonts w:ascii="Calibri" w:hAnsi="Calibri"/>
                <w:color w:val="000000"/>
                <w:sz w:val="15"/>
              </w:rPr>
              <w:t>Preuve du continuum 4D et matière chirale complète.</w:t>
            </w:r>
          </w:p>
        </w:tc>
        <w:tc>
          <w:tcPr>
            <w:tcW w:type="dxa" w:w="1900"/>
            <w:vAlign w:val="center"/>
          </w:tcPr>
          <w:p>
            <w:pPr>
              <w:spacing w:after="0" w:line="245" w:lineRule="auto"/>
            </w:pPr>
            <w:r>
              <w:rPr>
                <w:rFonts w:ascii="Calibri" w:hAnsi="Calibri"/>
                <w:color w:val="000000"/>
                <w:sz w:val="15"/>
              </w:rPr>
              <w:t>Égaler contrôle de transfert; ajouter CAP.</w:t>
            </w:r>
          </w:p>
        </w:tc>
      </w:tr>
      <w:tr>
        <w:trPr>
          <w:cantSplit/>
        </w:trPr>
        <w:tc>
          <w:tcPr>
            <w:tcW w:type="dxa" w:w="1500"/>
            <w:vAlign w:val="center"/>
          </w:tcPr>
          <w:p>
            <w:pPr>
              <w:spacing w:after="0" w:line="245" w:lineRule="auto"/>
            </w:pPr>
            <w:r>
              <w:rPr>
                <w:rFonts w:ascii="Calibri" w:hAnsi="Calibri"/>
                <w:color w:val="000000"/>
                <w:sz w:val="15"/>
              </w:rPr>
              <w:t>Asymptotic safety</w:t>
            </w:r>
          </w:p>
        </w:tc>
        <w:tc>
          <w:tcPr>
            <w:tcW w:type="dxa" w:w="3000"/>
            <w:vAlign w:val="center"/>
          </w:tcPr>
          <w:p>
            <w:pPr>
              <w:spacing w:after="0" w:line="245" w:lineRule="auto"/>
            </w:pPr>
            <w:r>
              <w:rPr>
                <w:rFonts w:ascii="Calibri" w:hAnsi="Calibri"/>
                <w:color w:val="000000"/>
                <w:sz w:val="15"/>
              </w:rPr>
              <w:t>Flots et candidats fixed point dans nombreuses troncatures.</w:t>
            </w:r>
          </w:p>
        </w:tc>
        <w:tc>
          <w:tcPr>
            <w:tcW w:type="dxa" w:w="2960"/>
            <w:vAlign w:val="center"/>
          </w:tcPr>
          <w:p>
            <w:pPr>
              <w:spacing w:after="0" w:line="245" w:lineRule="auto"/>
            </w:pPr>
            <w:r>
              <w:rPr>
                <w:rFonts w:ascii="Calibri" w:hAnsi="Calibri"/>
                <w:color w:val="000000"/>
                <w:sz w:val="15"/>
              </w:rPr>
              <w:t>Contrôle non tronqué/universel et observables complètes.</w:t>
            </w:r>
          </w:p>
        </w:tc>
        <w:tc>
          <w:tcPr>
            <w:tcW w:type="dxa" w:w="1900"/>
            <w:vAlign w:val="center"/>
          </w:tcPr>
          <w:p>
            <w:pPr>
              <w:spacing w:after="0" w:line="245" w:lineRule="auto"/>
            </w:pPr>
            <w:r>
              <w:rPr>
                <w:rFonts w:ascii="Calibri" w:hAnsi="Calibri"/>
                <w:color w:val="000000"/>
                <w:sz w:val="15"/>
              </w:rPr>
              <w:t>Banach + queues + intervalle.</w:t>
            </w:r>
          </w:p>
        </w:tc>
      </w:tr>
      <w:tr>
        <w:trPr>
          <w:cantSplit/>
        </w:trPr>
        <w:tc>
          <w:tcPr>
            <w:tcW w:type="dxa" w:w="1500"/>
            <w:vAlign w:val="center"/>
          </w:tcPr>
          <w:p>
            <w:pPr>
              <w:spacing w:after="0" w:line="245" w:lineRule="auto"/>
            </w:pPr>
            <w:r>
              <w:rPr>
                <w:rFonts w:ascii="Calibri" w:hAnsi="Calibri"/>
                <w:color w:val="000000"/>
                <w:sz w:val="15"/>
              </w:rPr>
              <w:t>Hořava</w:t>
            </w:r>
          </w:p>
        </w:tc>
        <w:tc>
          <w:tcPr>
            <w:tcW w:type="dxa" w:w="3000"/>
            <w:vAlign w:val="center"/>
          </w:tcPr>
          <w:p>
            <w:pPr>
              <w:spacing w:after="0" w:line="245" w:lineRule="auto"/>
            </w:pPr>
            <w:r>
              <w:rPr>
                <w:rFonts w:ascii="Calibri" w:hAnsi="Calibri"/>
                <w:color w:val="000000"/>
                <w:sz w:val="15"/>
              </w:rPr>
              <w:t>Renormalisation/AF sur certaines branches; deux tenseurs sur une autre [R15,R16].</w:t>
            </w:r>
          </w:p>
        </w:tc>
        <w:tc>
          <w:tcPr>
            <w:tcW w:type="dxa" w:w="2960"/>
            <w:vAlign w:val="center"/>
          </w:tcPr>
          <w:p>
            <w:pPr>
              <w:spacing w:after="0" w:line="245" w:lineRule="auto"/>
            </w:pPr>
            <w:r>
              <w:rPr>
                <w:rFonts w:ascii="Calibri" w:hAnsi="Calibri"/>
                <w:color w:val="000000"/>
                <w:sz w:val="15"/>
              </w:rPr>
              <w:t>Réunir renormalisation, 2 modes et Lorentz matière [R17].</w:t>
            </w:r>
          </w:p>
        </w:tc>
        <w:tc>
          <w:tcPr>
            <w:tcW w:type="dxa" w:w="1900"/>
            <w:vAlign w:val="center"/>
          </w:tcPr>
          <w:p>
            <w:pPr>
              <w:spacing w:after="0" w:line="245" w:lineRule="auto"/>
            </w:pPr>
            <w:r>
              <w:rPr>
                <w:rFonts w:ascii="Calibri" w:hAnsi="Calibri"/>
                <w:color w:val="000000"/>
                <w:sz w:val="15"/>
              </w:rPr>
              <w:t>Triangle de tests séparés.</w:t>
            </w:r>
          </w:p>
        </w:tc>
      </w:tr>
      <w:tr>
        <w:trPr>
          <w:cantSplit/>
        </w:trPr>
        <w:tc>
          <w:tcPr>
            <w:tcW w:type="dxa" w:w="1500"/>
            <w:vAlign w:val="center"/>
          </w:tcPr>
          <w:p>
            <w:pPr>
              <w:spacing w:after="0" w:line="245" w:lineRule="auto"/>
            </w:pPr>
            <w:r>
              <w:rPr>
                <w:rFonts w:ascii="Calibri" w:hAnsi="Calibri"/>
                <w:color w:val="000000"/>
                <w:sz w:val="15"/>
              </w:rPr>
              <w:t>BLOB V317</w:t>
            </w:r>
          </w:p>
        </w:tc>
        <w:tc>
          <w:tcPr>
            <w:tcW w:type="dxa" w:w="3000"/>
            <w:vAlign w:val="center"/>
          </w:tcPr>
          <w:p>
            <w:pPr>
              <w:spacing w:after="0" w:line="245" w:lineRule="auto"/>
            </w:pPr>
            <w:r>
              <w:rPr>
                <w:rFonts w:ascii="Calibri" w:hAnsi="Calibri"/>
                <w:color w:val="000000"/>
                <w:sz w:val="15"/>
              </w:rPr>
              <w:t>RP cutoff, topologie, générateur, normalisation auxiliaire, architecture CAP.</w:t>
            </w:r>
          </w:p>
        </w:tc>
        <w:tc>
          <w:tcPr>
            <w:tcW w:type="dxa" w:w="2960"/>
            <w:vAlign w:val="center"/>
          </w:tcPr>
          <w:p>
            <w:pPr>
              <w:spacing w:after="0" w:line="245" w:lineRule="auto"/>
            </w:pPr>
            <w:r>
              <w:rPr>
                <w:rFonts w:ascii="Calibri" w:hAnsi="Calibri"/>
                <w:color w:val="000000"/>
                <w:sz w:val="15"/>
              </w:rPr>
              <w:t>Aucun g*, continuum, graviton ou SM certifié.</w:t>
            </w:r>
          </w:p>
        </w:tc>
        <w:tc>
          <w:tcPr>
            <w:tcW w:type="dxa" w:w="1900"/>
            <w:vAlign w:val="center"/>
          </w:tcPr>
          <w:p>
            <w:pPr>
              <w:spacing w:after="0" w:line="245" w:lineRule="auto"/>
            </w:pPr>
            <w:r>
              <w:rPr>
                <w:rFonts w:ascii="Calibri" w:hAnsi="Calibri"/>
                <w:color w:val="000000"/>
                <w:sz w:val="15"/>
              </w:rPr>
              <w:t>Exécuter D1 avant toute supériorité.</w:t>
            </w:r>
          </w:p>
        </w:tc>
      </w:tr>
    </w:tbl>
    <w:p>
      <w:pPr>
        <w:keepLines w:val="0"/>
        <w:spacing w:before="0" w:after="120" w:line="264" w:lineRule="auto"/>
        <w:jc w:val="left"/>
      </w:pPr>
      <w:r>
        <w:rPr>
          <w:rFonts w:ascii="Calibri" w:hAnsi="Calibri"/>
          <w:b w:val="0"/>
          <w:i w:val="0"/>
          <w:color w:val="000000"/>
          <w:sz w:val="22"/>
        </w:rPr>
      </w:r>
    </w:p>
    <w:p>
      <w:pPr>
        <w:pStyle w:val="Heading2"/>
        <w:keepNext/>
      </w:pPr>
      <w:r>
        <w:t>Sur quel axe BLOB peut réellement devenir plus fort</w:t>
      </w:r>
    </w:p>
    <w:p>
      <w:pPr>
        <w:keepLines w:val="0"/>
        <w:spacing w:before="0" w:after="120" w:line="300" w:lineRule="auto"/>
        <w:jc w:val="left"/>
      </w:pPr>
      <w:r>
        <w:rPr>
          <w:rFonts w:ascii="Calibri" w:hAnsi="Calibri"/>
          <w:b w:val="0"/>
          <w:i w:val="0"/>
          <w:color w:val="000000"/>
          <w:sz w:val="22"/>
        </w:rPr>
        <w:t>La possibilité la plus crédible n’est pas de battre immédiatement les contenus physiques accumulés par les autres programmes. Elle est de produire le premier pipeline discret gravité+matière où le point fixe, les queues de Wilson et le nombre de directions pertinentes sont certifiés par ordinateur dans le même objet Hamiltonien. Ce serait un avantage précis, publiable et comparable. Il ne suffirait toujours pas à fermer G2–G6.</w:t>
      </w:r>
    </w:p>
    <w:p>
      <w:pPr>
        <w:pStyle w:val="Heading1"/>
        <w:keepNext/>
        <w:pageBreakBefore/>
      </w:pPr>
      <w:r>
        <w:t>PARTIE VIII — Deux boucles d’auto-audit</w:t>
      </w:r>
    </w:p>
    <w:p>
      <w:pPr>
        <w:pStyle w:val="Heading2"/>
        <w:keepNext/>
      </w:pPr>
      <w:r>
        <w:t>Boucle 1 — Des affirmations séduisantes aux contre-exemples</w:t>
      </w:r>
    </w:p>
    <w:tbl>
      <w:tblPr>
        <w:tblStyle w:val="TableGrid"/>
        <w:tblW w:type="dxa" w:w="9360"/>
        <w:tblLayout w:type="fixed"/>
        <w:tblLook w:firstColumn="1" w:firstRow="1" w:lastColumn="0" w:lastRow="0" w:noHBand="0" w:noVBand="1" w:val="04A0"/>
        <w:jc w:val="left"/>
        <w:tblInd w:w="120" w:type="dxa"/>
      </w:tblPr>
      <w:tblGrid>
        <w:gridCol w:w="3580"/>
        <w:gridCol w:w="3400"/>
        <w:gridCol w:w="2380"/>
      </w:tblGrid>
      <w:tr>
        <w:trPr>
          <w:tblHeader w:val="true"/>
          <w:cantSplit/>
          <w:tblHeader w:val="true"/>
        </w:trPr>
        <w:tc>
          <w:tcPr>
            <w:tcW w:type="dxa" w:w="3580"/>
            <w:tcMar>
              <w:top w:w="80" w:type="dxa"/>
              <w:start w:w="120" w:type="dxa"/>
              <w:bottom w:w="80" w:type="dxa"/>
              <w:end w:w="120" w:type="dxa"/>
            </w:tcMar>
            <w:vAlign w:val="center"/>
            <w:shd w:fill="E8EEF5"/>
          </w:tcPr>
          <w:p>
            <w:pPr>
              <w:spacing w:after="0" w:line="240" w:lineRule="auto"/>
            </w:pPr>
            <w:r>
              <w:rPr>
                <w:rFonts w:ascii="Calibri" w:hAnsi="Calibri"/>
                <w:b/>
                <w:color w:val="0B2545"/>
                <w:sz w:val="16"/>
              </w:rPr>
              <w:t>Affirmation initiale</w:t>
            </w:r>
          </w:p>
        </w:tc>
        <w:tc>
          <w:tcPr>
            <w:tcW w:type="dxa" w:w="3400"/>
            <w:tcMar>
              <w:top w:w="80" w:type="dxa"/>
              <w:start w:w="120" w:type="dxa"/>
              <w:bottom w:w="80" w:type="dxa"/>
              <w:end w:w="120" w:type="dxa"/>
            </w:tcMar>
            <w:vAlign w:val="center"/>
            <w:shd w:fill="E8EEF5"/>
          </w:tcPr>
          <w:p>
            <w:pPr>
              <w:spacing w:after="0" w:line="240" w:lineRule="auto"/>
            </w:pPr>
            <w:r>
              <w:rPr>
                <w:rFonts w:ascii="Calibri" w:hAnsi="Calibri"/>
                <w:b/>
                <w:color w:val="0B2545"/>
                <w:sz w:val="16"/>
              </w:rPr>
              <w:t>Attaque</w:t>
            </w:r>
          </w:p>
        </w:tc>
        <w:tc>
          <w:tcPr>
            <w:tcW w:type="dxa" w:w="2380"/>
            <w:tcMar>
              <w:top w:w="80" w:type="dxa"/>
              <w:start w:w="120" w:type="dxa"/>
              <w:bottom w:w="80" w:type="dxa"/>
              <w:end w:w="120" w:type="dxa"/>
            </w:tcMar>
            <w:vAlign w:val="center"/>
            <w:shd w:fill="E8EEF5"/>
          </w:tcPr>
          <w:p>
            <w:pPr>
              <w:spacing w:after="0" w:line="240" w:lineRule="auto"/>
            </w:pPr>
            <w:r>
              <w:rPr>
                <w:rFonts w:ascii="Calibri" w:hAnsi="Calibri"/>
                <w:b/>
                <w:color w:val="0B2545"/>
                <w:sz w:val="16"/>
              </w:rPr>
              <w:t>Verdict</w:t>
            </w:r>
          </w:p>
        </w:tc>
      </w:tr>
      <w:tr>
        <w:trPr>
          <w:cantSplit/>
        </w:trPr>
        <w:tc>
          <w:tcPr>
            <w:tcW w:type="dxa" w:w="3580"/>
            <w:vAlign w:val="center"/>
          </w:tcPr>
          <w:p>
            <w:pPr>
              <w:spacing w:after="0" w:line="245" w:lineRule="auto"/>
            </w:pPr>
            <w:r>
              <w:rPr>
                <w:rFonts w:ascii="Calibri" w:hAnsi="Calibri"/>
                <w:color w:val="000000"/>
                <w:sz w:val="16"/>
              </w:rPr>
              <w:t>« Edge-only sans fixed point ⇒ pas de fixed point. »</w:t>
            </w:r>
          </w:p>
        </w:tc>
        <w:tc>
          <w:tcPr>
            <w:tcW w:type="dxa" w:w="3400"/>
            <w:vAlign w:val="center"/>
          </w:tcPr>
          <w:p>
            <w:pPr>
              <w:spacing w:after="0" w:line="245" w:lineRule="auto"/>
            </w:pPr>
            <w:r>
              <w:rPr>
                <w:rFonts w:ascii="Calibri" w:hAnsi="Calibri"/>
                <w:color w:val="000000"/>
                <w:sz w:val="16"/>
              </w:rPr>
              <w:t>β(x,y)=(1+y,x).</w:t>
            </w:r>
          </w:p>
        </w:tc>
        <w:tc>
          <w:tcPr>
            <w:tcW w:type="dxa" w:w="2380"/>
            <w:vAlign w:val="center"/>
          </w:tcPr>
          <w:p>
            <w:pPr>
              <w:spacing w:after="0" w:line="245" w:lineRule="auto"/>
            </w:pPr>
            <w:r>
              <w:rPr>
                <w:rFonts w:ascii="Calibri" w:hAnsi="Calibri"/>
                <w:color w:val="000000"/>
                <w:sz w:val="16"/>
              </w:rPr>
              <w:t>FAUX hors sous-espace invariant.</w:t>
            </w:r>
          </w:p>
        </w:tc>
      </w:tr>
      <w:tr>
        <w:trPr>
          <w:cantSplit/>
        </w:trPr>
        <w:tc>
          <w:tcPr>
            <w:tcW w:type="dxa" w:w="3580"/>
            <w:vAlign w:val="center"/>
          </w:tcPr>
          <w:p>
            <w:pPr>
              <w:spacing w:after="0" w:line="245" w:lineRule="auto"/>
            </w:pPr>
            <w:r>
              <w:rPr>
                <w:rFonts w:ascii="Calibri" w:hAnsi="Calibri"/>
                <w:color w:val="000000"/>
                <w:sz w:val="16"/>
              </w:rPr>
              <w:t>« Feshbach exact ⇒ local. »</w:t>
            </w:r>
          </w:p>
        </w:tc>
        <w:tc>
          <w:tcPr>
            <w:tcW w:type="dxa" w:w="3400"/>
            <w:vAlign w:val="center"/>
          </w:tcPr>
          <w:p>
            <w:pPr>
              <w:spacing w:after="0" w:line="245" w:lineRule="auto"/>
            </w:pPr>
            <w:r>
              <w:rPr>
                <w:rFonts w:ascii="Calibri" w:hAnsi="Calibri"/>
                <w:color w:val="000000"/>
                <w:sz w:val="16"/>
              </w:rPr>
              <w:t>Étoile clairsemée donnant I−bbᵀ dense.</w:t>
            </w:r>
          </w:p>
        </w:tc>
        <w:tc>
          <w:tcPr>
            <w:tcW w:type="dxa" w:w="2380"/>
            <w:vAlign w:val="center"/>
          </w:tcPr>
          <w:p>
            <w:pPr>
              <w:spacing w:after="0" w:line="245" w:lineRule="auto"/>
            </w:pPr>
            <w:r>
              <w:rPr>
                <w:rFonts w:ascii="Calibri" w:hAnsi="Calibri"/>
                <w:color w:val="000000"/>
                <w:sz w:val="16"/>
              </w:rPr>
              <w:t>FAUX sans résolvant décroissant.</w:t>
            </w:r>
          </w:p>
        </w:tc>
      </w:tr>
      <w:tr>
        <w:trPr>
          <w:cantSplit/>
        </w:trPr>
        <w:tc>
          <w:tcPr>
            <w:tcW w:type="dxa" w:w="3580"/>
            <w:vAlign w:val="center"/>
          </w:tcPr>
          <w:p>
            <w:pPr>
              <w:spacing w:after="0" w:line="245" w:lineRule="auto"/>
            </w:pPr>
            <w:r>
              <w:rPr>
                <w:rFonts w:ascii="Calibri" w:hAnsi="Calibri"/>
                <w:color w:val="000000"/>
                <w:sz w:val="16"/>
              </w:rPr>
              <w:t>« Anomalies nulles ⇒ jauge chirale construite. »</w:t>
            </w:r>
          </w:p>
        </w:tc>
        <w:tc>
          <w:tcPr>
            <w:tcW w:type="dxa" w:w="3400"/>
            <w:vAlign w:val="center"/>
          </w:tcPr>
          <w:p>
            <w:pPr>
              <w:spacing w:after="0" w:line="245" w:lineRule="auto"/>
            </w:pPr>
            <w:r>
              <w:rPr>
                <w:rFonts w:ascii="Calibri" w:hAnsi="Calibri"/>
                <w:color w:val="000000"/>
                <w:sz w:val="16"/>
              </w:rPr>
              <w:t>Obstructions d’onsiteability/gauging [R21].</w:t>
            </w:r>
          </w:p>
        </w:tc>
        <w:tc>
          <w:tcPr>
            <w:tcW w:type="dxa" w:w="2380"/>
            <w:vAlign w:val="center"/>
          </w:tcPr>
          <w:p>
            <w:pPr>
              <w:spacing w:after="0" w:line="245" w:lineRule="auto"/>
            </w:pPr>
            <w:r>
              <w:rPr>
                <w:rFonts w:ascii="Calibri" w:hAnsi="Calibri"/>
                <w:color w:val="000000"/>
                <w:sz w:val="16"/>
              </w:rPr>
              <w:t>FAUX en général.</w:t>
            </w:r>
          </w:p>
        </w:tc>
      </w:tr>
      <w:tr>
        <w:trPr>
          <w:cantSplit/>
        </w:trPr>
        <w:tc>
          <w:tcPr>
            <w:tcW w:type="dxa" w:w="3580"/>
            <w:vAlign w:val="center"/>
          </w:tcPr>
          <w:p>
            <w:pPr>
              <w:spacing w:after="0" w:line="245" w:lineRule="auto"/>
            </w:pPr>
            <w:r>
              <w:rPr>
                <w:rFonts w:ascii="Calibri" w:hAnsi="Calibri"/>
                <w:color w:val="000000"/>
                <w:sz w:val="16"/>
              </w:rPr>
              <w:t>« Convergence forte ⇒ bon continuum gravitationnel. »</w:t>
            </w:r>
          </w:p>
        </w:tc>
        <w:tc>
          <w:tcPr>
            <w:tcW w:type="dxa" w:w="3400"/>
            <w:vAlign w:val="center"/>
          </w:tcPr>
          <w:p>
            <w:pPr>
              <w:spacing w:after="0" w:line="245" w:lineRule="auto"/>
            </w:pPr>
            <w:r>
              <w:rPr>
                <w:rFonts w:ascii="Calibri" w:hAnsi="Calibri"/>
                <w:color w:val="000000"/>
                <w:sz w:val="16"/>
              </w:rPr>
              <w:t>No-go TQFT spin foams [R8].</w:t>
            </w:r>
          </w:p>
        </w:tc>
        <w:tc>
          <w:tcPr>
            <w:tcW w:type="dxa" w:w="2380"/>
            <w:vAlign w:val="center"/>
          </w:tcPr>
          <w:p>
            <w:pPr>
              <w:spacing w:after="0" w:line="245" w:lineRule="auto"/>
            </w:pPr>
            <w:r>
              <w:rPr>
                <w:rFonts w:ascii="Calibri" w:hAnsi="Calibri"/>
                <w:color w:val="000000"/>
                <w:sz w:val="16"/>
              </w:rPr>
              <w:t>FAUX sous axiomes concernés.</w:t>
            </w:r>
          </w:p>
        </w:tc>
      </w:tr>
      <w:tr>
        <w:trPr>
          <w:cantSplit/>
        </w:trPr>
        <w:tc>
          <w:tcPr>
            <w:tcW w:type="dxa" w:w="3580"/>
            <w:vAlign w:val="center"/>
          </w:tcPr>
          <w:p>
            <w:pPr>
              <w:spacing w:after="0" w:line="245" w:lineRule="auto"/>
            </w:pPr>
            <w:r>
              <w:rPr>
                <w:rFonts w:ascii="Calibri" w:hAnsi="Calibri"/>
                <w:color w:val="000000"/>
                <w:sz w:val="16"/>
              </w:rPr>
              <w:t>« Volume fixé résout Λ. »</w:t>
            </w:r>
          </w:p>
        </w:tc>
        <w:tc>
          <w:tcPr>
            <w:tcW w:type="dxa" w:w="3400"/>
            <w:vAlign w:val="center"/>
          </w:tcPr>
          <w:p>
            <w:pPr>
              <w:spacing w:after="0" w:line="245" w:lineRule="auto"/>
            </w:pPr>
            <w:r>
              <w:rPr>
                <w:rFonts w:ascii="Calibri" w:hAnsi="Calibri"/>
                <w:color w:val="000000"/>
                <w:sz w:val="16"/>
              </w:rPr>
              <w:t>μ→μ+c au retour grand-canonique.</w:t>
            </w:r>
          </w:p>
        </w:tc>
        <w:tc>
          <w:tcPr>
            <w:tcW w:type="dxa" w:w="2380"/>
            <w:vAlign w:val="center"/>
          </w:tcPr>
          <w:p>
            <w:pPr>
              <w:spacing w:after="0" w:line="245" w:lineRule="auto"/>
            </w:pPr>
            <w:r>
              <w:rPr>
                <w:rFonts w:ascii="Calibri" w:hAnsi="Calibri"/>
                <w:color w:val="000000"/>
                <w:sz w:val="16"/>
              </w:rPr>
              <w:t>PARTIEL seulement.</w:t>
            </w:r>
          </w:p>
        </w:tc>
      </w:tr>
      <w:tr>
        <w:trPr>
          <w:cantSplit/>
        </w:trPr>
        <w:tc>
          <w:tcPr>
            <w:tcW w:type="dxa" w:w="3580"/>
            <w:vAlign w:val="center"/>
          </w:tcPr>
          <w:p>
            <w:pPr>
              <w:spacing w:after="0" w:line="245" w:lineRule="auto"/>
            </w:pPr>
            <w:r>
              <w:rPr>
                <w:rFonts w:ascii="Calibri" w:hAnsi="Calibri"/>
                <w:color w:val="000000"/>
                <w:sz w:val="16"/>
              </w:rPr>
              <w:t>« Pic fini ⇒ criticité. »</w:t>
            </w:r>
          </w:p>
        </w:tc>
        <w:tc>
          <w:tcPr>
            <w:tcW w:type="dxa" w:w="3400"/>
            <w:vAlign w:val="center"/>
          </w:tcPr>
          <w:p>
            <w:pPr>
              <w:spacing w:after="0" w:line="245" w:lineRule="auto"/>
            </w:pPr>
            <w:r>
              <w:rPr>
                <w:rFonts w:ascii="Calibri" w:hAnsi="Calibri"/>
                <w:color w:val="000000"/>
                <w:sz w:val="16"/>
              </w:rPr>
              <w:t>Analyticité des sommes finies.</w:t>
            </w:r>
          </w:p>
        </w:tc>
        <w:tc>
          <w:tcPr>
            <w:tcW w:type="dxa" w:w="2380"/>
            <w:vAlign w:val="center"/>
          </w:tcPr>
          <w:p>
            <w:pPr>
              <w:spacing w:after="0" w:line="245" w:lineRule="auto"/>
            </w:pPr>
            <w:r>
              <w:rPr>
                <w:rFonts w:ascii="Calibri" w:hAnsi="Calibri"/>
                <w:color w:val="000000"/>
                <w:sz w:val="16"/>
              </w:rPr>
              <w:t>FAUX comme preuve.</w:t>
            </w:r>
          </w:p>
        </w:tc>
      </w:tr>
      <w:tr>
        <w:trPr>
          <w:cantSplit/>
        </w:trPr>
        <w:tc>
          <w:tcPr>
            <w:tcW w:type="dxa" w:w="3580"/>
            <w:vAlign w:val="center"/>
          </w:tcPr>
          <w:p>
            <w:pPr>
              <w:spacing w:after="0" w:line="245" w:lineRule="auto"/>
            </w:pPr>
            <w:r>
              <w:rPr>
                <w:rFonts w:ascii="Calibri" w:hAnsi="Calibri"/>
                <w:color w:val="000000"/>
                <w:sz w:val="16"/>
              </w:rPr>
              <w:t>« w fixe le temps. »</w:t>
            </w:r>
          </w:p>
        </w:tc>
        <w:tc>
          <w:tcPr>
            <w:tcW w:type="dxa" w:w="3400"/>
            <w:vAlign w:val="center"/>
          </w:tcPr>
          <w:p>
            <w:pPr>
              <w:spacing w:after="0" w:line="245" w:lineRule="auto"/>
            </w:pPr>
            <w:r>
              <w:rPr>
                <w:rFonts w:ascii="Calibri" w:hAnsi="Calibri"/>
                <w:color w:val="000000"/>
                <w:sz w:val="16"/>
              </w:rPr>
              <w:t>Famille de conductances de même π.</w:t>
            </w:r>
          </w:p>
        </w:tc>
        <w:tc>
          <w:tcPr>
            <w:tcW w:type="dxa" w:w="2380"/>
            <w:vAlign w:val="center"/>
          </w:tcPr>
          <w:p>
            <w:pPr>
              <w:spacing w:after="0" w:line="245" w:lineRule="auto"/>
            </w:pPr>
            <w:r>
              <w:rPr>
                <w:rFonts w:ascii="Calibri" w:hAnsi="Calibri"/>
                <w:color w:val="000000"/>
                <w:sz w:val="16"/>
              </w:rPr>
              <w:t>FAUX.</w:t>
            </w:r>
          </w:p>
        </w:tc>
      </w:tr>
    </w:tbl>
    <w:p>
      <w:pPr>
        <w:keepLines w:val="0"/>
        <w:spacing w:before="0" w:after="120" w:line="264" w:lineRule="auto"/>
        <w:jc w:val="left"/>
      </w:pPr>
      <w:r>
        <w:rPr>
          <w:rFonts w:ascii="Calibri" w:hAnsi="Calibri"/>
          <w:b w:val="0"/>
          <w:i w:val="0"/>
          <w:color w:val="000000"/>
          <w:sz w:val="22"/>
        </w:rPr>
      </w:r>
    </w:p>
    <w:p>
      <w:pPr>
        <w:pStyle w:val="Heading2"/>
        <w:keepNext/>
      </w:pPr>
      <w:r>
        <w:t>Boucle 2 — Réparations minimales et nouvelle attaque</w:t>
      </w:r>
    </w:p>
    <w:tbl>
      <w:tblPr>
        <w:tblStyle w:val="TableGrid"/>
        <w:tblW w:type="dxa" w:w="9360"/>
        <w:tblLayout w:type="fixed"/>
        <w:tblLook w:firstColumn="1" w:firstRow="1" w:lastColumn="0" w:lastRow="0" w:noHBand="0" w:noVBand="1" w:val="04A0"/>
        <w:jc w:val="left"/>
        <w:tblInd w:w="120" w:type="dxa"/>
      </w:tblPr>
      <w:tblGrid>
        <w:gridCol w:w="2500"/>
        <w:gridCol w:w="3760"/>
        <w:gridCol w:w="3100"/>
      </w:tblGrid>
      <w:tr>
        <w:trPr>
          <w:tblHeader w:val="true"/>
          <w:cantSplit/>
          <w:tblHeader w:val="true"/>
        </w:trPr>
        <w:tc>
          <w:tcPr>
            <w:tcW w:type="dxa" w:w="2500"/>
            <w:tcMar>
              <w:top w:w="80" w:type="dxa"/>
              <w:start w:w="120" w:type="dxa"/>
              <w:bottom w:w="80" w:type="dxa"/>
              <w:end w:w="120" w:type="dxa"/>
            </w:tcMar>
            <w:vAlign w:val="center"/>
            <w:shd w:fill="E8EEF5"/>
          </w:tcPr>
          <w:p>
            <w:pPr>
              <w:spacing w:after="0" w:line="240" w:lineRule="auto"/>
            </w:pPr>
            <w:r>
              <w:rPr>
                <w:rFonts w:ascii="Calibri" w:hAnsi="Calibri"/>
                <w:b/>
                <w:color w:val="0B2545"/>
                <w:sz w:val="16"/>
              </w:rPr>
              <w:t>Réparation</w:t>
            </w:r>
          </w:p>
        </w:tc>
        <w:tc>
          <w:tcPr>
            <w:tcW w:type="dxa" w:w="3760"/>
            <w:tcMar>
              <w:top w:w="80" w:type="dxa"/>
              <w:start w:w="120" w:type="dxa"/>
              <w:bottom w:w="80" w:type="dxa"/>
              <w:end w:w="120" w:type="dxa"/>
            </w:tcMar>
            <w:vAlign w:val="center"/>
            <w:shd w:fill="E8EEF5"/>
          </w:tcPr>
          <w:p>
            <w:pPr>
              <w:spacing w:after="0" w:line="240" w:lineRule="auto"/>
            </w:pPr>
            <w:r>
              <w:rPr>
                <w:rFonts w:ascii="Calibri" w:hAnsi="Calibri"/>
                <w:b/>
                <w:color w:val="0B2545"/>
                <w:sz w:val="16"/>
              </w:rPr>
              <w:t>Nouvelle hypothèse explicite</w:t>
            </w:r>
          </w:p>
        </w:tc>
        <w:tc>
          <w:tcPr>
            <w:tcW w:type="dxa" w:w="3100"/>
            <w:tcMar>
              <w:top w:w="80" w:type="dxa"/>
              <w:start w:w="120" w:type="dxa"/>
              <w:bottom w:w="80" w:type="dxa"/>
              <w:end w:w="120" w:type="dxa"/>
            </w:tcMar>
            <w:vAlign w:val="center"/>
            <w:shd w:fill="E8EEF5"/>
          </w:tcPr>
          <w:p>
            <w:pPr>
              <w:spacing w:after="0" w:line="240" w:lineRule="auto"/>
            </w:pPr>
            <w:r>
              <w:rPr>
                <w:rFonts w:ascii="Calibri" w:hAnsi="Calibri"/>
                <w:b/>
                <w:color w:val="0B2545"/>
                <w:sz w:val="16"/>
              </w:rPr>
              <w:t>Risque restant</w:t>
            </w:r>
          </w:p>
        </w:tc>
      </w:tr>
      <w:tr>
        <w:trPr>
          <w:cantSplit/>
        </w:trPr>
        <w:tc>
          <w:tcPr>
            <w:tcW w:type="dxa" w:w="2500"/>
            <w:vAlign w:val="center"/>
          </w:tcPr>
          <w:p>
            <w:pPr>
              <w:spacing w:after="0" w:line="245" w:lineRule="auto"/>
            </w:pPr>
            <w:r>
              <w:rPr>
                <w:rFonts w:ascii="Calibri" w:hAnsi="Calibri"/>
                <w:color w:val="000000"/>
                <w:sz w:val="16"/>
              </w:rPr>
              <w:t>Espace Wilson complet</w:t>
            </w:r>
          </w:p>
        </w:tc>
        <w:tc>
          <w:tcPr>
            <w:tcW w:type="dxa" w:w="3760"/>
            <w:vAlign w:val="center"/>
          </w:tcPr>
          <w:p>
            <w:pPr>
              <w:spacing w:after="0" w:line="245" w:lineRule="auto"/>
            </w:pPr>
            <w:r>
              <w:rPr>
                <w:rFonts w:ascii="Calibri" w:hAnsi="Calibri"/>
                <w:color w:val="000000"/>
                <w:sz w:val="16"/>
              </w:rPr>
              <w:t>Banach de patches avec queues.</w:t>
            </w:r>
          </w:p>
        </w:tc>
        <w:tc>
          <w:tcPr>
            <w:tcW w:type="dxa" w:w="3100"/>
            <w:vAlign w:val="center"/>
          </w:tcPr>
          <w:p>
            <w:pPr>
              <w:spacing w:after="0" w:line="245" w:lineRule="auto"/>
            </w:pPr>
            <w:r>
              <w:rPr>
                <w:rFonts w:ascii="Calibri" w:hAnsi="Calibri"/>
                <w:color w:val="000000"/>
                <w:sz w:val="16"/>
              </w:rPr>
              <w:t>R_s peut ne pas s’y fermer.</w:t>
            </w:r>
          </w:p>
        </w:tc>
      </w:tr>
      <w:tr>
        <w:trPr>
          <w:cantSplit/>
        </w:trPr>
        <w:tc>
          <w:tcPr>
            <w:tcW w:type="dxa" w:w="2500"/>
            <w:vAlign w:val="center"/>
          </w:tcPr>
          <w:p>
            <w:pPr>
              <w:spacing w:after="0" w:line="245" w:lineRule="auto"/>
            </w:pPr>
            <w:r>
              <w:rPr>
                <w:rFonts w:ascii="Calibri" w:hAnsi="Calibri"/>
                <w:color w:val="000000"/>
                <w:sz w:val="16"/>
              </w:rPr>
              <w:t>Schur quasi-local</w:t>
            </w:r>
          </w:p>
        </w:tc>
        <w:tc>
          <w:tcPr>
            <w:tcW w:type="dxa" w:w="3760"/>
            <w:vAlign w:val="center"/>
          </w:tcPr>
          <w:p>
            <w:pPr>
              <w:spacing w:after="0" w:line="245" w:lineRule="auto"/>
            </w:pPr>
            <w:r>
              <w:rPr>
                <w:rFonts w:ascii="Calibri" w:hAnsi="Calibri"/>
                <w:color w:val="000000"/>
                <w:sz w:val="16"/>
              </w:rPr>
              <w:t>δ&gt;0 et κ&lt;1 uniformes.</w:t>
            </w:r>
          </w:p>
        </w:tc>
        <w:tc>
          <w:tcPr>
            <w:tcW w:type="dxa" w:w="3100"/>
            <w:vAlign w:val="center"/>
          </w:tcPr>
          <w:p>
            <w:pPr>
              <w:spacing w:after="0" w:line="245" w:lineRule="auto"/>
            </w:pPr>
            <w:r>
              <w:rPr>
                <w:rFonts w:ascii="Calibri" w:hAnsi="Calibri"/>
                <w:color w:val="000000"/>
                <w:sz w:val="16"/>
              </w:rPr>
              <w:t>Échec près d’une résonance éliminée.</w:t>
            </w:r>
          </w:p>
        </w:tc>
      </w:tr>
      <w:tr>
        <w:trPr>
          <w:cantSplit/>
        </w:trPr>
        <w:tc>
          <w:tcPr>
            <w:tcW w:type="dxa" w:w="2500"/>
            <w:vAlign w:val="center"/>
          </w:tcPr>
          <w:p>
            <w:pPr>
              <w:spacing w:after="0" w:line="245" w:lineRule="auto"/>
            </w:pPr>
            <w:r>
              <w:rPr>
                <w:rFonts w:ascii="Calibri" w:hAnsi="Calibri"/>
                <w:color w:val="000000"/>
                <w:sz w:val="16"/>
              </w:rPr>
              <w:t>Chiralité complète</w:t>
            </w:r>
          </w:p>
        </w:tc>
        <w:tc>
          <w:tcPr>
            <w:tcW w:type="dxa" w:w="3760"/>
            <w:vAlign w:val="center"/>
          </w:tcPr>
          <w:p>
            <w:pPr>
              <w:spacing w:after="0" w:line="245" w:lineRule="auto"/>
            </w:pPr>
            <w:r>
              <w:rPr>
                <w:rFonts w:ascii="Calibri" w:hAnsi="Calibri"/>
                <w:color w:val="000000"/>
                <w:sz w:val="16"/>
              </w:rPr>
              <w:t>GW + mesure + cobordisme + gauging + miroir.</w:t>
            </w:r>
          </w:p>
        </w:tc>
        <w:tc>
          <w:tcPr>
            <w:tcW w:type="dxa" w:w="3100"/>
            <w:vAlign w:val="center"/>
          </w:tcPr>
          <w:p>
            <w:pPr>
              <w:spacing w:after="0" w:line="245" w:lineRule="auto"/>
            </w:pPr>
            <w:r>
              <w:rPr>
                <w:rFonts w:ascii="Calibri" w:hAnsi="Calibri"/>
                <w:color w:val="000000"/>
                <w:sz w:val="16"/>
              </w:rPr>
              <w:t>Construction sur graphe changeant.</w:t>
            </w:r>
          </w:p>
        </w:tc>
      </w:tr>
      <w:tr>
        <w:trPr>
          <w:cantSplit/>
        </w:trPr>
        <w:tc>
          <w:tcPr>
            <w:tcW w:type="dxa" w:w="2500"/>
            <w:vAlign w:val="center"/>
          </w:tcPr>
          <w:p>
            <w:pPr>
              <w:spacing w:after="0" w:line="245" w:lineRule="auto"/>
            </w:pPr>
            <w:r>
              <w:rPr>
                <w:rFonts w:ascii="Calibri" w:hAnsi="Calibri"/>
                <w:color w:val="000000"/>
                <w:sz w:val="16"/>
              </w:rPr>
              <w:t>Continuum dual</w:t>
            </w:r>
          </w:p>
        </w:tc>
        <w:tc>
          <w:tcPr>
            <w:tcW w:type="dxa" w:w="3760"/>
            <w:vAlign w:val="center"/>
          </w:tcPr>
          <w:p>
            <w:pPr>
              <w:spacing w:after="0" w:line="245" w:lineRule="auto"/>
            </w:pPr>
            <w:r>
              <w:rPr>
                <w:rFonts w:ascii="Calibri" w:hAnsi="Calibri"/>
                <w:color w:val="000000"/>
                <w:sz w:val="16"/>
              </w:rPr>
              <w:t>OS ou RAQ + témoin propagatif.</w:t>
            </w:r>
          </w:p>
        </w:tc>
        <w:tc>
          <w:tcPr>
            <w:tcW w:type="dxa" w:w="3100"/>
            <w:vAlign w:val="center"/>
          </w:tcPr>
          <w:p>
            <w:pPr>
              <w:spacing w:after="0" w:line="245" w:lineRule="auto"/>
            </w:pPr>
            <w:r>
              <w:rPr>
                <w:rFonts w:ascii="Calibri" w:hAnsi="Calibri"/>
                <w:color w:val="000000"/>
                <w:sz w:val="16"/>
              </w:rPr>
              <w:t>Aucune convergence BLOB actuelle.</w:t>
            </w:r>
          </w:p>
        </w:tc>
      </w:tr>
      <w:tr>
        <w:trPr>
          <w:cantSplit/>
        </w:trPr>
        <w:tc>
          <w:tcPr>
            <w:tcW w:type="dxa" w:w="2500"/>
            <w:vAlign w:val="center"/>
          </w:tcPr>
          <w:p>
            <w:pPr>
              <w:spacing w:after="0" w:line="245" w:lineRule="auto"/>
            </w:pPr>
            <w:r>
              <w:rPr>
                <w:rFonts w:ascii="Calibri" w:hAnsi="Calibri"/>
                <w:color w:val="000000"/>
                <w:sz w:val="16"/>
              </w:rPr>
              <w:t>Λ scindée</w:t>
            </w:r>
          </w:p>
        </w:tc>
        <w:tc>
          <w:tcPr>
            <w:tcW w:type="dxa" w:w="3760"/>
            <w:vAlign w:val="center"/>
          </w:tcPr>
          <w:p>
            <w:pPr>
              <w:spacing w:after="0" w:line="245" w:lineRule="auto"/>
            </w:pPr>
            <w:r>
              <w:rPr>
                <w:rFonts w:ascii="Calibri" w:hAnsi="Calibri"/>
                <w:color w:val="000000"/>
                <w:sz w:val="16"/>
              </w:rPr>
              <w:t>Insensibilité ≠ valeur absolue.</w:t>
            </w:r>
          </w:p>
        </w:tc>
        <w:tc>
          <w:tcPr>
            <w:tcW w:type="dxa" w:w="3100"/>
            <w:vAlign w:val="center"/>
          </w:tcPr>
          <w:p>
            <w:pPr>
              <w:spacing w:after="0" w:line="245" w:lineRule="auto"/>
            </w:pPr>
            <w:r>
              <w:rPr>
                <w:rFonts w:ascii="Calibri" w:hAnsi="Calibri"/>
                <w:color w:val="000000"/>
                <w:sz w:val="16"/>
              </w:rPr>
              <w:t>μ reste entrée.</w:t>
            </w:r>
          </w:p>
        </w:tc>
      </w:tr>
      <w:tr>
        <w:trPr>
          <w:cantSplit/>
        </w:trPr>
        <w:tc>
          <w:tcPr>
            <w:tcW w:type="dxa" w:w="2500"/>
            <w:vAlign w:val="center"/>
          </w:tcPr>
          <w:p>
            <w:pPr>
              <w:spacing w:after="0" w:line="245" w:lineRule="auto"/>
            </w:pPr>
            <w:r>
              <w:rPr>
                <w:rFonts w:ascii="Calibri" w:hAnsi="Calibri"/>
                <w:color w:val="000000"/>
                <w:sz w:val="16"/>
              </w:rPr>
              <w:t>CAP</w:t>
            </w:r>
          </w:p>
        </w:tc>
        <w:tc>
          <w:tcPr>
            <w:tcW w:type="dxa" w:w="3760"/>
            <w:vAlign w:val="center"/>
          </w:tcPr>
          <w:p>
            <w:pPr>
              <w:spacing w:after="0" w:line="245" w:lineRule="auto"/>
            </w:pPr>
            <w:r>
              <w:rPr>
                <w:rFonts w:ascii="Calibri" w:hAnsi="Calibri"/>
                <w:color w:val="000000"/>
                <w:sz w:val="16"/>
              </w:rPr>
              <w:t>Contraction et queues intervalle.</w:t>
            </w:r>
          </w:p>
        </w:tc>
        <w:tc>
          <w:tcPr>
            <w:tcW w:type="dxa" w:w="3100"/>
            <w:vAlign w:val="center"/>
          </w:tcPr>
          <w:p>
            <w:pPr>
              <w:spacing w:after="0" w:line="245" w:lineRule="auto"/>
            </w:pPr>
            <w:r>
              <w:rPr>
                <w:rFonts w:ascii="Calibri" w:hAnsi="Calibri"/>
                <w:color w:val="000000"/>
                <w:sz w:val="16"/>
              </w:rPr>
              <w:t>Coût combinatoire élevé.</w:t>
            </w:r>
          </w:p>
        </w:tc>
      </w:tr>
      <w:tr>
        <w:trPr>
          <w:cantSplit/>
        </w:trPr>
        <w:tc>
          <w:tcPr>
            <w:tcW w:type="dxa" w:w="2500"/>
            <w:vAlign w:val="center"/>
          </w:tcPr>
          <w:p>
            <w:pPr>
              <w:spacing w:after="0" w:line="245" w:lineRule="auto"/>
            </w:pPr>
            <w:r>
              <w:rPr>
                <w:rFonts w:ascii="Calibri" w:hAnsi="Calibri"/>
                <w:color w:val="000000"/>
                <w:sz w:val="16"/>
              </w:rPr>
              <w:t>Temps gelé</w:t>
            </w:r>
          </w:p>
        </w:tc>
        <w:tc>
          <w:tcPr>
            <w:tcW w:type="dxa" w:w="3760"/>
            <w:vAlign w:val="center"/>
          </w:tcPr>
          <w:p>
            <w:pPr>
              <w:spacing w:after="0" w:line="245" w:lineRule="auto"/>
            </w:pPr>
            <w:r>
              <w:rPr>
                <w:rFonts w:ascii="Calibri" w:hAnsi="Calibri"/>
                <w:color w:val="000000"/>
                <w:sz w:val="16"/>
              </w:rPr>
              <w:t>Taux Q inclus dans les directions UV.</w:t>
            </w:r>
          </w:p>
        </w:tc>
        <w:tc>
          <w:tcPr>
            <w:tcW w:type="dxa" w:w="3100"/>
            <w:vAlign w:val="center"/>
          </w:tcPr>
          <w:p>
            <w:pPr>
              <w:spacing w:after="0" w:line="245" w:lineRule="auto"/>
            </w:pPr>
            <w:r>
              <w:rPr>
                <w:rFonts w:ascii="Calibri" w:hAnsi="Calibri"/>
                <w:color w:val="000000"/>
                <w:sz w:val="16"/>
              </w:rPr>
              <w:t>Échelle non dérivée.</w:t>
            </w:r>
          </w:p>
        </w:tc>
      </w:tr>
    </w:tbl>
    <w:p>
      <w:pPr>
        <w:keepLines w:val="0"/>
        <w:spacing w:before="0" w:after="12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3ED"/>
          </w:tcPr>
          <w:p>
            <w:pPr>
              <w:spacing w:before="60" w:after="60" w:line="264" w:lineRule="auto"/>
            </w:pPr>
            <w:r>
              <w:rPr>
                <w:rFonts w:ascii="Calibri" w:hAnsi="Calibri"/>
                <w:b/>
                <w:color w:val="1F5E46"/>
                <w:sz w:val="22"/>
              </w:rPr>
              <w:t xml:space="preserve">Résultat de l’audit. </w:t>
            </w:r>
            <w:r>
              <w:rPr>
                <w:rFonts w:ascii="Calibri" w:hAnsi="Calibri"/>
                <w:color w:val="1F5E46"/>
                <w:sz w:val="22"/>
              </w:rPr>
              <w:t>Aucune réparation ne ferme artificiellement une porte; chacune convertit une ambiguïté en hypothèse mesurable ou en veto. C’est un renforcement réel : le dossier sait désormais exactement ce qui serait une preuve et ce qui ne le serait pas.</w:t>
            </w:r>
          </w:p>
        </w:tc>
      </w:tr>
    </w:tbl>
    <w:p>
      <w:pPr>
        <w:keepLines w:val="0"/>
        <w:spacing w:before="0" w:after="40" w:line="264" w:lineRule="auto"/>
        <w:jc w:val="left"/>
      </w:pPr>
      <w:r>
        <w:rPr>
          <w:rFonts w:ascii="Calibri" w:hAnsi="Calibri"/>
          <w:b w:val="0"/>
          <w:i w:val="0"/>
          <w:color w:val="000000"/>
          <w:sz w:val="22"/>
        </w:rPr>
      </w:r>
    </w:p>
    <w:p>
      <w:pPr>
        <w:pStyle w:val="Heading2"/>
        <w:keepNext/>
      </w:pPr>
      <w:r>
        <w:t>Attaques encore capables de tuer la voie officielle</w:t>
      </w:r>
    </w:p>
    <w:p>
      <w:pPr>
        <w:pStyle w:val="ListBullet"/>
        <w:spacing w:after="80" w:line="300" w:lineRule="auto"/>
      </w:pPr>
      <w:r>
        <w:rPr>
          <w:rFonts w:ascii="Calibri" w:hAnsi="Calibri"/>
          <w:color w:val="000000"/>
          <w:sz w:val="22"/>
        </w:rPr>
        <w:t>Le bloc QHQ perd son gap précisément à l’endroit où l’on cherche la criticité : changer P ou abandonner FS-QL.</w:t>
      </w:r>
    </w:p>
    <w:p>
      <w:pPr>
        <w:pStyle w:val="ListBullet"/>
        <w:spacing w:after="80" w:line="300" w:lineRule="auto"/>
      </w:pPr>
      <w:r>
        <w:rPr>
          <w:rFonts w:ascii="Calibri" w:hAnsi="Calibri"/>
          <w:color w:val="000000"/>
          <w:sz w:val="22"/>
        </w:rPr>
        <w:t>Le Banach de patches n’est pas stable parce que le nombre de patches croît plus vite que les poids choisis.</w:t>
      </w:r>
    </w:p>
    <w:p>
      <w:pPr>
        <w:pStyle w:val="ListBullet"/>
        <w:spacing w:after="80" w:line="300" w:lineRule="auto"/>
      </w:pPr>
      <w:r>
        <w:rPr>
          <w:rFonts w:ascii="Calibri" w:hAnsi="Calibri"/>
          <w:color w:val="000000"/>
          <w:sz w:val="22"/>
        </w:rPr>
        <w:t>Les deux coarse-grainings donnent des spectres pertinents incompatibles : fixed point de schéma.</w:t>
      </w:r>
    </w:p>
    <w:p>
      <w:pPr>
        <w:pStyle w:val="ListBullet"/>
        <w:spacing w:after="80" w:line="300" w:lineRule="auto"/>
      </w:pPr>
      <w:r>
        <w:rPr>
          <w:rFonts w:ascii="Calibri" w:hAnsi="Calibri"/>
          <w:color w:val="000000"/>
          <w:sz w:val="22"/>
        </w:rPr>
        <w:t>La reconstruction OS donne une théorie scalaire/topologique, sans densité TT propagative.</w:t>
      </w:r>
    </w:p>
    <w:p>
      <w:pPr>
        <w:pStyle w:val="ListBullet"/>
        <w:spacing w:after="80" w:line="300" w:lineRule="auto"/>
      </w:pPr>
      <w:r>
        <w:rPr>
          <w:rFonts w:ascii="Calibri" w:hAnsi="Calibri"/>
          <w:color w:val="000000"/>
          <w:sz w:val="22"/>
        </w:rPr>
        <w:t>Le régulateur chiral ne reste pas local uniformément sur les triangulations dominantes.</w:t>
      </w:r>
    </w:p>
    <w:p>
      <w:pPr>
        <w:pStyle w:val="ListBullet"/>
        <w:spacing w:after="80" w:line="300" w:lineRule="auto"/>
      </w:pPr>
      <w:r>
        <w:rPr>
          <w:rFonts w:ascii="Calibri" w:hAnsi="Calibri"/>
          <w:color w:val="000000"/>
          <w:sz w:val="22"/>
        </w:rPr>
        <w:t>Spin(10) exige un secteur de Higgs dont les paramètres excèdent les directions pertinentes certifiées.</w:t>
      </w:r>
    </w:p>
    <w:p>
      <w:pPr>
        <w:pStyle w:val="ListBullet"/>
        <w:spacing w:after="80" w:line="300" w:lineRule="auto"/>
      </w:pPr>
      <w:r>
        <w:rPr>
          <w:rFonts w:ascii="Calibri" w:hAnsi="Calibri"/>
          <w:color w:val="000000"/>
          <w:sz w:val="22"/>
        </w:rPr>
        <w:t>Le matching consomme toutes les sorties, laissant zéro prédiction pour G6.</w:t>
      </w:r>
    </w:p>
    <w:p>
      <w:pPr>
        <w:pStyle w:val="Heading1"/>
        <w:keepNext/>
        <w:pageBreakBefore/>
      </w:pPr>
      <w:r>
        <w:t>PARTIE IX — Programme d’exécution falsifiable</w:t>
      </w:r>
    </w:p>
    <w:p>
      <w:pPr>
        <w:pStyle w:val="Heading2"/>
        <w:keepNext/>
      </w:pPr>
      <w:r>
        <w:t>Campagne D1 : du Colab exploratoire au certificat CAP</w:t>
      </w:r>
    </w:p>
    <w:tbl>
      <w:tblPr>
        <w:tblStyle w:val="TableGrid"/>
        <w:tblW w:type="dxa" w:w="9360"/>
        <w:tblLayout w:type="fixed"/>
        <w:tblLook w:firstColumn="1" w:firstRow="1" w:lastColumn="0" w:lastRow="0" w:noHBand="0" w:noVBand="1" w:val="04A0"/>
        <w:jc w:val="left"/>
        <w:tblInd w:w="120" w:type="dxa"/>
      </w:tblPr>
      <w:tblGrid>
        <w:gridCol w:w="1500"/>
        <w:gridCol w:w="4400"/>
        <w:gridCol w:w="3460"/>
      </w:tblGrid>
      <w:tr>
        <w:trPr>
          <w:tblHeader w:val="true"/>
          <w:cantSplit/>
          <w:tblHeader w:val="true"/>
        </w:trPr>
        <w:tc>
          <w:tcPr>
            <w:tcW w:type="dxa" w:w="1500"/>
            <w:tcMar>
              <w:top w:w="80" w:type="dxa"/>
              <w:start w:w="120" w:type="dxa"/>
              <w:bottom w:w="80" w:type="dxa"/>
              <w:end w:w="120" w:type="dxa"/>
            </w:tcMar>
            <w:vAlign w:val="center"/>
            <w:shd w:fill="E8EEF5"/>
          </w:tcPr>
          <w:p>
            <w:pPr>
              <w:spacing w:after="0" w:line="240" w:lineRule="auto"/>
            </w:pPr>
            <w:r>
              <w:rPr>
                <w:rFonts w:ascii="Calibri" w:hAnsi="Calibri"/>
                <w:b/>
                <w:color w:val="0B2545"/>
                <w:sz w:val="16"/>
              </w:rPr>
              <w:t>Phase</w:t>
            </w:r>
          </w:p>
        </w:tc>
        <w:tc>
          <w:tcPr>
            <w:tcW w:type="dxa" w:w="4400"/>
            <w:tcMar>
              <w:top w:w="80" w:type="dxa"/>
              <w:start w:w="120" w:type="dxa"/>
              <w:bottom w:w="80" w:type="dxa"/>
              <w:end w:w="120" w:type="dxa"/>
            </w:tcMar>
            <w:vAlign w:val="center"/>
            <w:shd w:fill="E8EEF5"/>
          </w:tcPr>
          <w:p>
            <w:pPr>
              <w:spacing w:after="0" w:line="240" w:lineRule="auto"/>
            </w:pPr>
            <w:r>
              <w:rPr>
                <w:rFonts w:ascii="Calibri" w:hAnsi="Calibri"/>
                <w:b/>
                <w:color w:val="0B2545"/>
                <w:sz w:val="16"/>
              </w:rPr>
              <w:t>Calcul</w:t>
            </w:r>
          </w:p>
        </w:tc>
        <w:tc>
          <w:tcPr>
            <w:tcW w:type="dxa" w:w="3460"/>
            <w:tcMar>
              <w:top w:w="80" w:type="dxa"/>
              <w:start w:w="120" w:type="dxa"/>
              <w:bottom w:w="80" w:type="dxa"/>
              <w:end w:w="120" w:type="dxa"/>
            </w:tcMar>
            <w:vAlign w:val="center"/>
            <w:shd w:fill="E8EEF5"/>
          </w:tcPr>
          <w:p>
            <w:pPr>
              <w:spacing w:after="0" w:line="240" w:lineRule="auto"/>
            </w:pPr>
            <w:r>
              <w:rPr>
                <w:rFonts w:ascii="Calibri" w:hAnsi="Calibri"/>
                <w:b/>
                <w:color w:val="0B2545"/>
                <w:sz w:val="16"/>
              </w:rPr>
              <w:t>Sortie obligatoire</w:t>
            </w:r>
          </w:p>
        </w:tc>
      </w:tr>
      <w:tr>
        <w:trPr>
          <w:cantSplit/>
        </w:trPr>
        <w:tc>
          <w:tcPr>
            <w:tcW w:type="dxa" w:w="1500"/>
            <w:vAlign w:val="center"/>
          </w:tcPr>
          <w:p>
            <w:pPr>
              <w:spacing w:after="0" w:line="245" w:lineRule="auto"/>
            </w:pPr>
            <w:r>
              <w:rPr>
                <w:rFonts w:ascii="Calibri" w:hAnsi="Calibri"/>
                <w:color w:val="000000"/>
                <w:sz w:val="16"/>
              </w:rPr>
              <w:t>A — cutoff exact</w:t>
            </w:r>
          </w:p>
        </w:tc>
        <w:tc>
          <w:tcPr>
            <w:tcW w:type="dxa" w:w="4400"/>
            <w:vAlign w:val="center"/>
          </w:tcPr>
          <w:p>
            <w:pPr>
              <w:spacing w:after="0" w:line="245" w:lineRule="auto"/>
            </w:pPr>
            <w:r>
              <w:rPr>
                <w:rFonts w:ascii="Calibri" w:hAnsi="Calibri"/>
                <w:color w:val="000000"/>
                <w:sz w:val="16"/>
              </w:rPr>
              <w:t>Énumérer petits espaces, construire H total et symétries.</w:t>
            </w:r>
          </w:p>
        </w:tc>
        <w:tc>
          <w:tcPr>
            <w:tcW w:type="dxa" w:w="3460"/>
            <w:vAlign w:val="center"/>
          </w:tcPr>
          <w:p>
            <w:pPr>
              <w:spacing w:after="0" w:line="245" w:lineRule="auto"/>
            </w:pPr>
            <w:r>
              <w:rPr>
                <w:rFonts w:ascii="Calibri" w:hAnsi="Calibri"/>
                <w:color w:val="000000"/>
                <w:sz w:val="16"/>
              </w:rPr>
              <w:t>Matrices/hash/tests unitaires.</w:t>
            </w:r>
          </w:p>
        </w:tc>
      </w:tr>
      <w:tr>
        <w:trPr>
          <w:cantSplit/>
        </w:trPr>
        <w:tc>
          <w:tcPr>
            <w:tcW w:type="dxa" w:w="1500"/>
            <w:vAlign w:val="center"/>
          </w:tcPr>
          <w:p>
            <w:pPr>
              <w:spacing w:after="0" w:line="245" w:lineRule="auto"/>
            </w:pPr>
            <w:r>
              <w:rPr>
                <w:rFonts w:ascii="Calibri" w:hAnsi="Calibri"/>
                <w:color w:val="000000"/>
                <w:sz w:val="16"/>
              </w:rPr>
              <w:t>B — deux Schur</w:t>
            </w:r>
          </w:p>
        </w:tc>
        <w:tc>
          <w:tcPr>
            <w:tcW w:type="dxa" w:w="4400"/>
            <w:vAlign w:val="center"/>
          </w:tcPr>
          <w:p>
            <w:pPr>
              <w:spacing w:after="0" w:line="245" w:lineRule="auto"/>
            </w:pPr>
            <w:r>
              <w:rPr>
                <w:rFonts w:ascii="Calibri" w:hAnsi="Calibri"/>
                <w:color w:val="000000"/>
                <w:sz w:val="16"/>
              </w:rPr>
              <w:t>Appliquer P¹ et P², mesurer δ, κ, queues et densification.</w:t>
            </w:r>
          </w:p>
        </w:tc>
        <w:tc>
          <w:tcPr>
            <w:tcW w:type="dxa" w:w="3460"/>
            <w:vAlign w:val="center"/>
          </w:tcPr>
          <w:p>
            <w:pPr>
              <w:spacing w:after="0" w:line="245" w:lineRule="auto"/>
            </w:pPr>
            <w:r>
              <w:rPr>
                <w:rFonts w:ascii="Calibri" w:hAnsi="Calibri"/>
                <w:color w:val="000000"/>
                <w:sz w:val="16"/>
              </w:rPr>
              <w:t>Rapport FS par cutoff.</w:t>
            </w:r>
          </w:p>
        </w:tc>
      </w:tr>
      <w:tr>
        <w:trPr>
          <w:cantSplit/>
        </w:trPr>
        <w:tc>
          <w:tcPr>
            <w:tcW w:type="dxa" w:w="1500"/>
            <w:vAlign w:val="center"/>
          </w:tcPr>
          <w:p>
            <w:pPr>
              <w:spacing w:after="0" w:line="245" w:lineRule="auto"/>
            </w:pPr>
            <w:r>
              <w:rPr>
                <w:rFonts w:ascii="Calibri" w:hAnsi="Calibri"/>
                <w:color w:val="000000"/>
                <w:sz w:val="16"/>
              </w:rPr>
              <w:t>C — base adaptative</w:t>
            </w:r>
          </w:p>
        </w:tc>
        <w:tc>
          <w:tcPr>
            <w:tcW w:type="dxa" w:w="4400"/>
            <w:vAlign w:val="center"/>
          </w:tcPr>
          <w:p>
            <w:pPr>
              <w:spacing w:after="0" w:line="245" w:lineRule="auto"/>
            </w:pPr>
            <w:r>
              <w:rPr>
                <w:rFonts w:ascii="Calibri" w:hAnsi="Calibri"/>
                <w:color w:val="000000"/>
                <w:sz w:val="16"/>
              </w:rPr>
              <w:t>Ajouter patches selon résiduel transverse.</w:t>
            </w:r>
          </w:p>
        </w:tc>
        <w:tc>
          <w:tcPr>
            <w:tcW w:type="dxa" w:w="3460"/>
            <w:vAlign w:val="center"/>
          </w:tcPr>
          <w:p>
            <w:pPr>
              <w:spacing w:after="0" w:line="245" w:lineRule="auto"/>
            </w:pPr>
            <w:r>
              <w:rPr>
                <w:rFonts w:ascii="Calibri" w:hAnsi="Calibri"/>
                <w:color w:val="000000"/>
                <w:sz w:val="16"/>
              </w:rPr>
              <w:t>Courbe résiduel vs dimension.</w:t>
            </w:r>
          </w:p>
        </w:tc>
      </w:tr>
      <w:tr>
        <w:trPr>
          <w:cantSplit/>
        </w:trPr>
        <w:tc>
          <w:tcPr>
            <w:tcW w:type="dxa" w:w="1500"/>
            <w:vAlign w:val="center"/>
          </w:tcPr>
          <w:p>
            <w:pPr>
              <w:spacing w:after="0" w:line="245" w:lineRule="auto"/>
            </w:pPr>
            <w:r>
              <w:rPr>
                <w:rFonts w:ascii="Calibri" w:hAnsi="Calibri"/>
                <w:color w:val="000000"/>
                <w:sz w:val="16"/>
              </w:rPr>
              <w:t>D — Newton</w:t>
            </w:r>
          </w:p>
        </w:tc>
        <w:tc>
          <w:tcPr>
            <w:tcW w:type="dxa" w:w="4400"/>
            <w:vAlign w:val="center"/>
          </w:tcPr>
          <w:p>
            <w:pPr>
              <w:spacing w:after="0" w:line="245" w:lineRule="auto"/>
            </w:pPr>
            <w:r>
              <w:rPr>
                <w:rFonts w:ascii="Calibri" w:hAnsi="Calibri"/>
                <w:color w:val="000000"/>
                <w:sz w:val="16"/>
              </w:rPr>
              <w:t>Trouver ḡ en haute précision.</w:t>
            </w:r>
          </w:p>
        </w:tc>
        <w:tc>
          <w:tcPr>
            <w:tcW w:type="dxa" w:w="3460"/>
            <w:vAlign w:val="center"/>
          </w:tcPr>
          <w:p>
            <w:pPr>
              <w:spacing w:after="0" w:line="245" w:lineRule="auto"/>
            </w:pPr>
            <w:r>
              <w:rPr>
                <w:rFonts w:ascii="Calibri" w:hAnsi="Calibri"/>
                <w:color w:val="000000"/>
                <w:sz w:val="16"/>
              </w:rPr>
              <w:t>Approximation + conditionnement.</w:t>
            </w:r>
          </w:p>
        </w:tc>
      </w:tr>
      <w:tr>
        <w:trPr>
          <w:cantSplit/>
        </w:trPr>
        <w:tc>
          <w:tcPr>
            <w:tcW w:type="dxa" w:w="1500"/>
            <w:vAlign w:val="center"/>
          </w:tcPr>
          <w:p>
            <w:pPr>
              <w:spacing w:after="0" w:line="245" w:lineRule="auto"/>
            </w:pPr>
            <w:r>
              <w:rPr>
                <w:rFonts w:ascii="Calibri" w:hAnsi="Calibri"/>
                <w:color w:val="000000"/>
                <w:sz w:val="16"/>
              </w:rPr>
              <w:t>E — intervalles</w:t>
            </w:r>
          </w:p>
        </w:tc>
        <w:tc>
          <w:tcPr>
            <w:tcW w:type="dxa" w:w="4400"/>
            <w:vAlign w:val="center"/>
          </w:tcPr>
          <w:p>
            <w:pPr>
              <w:spacing w:after="0" w:line="245" w:lineRule="auto"/>
            </w:pPr>
            <w:r>
              <w:rPr>
                <w:rFonts w:ascii="Calibri" w:hAnsi="Calibri"/>
                <w:color w:val="000000"/>
                <w:sz w:val="16"/>
              </w:rPr>
              <w:t>Borner Y,Z₀,Z₁, queues et injectivité.</w:t>
            </w:r>
          </w:p>
        </w:tc>
        <w:tc>
          <w:tcPr>
            <w:tcW w:type="dxa" w:w="3460"/>
            <w:vAlign w:val="center"/>
          </w:tcPr>
          <w:p>
            <w:pPr>
              <w:spacing w:after="0" w:line="245" w:lineRule="auto"/>
            </w:pPr>
            <w:r>
              <w:rPr>
                <w:rFonts w:ascii="Calibri" w:hAnsi="Calibri"/>
                <w:color w:val="000000"/>
                <w:sz w:val="16"/>
              </w:rPr>
              <w:t>Radii polynomial signé.</w:t>
            </w:r>
          </w:p>
        </w:tc>
      </w:tr>
      <w:tr>
        <w:trPr>
          <w:cantSplit/>
        </w:trPr>
        <w:tc>
          <w:tcPr>
            <w:tcW w:type="dxa" w:w="1500"/>
            <w:vAlign w:val="center"/>
          </w:tcPr>
          <w:p>
            <w:pPr>
              <w:spacing w:after="0" w:line="245" w:lineRule="auto"/>
            </w:pPr>
            <w:r>
              <w:rPr>
                <w:rFonts w:ascii="Calibri" w:hAnsi="Calibri"/>
                <w:color w:val="000000"/>
                <w:sz w:val="16"/>
              </w:rPr>
              <w:t>F — spectre</w:t>
            </w:r>
          </w:p>
        </w:tc>
        <w:tc>
          <w:tcPr>
            <w:tcW w:type="dxa" w:w="4400"/>
            <w:vAlign w:val="center"/>
          </w:tcPr>
          <w:p>
            <w:pPr>
              <w:spacing w:after="0" w:line="245" w:lineRule="auto"/>
            </w:pPr>
            <w:r>
              <w:rPr>
                <w:rFonts w:ascii="Calibri" w:hAnsi="Calibri"/>
                <w:color w:val="000000"/>
                <w:sz w:val="16"/>
              </w:rPr>
              <w:t>Enfermer projecteurs de Riesz.</w:t>
            </w:r>
          </w:p>
        </w:tc>
        <w:tc>
          <w:tcPr>
            <w:tcW w:type="dxa" w:w="3460"/>
            <w:vAlign w:val="center"/>
          </w:tcPr>
          <w:p>
            <w:pPr>
              <w:spacing w:after="0" w:line="245" w:lineRule="auto"/>
            </w:pPr>
            <w:r>
              <w:rPr>
                <w:rFonts w:ascii="Calibri" w:hAnsi="Calibri"/>
                <w:color w:val="000000"/>
                <w:sz w:val="16"/>
              </w:rPr>
              <w:t>m pertinent + intervalles propres.</w:t>
            </w:r>
          </w:p>
        </w:tc>
      </w:tr>
      <w:tr>
        <w:trPr>
          <w:cantSplit/>
        </w:trPr>
        <w:tc>
          <w:tcPr>
            <w:tcW w:type="dxa" w:w="1500"/>
            <w:vAlign w:val="center"/>
          </w:tcPr>
          <w:p>
            <w:pPr>
              <w:spacing w:after="0" w:line="245" w:lineRule="auto"/>
            </w:pPr>
            <w:r>
              <w:rPr>
                <w:rFonts w:ascii="Calibri" w:hAnsi="Calibri"/>
                <w:color w:val="000000"/>
                <w:sz w:val="16"/>
              </w:rPr>
              <w:t>G — universel</w:t>
            </w:r>
          </w:p>
        </w:tc>
        <w:tc>
          <w:tcPr>
            <w:tcW w:type="dxa" w:w="4400"/>
            <w:vAlign w:val="center"/>
          </w:tcPr>
          <w:p>
            <w:pPr>
              <w:spacing w:after="0" w:line="245" w:lineRule="auto"/>
            </w:pPr>
            <w:r>
              <w:rPr>
                <w:rFonts w:ascii="Calibri" w:hAnsi="Calibri"/>
                <w:color w:val="000000"/>
                <w:sz w:val="16"/>
              </w:rPr>
              <w:t>Comparer P¹/P² et volumes.</w:t>
            </w:r>
          </w:p>
        </w:tc>
        <w:tc>
          <w:tcPr>
            <w:tcW w:type="dxa" w:w="3460"/>
            <w:vAlign w:val="center"/>
          </w:tcPr>
          <w:p>
            <w:pPr>
              <w:spacing w:after="0" w:line="245" w:lineRule="auto"/>
            </w:pPr>
            <w:r>
              <w:rPr>
                <w:rFonts w:ascii="Calibri" w:hAnsi="Calibri"/>
                <w:color w:val="000000"/>
                <w:sz w:val="16"/>
              </w:rPr>
              <w:t>Exposants/rapports croisés.</w:t>
            </w:r>
          </w:p>
        </w:tc>
      </w:tr>
    </w:tbl>
    <w:p>
      <w:pPr>
        <w:keepLines w:val="0"/>
        <w:spacing w:before="0" w:after="120" w:line="264" w:lineRule="auto"/>
        <w:jc w:val="left"/>
      </w:pPr>
      <w:r>
        <w:rPr>
          <w:rFonts w:ascii="Calibri" w:hAnsi="Calibri"/>
          <w:b w:val="0"/>
          <w:i w:val="0"/>
          <w:color w:val="000000"/>
          <w:sz w:val="22"/>
        </w:rPr>
      </w:r>
    </w:p>
    <w:p>
      <w:pPr>
        <w:pStyle w:val="Heading2"/>
        <w:keepNext/>
      </w:pPr>
      <w:r>
        <w:t>Règles de calcul</w:t>
      </w:r>
    </w:p>
    <w:p>
      <w:pPr>
        <w:pStyle w:val="ListBullet"/>
        <w:spacing w:after="80" w:line="300" w:lineRule="auto"/>
      </w:pPr>
      <w:r>
        <w:rPr>
          <w:rFonts w:ascii="Calibri" w:hAnsi="Calibri"/>
          <w:color w:val="000000"/>
          <w:sz w:val="22"/>
        </w:rPr>
        <w:t>Aucun float n’entre dans un théorème final : utiliser intervalles à arrondi dirigé ou rationnels.</w:t>
      </w:r>
    </w:p>
    <w:p>
      <w:pPr>
        <w:pStyle w:val="ListBullet"/>
        <w:spacing w:after="80" w:line="300" w:lineRule="auto"/>
      </w:pPr>
      <w:r>
        <w:rPr>
          <w:rFonts w:ascii="Calibri" w:hAnsi="Calibri"/>
          <w:color w:val="000000"/>
          <w:sz w:val="22"/>
        </w:rPr>
        <w:t>Chaque observable possède une version brute, renormalisée et de contrôle nul.</w:t>
      </w:r>
    </w:p>
    <w:p>
      <w:pPr>
        <w:pStyle w:val="ListBullet"/>
        <w:spacing w:after="80" w:line="300" w:lineRule="auto"/>
      </w:pPr>
      <w:r>
        <w:rPr>
          <w:rFonts w:ascii="Calibri" w:hAnsi="Calibri"/>
          <w:color w:val="000000"/>
          <w:sz w:val="22"/>
        </w:rPr>
        <w:t>Les queues hors base sont majorées analytiquement; « petites numériquement » n’est pas une borne.</w:t>
      </w:r>
    </w:p>
    <w:p>
      <w:pPr>
        <w:pStyle w:val="ListBullet"/>
        <w:spacing w:after="80" w:line="300" w:lineRule="auto"/>
      </w:pPr>
      <w:r>
        <w:rPr>
          <w:rFonts w:ascii="Calibri" w:hAnsi="Calibri"/>
          <w:color w:val="000000"/>
          <w:sz w:val="22"/>
        </w:rPr>
        <w:t>Les graines, versions, cutoffs, temps, échecs et changements de spec sont journalisés.</w:t>
      </w:r>
    </w:p>
    <w:p>
      <w:pPr>
        <w:pStyle w:val="ListBullet"/>
        <w:spacing w:after="80" w:line="300" w:lineRule="auto"/>
      </w:pPr>
      <w:r>
        <w:rPr>
          <w:rFonts w:ascii="Calibri" w:hAnsi="Calibri"/>
          <w:color w:val="000000"/>
          <w:sz w:val="22"/>
        </w:rPr>
        <w:t>Un changement de P, de norme, de secteur Higgs ou de seuil crée une nouvelle version; il ne remplace pas l’ancienne.</w:t>
      </w:r>
    </w:p>
    <w:p>
      <w:pPr>
        <w:pStyle w:val="ListBullet"/>
        <w:spacing w:after="80" w:line="300" w:lineRule="auto"/>
      </w:pPr>
      <w:r>
        <w:rPr>
          <w:rFonts w:ascii="Calibri" w:hAnsi="Calibri"/>
          <w:color w:val="000000"/>
          <w:sz w:val="22"/>
        </w:rPr>
        <w:t>Le code de preuve est minimal, indépendant du code de découverte et exécutable sans données secrètes.</w:t>
      </w:r>
    </w:p>
    <w:p>
      <w:pPr>
        <w:pStyle w:val="Heading2"/>
        <w:keepNext/>
      </w:pPr>
      <w:r>
        <w:t>Schéma minimal des données</w:t>
      </w:r>
    </w:p>
    <w:p>
      <w:pPr>
        <w:keepLines/>
        <w:spacing w:before="60" w:after="140" w:line="240" w:lineRule="auto"/>
        <w:jc w:val="center"/>
      </w:pPr>
      <w:r>
        <w:rPr>
          <w:rFonts w:ascii="Cambria Math" w:hAnsi="Cambria Math"/>
          <w:color w:val="0B2545"/>
          <w:sz w:val="21"/>
        </w:rPr>
        <w:t>{version, git_hash, cutoff, P_id, basis_hash, g_bar, Y, Z0, Z1, r, tail, spectrum, verdict}.</w:t>
      </w:r>
    </w:p>
    <w:p>
      <w:pPr>
        <w:keepLines w:val="0"/>
        <w:spacing w:before="0" w:after="120" w:line="300" w:lineRule="auto"/>
        <w:jc w:val="left"/>
      </w:pPr>
      <w:r>
        <w:rPr>
          <w:rFonts w:ascii="Calibri" w:hAnsi="Calibri"/>
          <w:b w:val="0"/>
          <w:i w:val="0"/>
          <w:color w:val="000000"/>
          <w:sz w:val="22"/>
        </w:rPr>
        <w:t>Chaque ligne de résultat doit être auto-suffisante. Le verdict automatique vaut PASS seulement si toutes les inégalités sont vraies en intervalles; INCONCLUSIVE si une borne chevauche le seuil; FAIL si une hypothèse structurelle est violée.</w:t>
      </w:r>
    </w:p>
    <w:p>
      <w:pPr>
        <w:pStyle w:val="Heading2"/>
        <w:keepNext/>
      </w:pPr>
      <w:r>
        <w:t>Budget de décision</w:t>
      </w:r>
    </w:p>
    <w:tbl>
      <w:tblPr>
        <w:tblStyle w:val="TableGrid"/>
        <w:tblW w:type="dxa" w:w="9360"/>
        <w:tblLayout w:type="fixed"/>
        <w:tblLook w:firstColumn="1" w:firstRow="1" w:lastColumn="0" w:lastRow="0" w:noHBand="0" w:noVBand="1" w:val="04A0"/>
        <w:jc w:val="left"/>
        <w:tblInd w:w="120" w:type="dxa"/>
      </w:tblPr>
      <w:tblGrid>
        <w:gridCol w:w="2200"/>
        <w:gridCol w:w="2600"/>
        <w:gridCol w:w="4560"/>
      </w:tblGrid>
      <w:tr>
        <w:trPr>
          <w:tblHeader w:val="true"/>
          <w:cantSplit/>
          <w:tblHeader w:val="true"/>
        </w:trP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6"/>
              </w:rPr>
              <w:t>Priorité</w:t>
            </w:r>
          </w:p>
        </w:tc>
        <w:tc>
          <w:tcPr>
            <w:tcW w:type="dxa" w:w="2600"/>
            <w:tcMar>
              <w:top w:w="80" w:type="dxa"/>
              <w:start w:w="120" w:type="dxa"/>
              <w:bottom w:w="80" w:type="dxa"/>
              <w:end w:w="120" w:type="dxa"/>
            </w:tcMar>
            <w:vAlign w:val="center"/>
            <w:shd w:fill="E8EEF5"/>
          </w:tcPr>
          <w:p>
            <w:pPr>
              <w:spacing w:after="0" w:line="240" w:lineRule="auto"/>
            </w:pPr>
            <w:r>
              <w:rPr>
                <w:rFonts w:ascii="Calibri" w:hAnsi="Calibri"/>
                <w:b/>
                <w:color w:val="0B2545"/>
                <w:sz w:val="16"/>
              </w:rPr>
              <w:t>Allocation recommandée</w:t>
            </w:r>
          </w:p>
        </w:tc>
        <w:tc>
          <w:tcPr>
            <w:tcW w:type="dxa" w:w="4560"/>
            <w:tcMar>
              <w:top w:w="80" w:type="dxa"/>
              <w:start w:w="120" w:type="dxa"/>
              <w:bottom w:w="80" w:type="dxa"/>
              <w:end w:w="120" w:type="dxa"/>
            </w:tcMar>
            <w:vAlign w:val="center"/>
            <w:shd w:fill="E8EEF5"/>
          </w:tcPr>
          <w:p>
            <w:pPr>
              <w:spacing w:after="0" w:line="240" w:lineRule="auto"/>
            </w:pPr>
            <w:r>
              <w:rPr>
                <w:rFonts w:ascii="Calibri" w:hAnsi="Calibri"/>
                <w:b/>
                <w:color w:val="0B2545"/>
                <w:sz w:val="16"/>
              </w:rPr>
              <w:t>Justification</w:t>
            </w:r>
          </w:p>
        </w:tc>
      </w:tr>
      <w:tr>
        <w:trPr>
          <w:cantSplit/>
        </w:trPr>
        <w:tc>
          <w:tcPr>
            <w:tcW w:type="dxa" w:w="2200"/>
            <w:vAlign w:val="center"/>
          </w:tcPr>
          <w:p>
            <w:pPr>
              <w:spacing w:after="0" w:line="245" w:lineRule="auto"/>
            </w:pPr>
            <w:r>
              <w:rPr>
                <w:rFonts w:ascii="Calibri" w:hAnsi="Calibri"/>
                <w:color w:val="000000"/>
                <w:sz w:val="16"/>
              </w:rPr>
              <w:t>1 — D1 CAP-RG</w:t>
            </w:r>
          </w:p>
        </w:tc>
        <w:tc>
          <w:tcPr>
            <w:tcW w:type="dxa" w:w="2600"/>
            <w:vAlign w:val="center"/>
          </w:tcPr>
          <w:p>
            <w:pPr>
              <w:spacing w:after="0" w:line="245" w:lineRule="auto"/>
            </w:pPr>
            <w:r>
              <w:rPr>
                <w:rFonts w:ascii="Calibri" w:hAnsi="Calibri"/>
                <w:color w:val="000000"/>
                <w:sz w:val="16"/>
              </w:rPr>
              <w:t>60 % calcul/théorie.</w:t>
            </w:r>
          </w:p>
        </w:tc>
        <w:tc>
          <w:tcPr>
            <w:tcW w:type="dxa" w:w="4560"/>
            <w:vAlign w:val="center"/>
          </w:tcPr>
          <w:p>
            <w:pPr>
              <w:spacing w:after="0" w:line="245" w:lineRule="auto"/>
            </w:pPr>
            <w:r>
              <w:rPr>
                <w:rFonts w:ascii="Calibri" w:hAnsi="Calibri"/>
                <w:color w:val="000000"/>
                <w:sz w:val="16"/>
              </w:rPr>
              <w:t>Domino de G0 et filtre de tous les signaux.</w:t>
            </w:r>
          </w:p>
        </w:tc>
      </w:tr>
      <w:tr>
        <w:trPr>
          <w:cantSplit/>
        </w:trPr>
        <w:tc>
          <w:tcPr>
            <w:tcW w:type="dxa" w:w="2200"/>
            <w:vAlign w:val="center"/>
          </w:tcPr>
          <w:p>
            <w:pPr>
              <w:spacing w:after="0" w:line="245" w:lineRule="auto"/>
            </w:pPr>
            <w:r>
              <w:rPr>
                <w:rFonts w:ascii="Calibri" w:hAnsi="Calibri"/>
                <w:color w:val="000000"/>
                <w:sz w:val="16"/>
              </w:rPr>
              <w:t>2 — FS-QL/universalité</w:t>
            </w:r>
          </w:p>
        </w:tc>
        <w:tc>
          <w:tcPr>
            <w:tcW w:type="dxa" w:w="2600"/>
            <w:vAlign w:val="center"/>
          </w:tcPr>
          <w:p>
            <w:pPr>
              <w:spacing w:after="0" w:line="245" w:lineRule="auto"/>
            </w:pPr>
            <w:r>
              <w:rPr>
                <w:rFonts w:ascii="Calibri" w:hAnsi="Calibri"/>
                <w:color w:val="000000"/>
                <w:sz w:val="16"/>
              </w:rPr>
              <w:t>15 %.</w:t>
            </w:r>
          </w:p>
        </w:tc>
        <w:tc>
          <w:tcPr>
            <w:tcW w:type="dxa" w:w="4560"/>
            <w:vAlign w:val="center"/>
          </w:tcPr>
          <w:p>
            <w:pPr>
              <w:spacing w:after="0" w:line="245" w:lineRule="auto"/>
            </w:pPr>
            <w:r>
              <w:rPr>
                <w:rFonts w:ascii="Calibri" w:hAnsi="Calibri"/>
                <w:color w:val="000000"/>
                <w:sz w:val="16"/>
              </w:rPr>
              <w:t>Peut tuer la voie avant gros volumes.</w:t>
            </w:r>
          </w:p>
        </w:tc>
      </w:tr>
      <w:tr>
        <w:trPr>
          <w:cantSplit/>
        </w:trPr>
        <w:tc>
          <w:tcPr>
            <w:tcW w:type="dxa" w:w="2200"/>
            <w:vAlign w:val="center"/>
          </w:tcPr>
          <w:p>
            <w:pPr>
              <w:spacing w:after="0" w:line="245" w:lineRule="auto"/>
            </w:pPr>
            <w:r>
              <w:rPr>
                <w:rFonts w:ascii="Calibri" w:hAnsi="Calibri"/>
                <w:color w:val="000000"/>
                <w:sz w:val="16"/>
              </w:rPr>
              <w:t>3 — OS/TT prototypes</w:t>
            </w:r>
          </w:p>
        </w:tc>
        <w:tc>
          <w:tcPr>
            <w:tcW w:type="dxa" w:w="2600"/>
            <w:vAlign w:val="center"/>
          </w:tcPr>
          <w:p>
            <w:pPr>
              <w:spacing w:after="0" w:line="245" w:lineRule="auto"/>
            </w:pPr>
            <w:r>
              <w:rPr>
                <w:rFonts w:ascii="Calibri" w:hAnsi="Calibri"/>
                <w:color w:val="000000"/>
                <w:sz w:val="16"/>
              </w:rPr>
              <w:t>15 %.</w:t>
            </w:r>
          </w:p>
        </w:tc>
        <w:tc>
          <w:tcPr>
            <w:tcW w:type="dxa" w:w="4560"/>
            <w:vAlign w:val="center"/>
          </w:tcPr>
          <w:p>
            <w:pPr>
              <w:spacing w:after="0" w:line="245" w:lineRule="auto"/>
            </w:pPr>
            <w:r>
              <w:rPr>
                <w:rFonts w:ascii="Calibri" w:hAnsi="Calibri"/>
                <w:color w:val="000000"/>
                <w:sz w:val="16"/>
              </w:rPr>
              <w:t>Prépare G1/G2 sans surinterpréter.</w:t>
            </w:r>
          </w:p>
        </w:tc>
      </w:tr>
      <w:tr>
        <w:trPr>
          <w:cantSplit/>
        </w:trPr>
        <w:tc>
          <w:tcPr>
            <w:tcW w:type="dxa" w:w="2200"/>
            <w:vAlign w:val="center"/>
          </w:tcPr>
          <w:p>
            <w:pPr>
              <w:spacing w:after="0" w:line="245" w:lineRule="auto"/>
            </w:pPr>
            <w:r>
              <w:rPr>
                <w:rFonts w:ascii="Calibri" w:hAnsi="Calibri"/>
                <w:color w:val="000000"/>
                <w:sz w:val="16"/>
              </w:rPr>
              <w:t>4 — chiralité dynamique</w:t>
            </w:r>
          </w:p>
        </w:tc>
        <w:tc>
          <w:tcPr>
            <w:tcW w:type="dxa" w:w="2600"/>
            <w:vAlign w:val="center"/>
          </w:tcPr>
          <w:p>
            <w:pPr>
              <w:spacing w:after="0" w:line="245" w:lineRule="auto"/>
            </w:pPr>
            <w:r>
              <w:rPr>
                <w:rFonts w:ascii="Calibri" w:hAnsi="Calibri"/>
                <w:color w:val="000000"/>
                <w:sz w:val="16"/>
              </w:rPr>
              <w:t>10 %.</w:t>
            </w:r>
          </w:p>
        </w:tc>
        <w:tc>
          <w:tcPr>
            <w:tcW w:type="dxa" w:w="4560"/>
            <w:vAlign w:val="center"/>
          </w:tcPr>
          <w:p>
            <w:pPr>
              <w:spacing w:after="0" w:line="245" w:lineRule="auto"/>
            </w:pPr>
            <w:r>
              <w:rPr>
                <w:rFonts w:ascii="Calibri" w:hAnsi="Calibri"/>
                <w:color w:val="000000"/>
                <w:sz w:val="16"/>
              </w:rPr>
              <w:t>Prototype d’intertwiner Pachner/GW.</w:t>
            </w:r>
          </w:p>
        </w:tc>
      </w:tr>
      <w:tr>
        <w:trPr>
          <w:cantSplit/>
        </w:trPr>
        <w:tc>
          <w:tcPr>
            <w:tcW w:type="dxa" w:w="2200"/>
            <w:vAlign w:val="center"/>
          </w:tcPr>
          <w:p>
            <w:pPr>
              <w:spacing w:after="0" w:line="245" w:lineRule="auto"/>
            </w:pPr>
            <w:r>
              <w:rPr>
                <w:rFonts w:ascii="Calibri" w:hAnsi="Calibri"/>
                <w:color w:val="000000"/>
                <w:sz w:val="16"/>
              </w:rPr>
              <w:t>G4–G6</w:t>
            </w:r>
          </w:p>
        </w:tc>
        <w:tc>
          <w:tcPr>
            <w:tcW w:type="dxa" w:w="2600"/>
            <w:vAlign w:val="center"/>
          </w:tcPr>
          <w:p>
            <w:pPr>
              <w:spacing w:after="0" w:line="245" w:lineRule="auto"/>
            </w:pPr>
            <w:r>
              <w:rPr>
                <w:rFonts w:ascii="Calibri" w:hAnsi="Calibri"/>
                <w:color w:val="000000"/>
                <w:sz w:val="16"/>
              </w:rPr>
              <w:t>0 % de fit physique avant D1.</w:t>
            </w:r>
          </w:p>
        </w:tc>
        <w:tc>
          <w:tcPr>
            <w:tcW w:type="dxa" w:w="4560"/>
            <w:vAlign w:val="center"/>
          </w:tcPr>
          <w:p>
            <w:pPr>
              <w:spacing w:after="0" w:line="245" w:lineRule="auto"/>
            </w:pPr>
            <w:r>
              <w:rPr>
                <w:rFonts w:ascii="Calibri" w:hAnsi="Calibri"/>
                <w:color w:val="000000"/>
                <w:sz w:val="16"/>
              </w:rPr>
              <w:t>Évite de bâtir sur une phase de cutoff.</w:t>
            </w:r>
          </w:p>
        </w:tc>
      </w:tr>
    </w:tbl>
    <w:p>
      <w:pPr>
        <w:keepLines w:val="0"/>
        <w:spacing w:before="0" w:after="120" w:line="264" w:lineRule="auto"/>
        <w:jc w:val="left"/>
      </w:pPr>
      <w:r>
        <w:rPr>
          <w:rFonts w:ascii="Calibri" w:hAnsi="Calibri"/>
          <w:b w:val="0"/>
          <w:i w:val="0"/>
          <w:color w:val="000000"/>
          <w:sz w:val="22"/>
        </w:rPr>
      </w:r>
    </w:p>
    <w:p>
      <w:pPr>
        <w:pStyle w:val="Heading2"/>
        <w:keepNext/>
      </w:pPr>
      <w:r>
        <w:t>Critères d’arrêt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DECEC"/>
          </w:tcPr>
          <w:p>
            <w:pPr>
              <w:spacing w:before="60" w:after="60" w:line="264" w:lineRule="auto"/>
            </w:pPr>
            <w:r>
              <w:rPr>
                <w:rFonts w:ascii="Calibri" w:hAnsi="Calibri"/>
                <w:b/>
                <w:color w:val="9B1C1C"/>
                <w:sz w:val="22"/>
              </w:rPr>
              <w:t xml:space="preserve">STOP-RG. </w:t>
            </w:r>
            <w:r>
              <w:rPr>
                <w:rFonts w:ascii="Calibri" w:hAnsi="Calibri"/>
                <w:color w:val="9B1C1C"/>
                <w:sz w:val="22"/>
              </w:rPr>
              <w:t>Arrêter la branche si aucun choix pré-enregistré de P ne donne δ&gt;0 et κ&lt;1, si la dimension adaptative croît sans baisse certifiable des queues, ou si P¹/P² donnent des invariants incompatibles.</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DECEC"/>
          </w:tcPr>
          <w:p>
            <w:pPr>
              <w:spacing w:before="60" w:after="60" w:line="264" w:lineRule="auto"/>
            </w:pPr>
            <w:r>
              <w:rPr>
                <w:rFonts w:ascii="Calibri" w:hAnsi="Calibri"/>
                <w:b/>
                <w:color w:val="9B1C1C"/>
                <w:sz w:val="22"/>
              </w:rPr>
              <w:t xml:space="preserve">STOP-PHYS. </w:t>
            </w:r>
            <w:r>
              <w:rPr>
                <w:rFonts w:ascii="Calibri" w:hAnsi="Calibri"/>
                <w:color w:val="9B1C1C"/>
                <w:sz w:val="22"/>
              </w:rPr>
              <w:t>Même avec g*, arrêter la revendication ToE si le continuum est topologique, si le pôle TT a un résidu négatif/scalarisé, si le secteur chiral ne peut être jaugé localement ou si aucune prédiction indépendante ne subsiste après matching.</w:t>
            </w:r>
          </w:p>
        </w:tc>
      </w:tr>
    </w:tbl>
    <w:p>
      <w:pPr>
        <w:keepLines w:val="0"/>
        <w:spacing w:before="0" w:after="40" w:line="264" w:lineRule="auto"/>
        <w:jc w:val="left"/>
      </w:pPr>
      <w:r>
        <w:rPr>
          <w:rFonts w:ascii="Calibri" w:hAnsi="Calibri"/>
          <w:b w:val="0"/>
          <w:i w:val="0"/>
          <w:color w:val="000000"/>
          <w:sz w:val="22"/>
        </w:rPr>
      </w:r>
    </w:p>
    <w:p>
      <w:pPr>
        <w:pStyle w:val="Heading1"/>
        <w:keepNext/>
      </w:pPr>
      <w:r>
        <w:t>PARTIE X — Gel V317</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Verdict final. </w:t>
            </w:r>
            <w:r>
              <w:rPr>
                <w:rFonts w:ascii="Calibri" w:hAnsi="Calibri"/>
                <w:color w:val="0B2545"/>
                <w:sz w:val="22"/>
              </w:rPr>
              <w:t>V317 ne ferme aucune des sept portes physiques. Il ferme rigoureusement de nouvelles sous-portes, répare plusieurs extrapolations invalides et transforme le programme en chaîne de certificats mathématiques falsifiables. Le prochain résultat décisif n’est pas un nouveau plateau : c’est un certificat CAP-RG sur le Hamiltonien total.</w:t>
            </w:r>
          </w:p>
        </w:tc>
      </w:tr>
    </w:tbl>
    <w:p>
      <w:pPr>
        <w:keepLines w:val="0"/>
        <w:spacing w:before="0" w:after="40" w:line="264" w:lineRule="auto"/>
        <w:jc w:val="left"/>
      </w:pPr>
      <w:r>
        <w:rPr>
          <w:rFonts w:ascii="Calibri" w:hAnsi="Calibri"/>
          <w:b w:val="0"/>
          <w:i w:val="0"/>
          <w:color w:val="000000"/>
          <w:sz w:val="22"/>
        </w:rPr>
      </w:r>
    </w:p>
    <w:tbl>
      <w:tblPr>
        <w:tblStyle w:val="TableGrid"/>
        <w:tblW w:type="dxa" w:w="9360"/>
        <w:tblLayout w:type="fixed"/>
        <w:tblLook w:firstColumn="1" w:firstRow="1" w:lastColumn="0" w:lastRow="0" w:noHBand="0" w:noVBand="1" w:val="04A0"/>
        <w:jc w:val="left"/>
        <w:tblInd w:w="120" w:type="dxa"/>
      </w:tblPr>
      <w:tblGrid>
        <w:gridCol w:w="2200"/>
        <w:gridCol w:w="3500"/>
        <w:gridCol w:w="3660"/>
      </w:tblGrid>
      <w:tr>
        <w:trPr>
          <w:tblHeader w:val="true"/>
          <w:cantSplit/>
          <w:tblHeader w:val="true"/>
        </w:trPr>
        <w:tc>
          <w:tcPr>
            <w:tcW w:type="dxa" w:w="2200"/>
            <w:tcMar>
              <w:top w:w="80" w:type="dxa"/>
              <w:start w:w="120" w:type="dxa"/>
              <w:bottom w:w="80" w:type="dxa"/>
              <w:end w:w="120" w:type="dxa"/>
            </w:tcMar>
            <w:vAlign w:val="center"/>
            <w:shd w:fill="E8EEF5"/>
          </w:tcPr>
          <w:p>
            <w:pPr>
              <w:spacing w:after="0" w:line="240" w:lineRule="auto"/>
            </w:pPr>
            <w:r>
              <w:rPr>
                <w:rFonts w:ascii="Calibri" w:hAnsi="Calibri"/>
                <w:b/>
                <w:color w:val="0B2545"/>
                <w:sz w:val="16"/>
              </w:rPr>
              <w:t>Mesure</w:t>
            </w:r>
          </w:p>
        </w:tc>
        <w:tc>
          <w:tcPr>
            <w:tcW w:type="dxa" w:w="3500"/>
            <w:tcMar>
              <w:top w:w="80" w:type="dxa"/>
              <w:start w:w="120" w:type="dxa"/>
              <w:bottom w:w="80" w:type="dxa"/>
              <w:end w:w="120" w:type="dxa"/>
            </w:tcMar>
            <w:vAlign w:val="center"/>
            <w:shd w:fill="E8EEF5"/>
          </w:tcPr>
          <w:p>
            <w:pPr>
              <w:spacing w:after="0" w:line="240" w:lineRule="auto"/>
            </w:pPr>
            <w:r>
              <w:rPr>
                <w:rFonts w:ascii="Calibri" w:hAnsi="Calibri"/>
                <w:b/>
                <w:color w:val="0B2545"/>
                <w:sz w:val="16"/>
              </w:rPr>
              <w:t>Avant cette passe</w:t>
            </w:r>
          </w:p>
        </w:tc>
        <w:tc>
          <w:tcPr>
            <w:tcW w:type="dxa" w:w="3660"/>
            <w:tcMar>
              <w:top w:w="80" w:type="dxa"/>
              <w:start w:w="120" w:type="dxa"/>
              <w:bottom w:w="80" w:type="dxa"/>
              <w:end w:w="120" w:type="dxa"/>
            </w:tcMar>
            <w:vAlign w:val="center"/>
            <w:shd w:fill="E8EEF5"/>
          </w:tcPr>
          <w:p>
            <w:pPr>
              <w:spacing w:after="0" w:line="240" w:lineRule="auto"/>
            </w:pPr>
            <w:r>
              <w:rPr>
                <w:rFonts w:ascii="Calibri" w:hAnsi="Calibri"/>
                <w:b/>
                <w:color w:val="0B2545"/>
                <w:sz w:val="16"/>
              </w:rPr>
              <w:t>Après V317</w:t>
            </w:r>
          </w:p>
        </w:tc>
      </w:tr>
      <w:tr>
        <w:trPr>
          <w:cantSplit/>
        </w:trPr>
        <w:tc>
          <w:tcPr>
            <w:tcW w:type="dxa" w:w="2200"/>
            <w:vAlign w:val="center"/>
          </w:tcPr>
          <w:p>
            <w:pPr>
              <w:spacing w:after="0" w:line="245" w:lineRule="auto"/>
            </w:pPr>
            <w:r>
              <w:rPr>
                <w:rFonts w:ascii="Calibri" w:hAnsi="Calibri"/>
                <w:color w:val="000000"/>
                <w:sz w:val="16"/>
              </w:rPr>
              <w:t>Espace RG</w:t>
            </w:r>
          </w:p>
        </w:tc>
        <w:tc>
          <w:tcPr>
            <w:tcW w:type="dxa" w:w="3500"/>
            <w:vAlign w:val="center"/>
          </w:tcPr>
          <w:p>
            <w:pPr>
              <w:spacing w:after="0" w:line="245" w:lineRule="auto"/>
            </w:pPr>
            <w:r>
              <w:rPr>
                <w:rFonts w:ascii="Calibri" w:hAnsi="Calibri"/>
                <w:color w:val="000000"/>
                <w:sz w:val="16"/>
              </w:rPr>
              <w:t>Sous-familles/troncatures ambiguës.</w:t>
            </w:r>
          </w:p>
        </w:tc>
        <w:tc>
          <w:tcPr>
            <w:tcW w:type="dxa" w:w="3660"/>
            <w:vAlign w:val="center"/>
          </w:tcPr>
          <w:p>
            <w:pPr>
              <w:spacing w:after="0" w:line="245" w:lineRule="auto"/>
            </w:pPr>
            <w:r>
              <w:rPr>
                <w:rFonts w:ascii="Calibri" w:hAnsi="Calibri"/>
                <w:color w:val="000000"/>
                <w:sz w:val="16"/>
              </w:rPr>
              <w:t>Banach complet de patches + queues.</w:t>
            </w:r>
          </w:p>
        </w:tc>
      </w:tr>
      <w:tr>
        <w:trPr>
          <w:cantSplit/>
        </w:trPr>
        <w:tc>
          <w:tcPr>
            <w:tcW w:type="dxa" w:w="2200"/>
            <w:vAlign w:val="center"/>
          </w:tcPr>
          <w:p>
            <w:pPr>
              <w:spacing w:after="0" w:line="245" w:lineRule="auto"/>
            </w:pPr>
            <w:r>
              <w:rPr>
                <w:rFonts w:ascii="Calibri" w:hAnsi="Calibri"/>
                <w:color w:val="000000"/>
                <w:sz w:val="16"/>
              </w:rPr>
              <w:t>Coarse-graining</w:t>
            </w:r>
          </w:p>
        </w:tc>
        <w:tc>
          <w:tcPr>
            <w:tcW w:type="dxa" w:w="3500"/>
            <w:vAlign w:val="center"/>
          </w:tcPr>
          <w:p>
            <w:pPr>
              <w:spacing w:after="0" w:line="245" w:lineRule="auto"/>
            </w:pPr>
            <w:r>
              <w:rPr>
                <w:rFonts w:ascii="Calibri" w:hAnsi="Calibri"/>
                <w:color w:val="000000"/>
                <w:sz w:val="16"/>
              </w:rPr>
              <w:t>Blocage géométrique non canonique.</w:t>
            </w:r>
          </w:p>
        </w:tc>
        <w:tc>
          <w:tcPr>
            <w:tcW w:type="dxa" w:w="3660"/>
            <w:vAlign w:val="center"/>
          </w:tcPr>
          <w:p>
            <w:pPr>
              <w:spacing w:after="0" w:line="245" w:lineRule="auto"/>
            </w:pPr>
            <w:r>
              <w:rPr>
                <w:rFonts w:ascii="Calibri" w:hAnsi="Calibri"/>
                <w:color w:val="000000"/>
                <w:sz w:val="16"/>
              </w:rPr>
              <w:t>Feshbach exact + deux schémas gelés.</w:t>
            </w:r>
          </w:p>
        </w:tc>
      </w:tr>
      <w:tr>
        <w:trPr>
          <w:cantSplit/>
        </w:trPr>
        <w:tc>
          <w:tcPr>
            <w:tcW w:type="dxa" w:w="2200"/>
            <w:vAlign w:val="center"/>
          </w:tcPr>
          <w:p>
            <w:pPr>
              <w:spacing w:after="0" w:line="245" w:lineRule="auto"/>
            </w:pPr>
            <w:r>
              <w:rPr>
                <w:rFonts w:ascii="Calibri" w:hAnsi="Calibri"/>
                <w:color w:val="000000"/>
                <w:sz w:val="16"/>
              </w:rPr>
              <w:t>Localité effective</w:t>
            </w:r>
          </w:p>
        </w:tc>
        <w:tc>
          <w:tcPr>
            <w:tcW w:type="dxa" w:w="3500"/>
            <w:vAlign w:val="center"/>
          </w:tcPr>
          <w:p>
            <w:pPr>
              <w:spacing w:after="0" w:line="245" w:lineRule="auto"/>
            </w:pPr>
            <w:r>
              <w:rPr>
                <w:rFonts w:ascii="Calibri" w:hAnsi="Calibri"/>
                <w:color w:val="000000"/>
                <w:sz w:val="16"/>
              </w:rPr>
              <w:t>Espérée.</w:t>
            </w:r>
          </w:p>
        </w:tc>
        <w:tc>
          <w:tcPr>
            <w:tcW w:type="dxa" w:w="3660"/>
            <w:vAlign w:val="center"/>
          </w:tcPr>
          <w:p>
            <w:pPr>
              <w:spacing w:after="0" w:line="245" w:lineRule="auto"/>
            </w:pPr>
            <w:r>
              <w:rPr>
                <w:rFonts w:ascii="Calibri" w:hAnsi="Calibri"/>
                <w:color w:val="000000"/>
                <w:sz w:val="16"/>
              </w:rPr>
              <w:t>FAIL générique + théorème FS-QL conditionnel.</w:t>
            </w:r>
          </w:p>
        </w:tc>
      </w:tr>
      <w:tr>
        <w:trPr>
          <w:cantSplit/>
        </w:trPr>
        <w:tc>
          <w:tcPr>
            <w:tcW w:type="dxa" w:w="2200"/>
            <w:vAlign w:val="center"/>
          </w:tcPr>
          <w:p>
            <w:pPr>
              <w:spacing w:after="0" w:line="245" w:lineRule="auto"/>
            </w:pPr>
            <w:r>
              <w:rPr>
                <w:rFonts w:ascii="Calibri" w:hAnsi="Calibri"/>
                <w:color w:val="000000"/>
                <w:sz w:val="16"/>
              </w:rPr>
              <w:t>Point fixe</w:t>
            </w:r>
          </w:p>
        </w:tc>
        <w:tc>
          <w:tcPr>
            <w:tcW w:type="dxa" w:w="3500"/>
            <w:vAlign w:val="center"/>
          </w:tcPr>
          <w:p>
            <w:pPr>
              <w:spacing w:after="0" w:line="245" w:lineRule="auto"/>
            </w:pPr>
            <w:r>
              <w:rPr>
                <w:rFonts w:ascii="Calibri" w:hAnsi="Calibri"/>
                <w:color w:val="000000"/>
                <w:sz w:val="16"/>
              </w:rPr>
              <w:t>Pics/plateaux/β projetées.</w:t>
            </w:r>
          </w:p>
        </w:tc>
        <w:tc>
          <w:tcPr>
            <w:tcW w:type="dxa" w:w="3660"/>
            <w:vAlign w:val="center"/>
          </w:tcPr>
          <w:p>
            <w:pPr>
              <w:spacing w:after="0" w:line="245" w:lineRule="auto"/>
            </w:pPr>
            <w:r>
              <w:rPr>
                <w:rFonts w:ascii="Calibri" w:hAnsi="Calibri"/>
                <w:color w:val="000000"/>
                <w:sz w:val="16"/>
              </w:rPr>
              <w:t>Certificat CAP requis avec intervalles.</w:t>
            </w:r>
          </w:p>
        </w:tc>
      </w:tr>
      <w:tr>
        <w:trPr>
          <w:cantSplit/>
        </w:trPr>
        <w:tc>
          <w:tcPr>
            <w:tcW w:type="dxa" w:w="2200"/>
            <w:vAlign w:val="center"/>
          </w:tcPr>
          <w:p>
            <w:pPr>
              <w:spacing w:after="0" w:line="245" w:lineRule="auto"/>
            </w:pPr>
            <w:r>
              <w:rPr>
                <w:rFonts w:ascii="Calibri" w:hAnsi="Calibri"/>
                <w:color w:val="000000"/>
                <w:sz w:val="16"/>
              </w:rPr>
              <w:t>Continuum</w:t>
            </w:r>
          </w:p>
        </w:tc>
        <w:tc>
          <w:tcPr>
            <w:tcW w:type="dxa" w:w="3500"/>
            <w:vAlign w:val="center"/>
          </w:tcPr>
          <w:p>
            <w:pPr>
              <w:spacing w:after="0" w:line="245" w:lineRule="auto"/>
            </w:pPr>
            <w:r>
              <w:rPr>
                <w:rFonts w:ascii="Calibri" w:hAnsi="Calibri"/>
                <w:color w:val="000000"/>
                <w:sz w:val="16"/>
              </w:rPr>
              <w:t>Motif général.</w:t>
            </w:r>
          </w:p>
        </w:tc>
        <w:tc>
          <w:tcPr>
            <w:tcW w:type="dxa" w:w="3660"/>
            <w:vAlign w:val="center"/>
          </w:tcPr>
          <w:p>
            <w:pPr>
              <w:spacing w:after="0" w:line="245" w:lineRule="auto"/>
            </w:pPr>
            <w:r>
              <w:rPr>
                <w:rFonts w:ascii="Calibri" w:hAnsi="Calibri"/>
                <w:color w:val="000000"/>
                <w:sz w:val="16"/>
              </w:rPr>
              <w:t>Alternative OS/RAQ + témoin non topologique.</w:t>
            </w:r>
          </w:p>
        </w:tc>
      </w:tr>
      <w:tr>
        <w:trPr>
          <w:cantSplit/>
        </w:trPr>
        <w:tc>
          <w:tcPr>
            <w:tcW w:type="dxa" w:w="2200"/>
            <w:vAlign w:val="center"/>
          </w:tcPr>
          <w:p>
            <w:pPr>
              <w:spacing w:after="0" w:line="245" w:lineRule="auto"/>
            </w:pPr>
            <w:r>
              <w:rPr>
                <w:rFonts w:ascii="Calibri" w:hAnsi="Calibri"/>
                <w:color w:val="000000"/>
                <w:sz w:val="16"/>
              </w:rPr>
              <w:t>Chiralité</w:t>
            </w:r>
          </w:p>
        </w:tc>
        <w:tc>
          <w:tcPr>
            <w:tcW w:type="dxa" w:w="3500"/>
            <w:vAlign w:val="center"/>
          </w:tcPr>
          <w:p>
            <w:pPr>
              <w:spacing w:after="0" w:line="245" w:lineRule="auto"/>
            </w:pPr>
            <w:r>
              <w:rPr>
                <w:rFonts w:ascii="Calibri" w:hAnsi="Calibri"/>
                <w:color w:val="000000"/>
                <w:sz w:val="16"/>
              </w:rPr>
              <w:t>Spin(10)+anomalies.</w:t>
            </w:r>
          </w:p>
        </w:tc>
        <w:tc>
          <w:tcPr>
            <w:tcW w:type="dxa" w:w="3660"/>
            <w:vAlign w:val="center"/>
          </w:tcPr>
          <w:p>
            <w:pPr>
              <w:spacing w:after="0" w:line="245" w:lineRule="auto"/>
            </w:pPr>
            <w:r>
              <w:rPr>
                <w:rFonts w:ascii="Calibri" w:hAnsi="Calibri"/>
                <w:color w:val="000000"/>
                <w:sz w:val="16"/>
              </w:rPr>
              <w:t>Cinq certificats, incluant gauging et Pachner.</w:t>
            </w:r>
          </w:p>
        </w:tc>
      </w:tr>
      <w:tr>
        <w:trPr>
          <w:cantSplit/>
        </w:trPr>
        <w:tc>
          <w:tcPr>
            <w:tcW w:type="dxa" w:w="2200"/>
            <w:vAlign w:val="center"/>
          </w:tcPr>
          <w:p>
            <w:pPr>
              <w:spacing w:after="0" w:line="245" w:lineRule="auto"/>
            </w:pPr>
            <w:r>
              <w:rPr>
                <w:rFonts w:ascii="Calibri" w:hAnsi="Calibri"/>
                <w:color w:val="000000"/>
                <w:sz w:val="16"/>
              </w:rPr>
              <w:t>Λ</w:t>
            </w:r>
          </w:p>
        </w:tc>
        <w:tc>
          <w:tcPr>
            <w:tcW w:type="dxa" w:w="3500"/>
            <w:vAlign w:val="center"/>
          </w:tcPr>
          <w:p>
            <w:pPr>
              <w:spacing w:after="0" w:line="245" w:lineRule="auto"/>
            </w:pPr>
            <w:r>
              <w:rPr>
                <w:rFonts w:ascii="Calibri" w:hAnsi="Calibri"/>
                <w:color w:val="000000"/>
                <w:sz w:val="16"/>
              </w:rPr>
              <w:t>Promesse potentielle.</w:t>
            </w:r>
          </w:p>
        </w:tc>
        <w:tc>
          <w:tcPr>
            <w:tcW w:type="dxa" w:w="3660"/>
            <w:vAlign w:val="center"/>
          </w:tcPr>
          <w:p>
            <w:pPr>
              <w:spacing w:after="0" w:line="245" w:lineRule="auto"/>
            </w:pPr>
            <w:r>
              <w:rPr>
                <w:rFonts w:ascii="Calibri" w:hAnsi="Calibri"/>
                <w:color w:val="000000"/>
                <w:sz w:val="16"/>
              </w:rPr>
              <w:t>Sous-problème radiatif fermé; valeur déclarée ouverte.</w:t>
            </w:r>
          </w:p>
        </w:tc>
      </w:tr>
      <w:tr>
        <w:trPr>
          <w:cantSplit/>
        </w:trPr>
        <w:tc>
          <w:tcPr>
            <w:tcW w:type="dxa" w:w="2200"/>
            <w:vAlign w:val="center"/>
          </w:tcPr>
          <w:p>
            <w:pPr>
              <w:spacing w:after="0" w:line="245" w:lineRule="auto"/>
            </w:pPr>
            <w:r>
              <w:rPr>
                <w:rFonts w:ascii="Calibri" w:hAnsi="Calibri"/>
                <w:color w:val="000000"/>
                <w:sz w:val="16"/>
              </w:rPr>
              <w:t>Supériorité</w:t>
            </w:r>
          </w:p>
        </w:tc>
        <w:tc>
          <w:tcPr>
            <w:tcW w:type="dxa" w:w="3500"/>
            <w:vAlign w:val="center"/>
          </w:tcPr>
          <w:p>
            <w:pPr>
              <w:spacing w:after="0" w:line="245" w:lineRule="auto"/>
            </w:pPr>
            <w:r>
              <w:rPr>
                <w:rFonts w:ascii="Calibri" w:hAnsi="Calibri"/>
                <w:color w:val="000000"/>
                <w:sz w:val="16"/>
              </w:rPr>
              <w:t>Ambition globale.</w:t>
            </w:r>
          </w:p>
        </w:tc>
        <w:tc>
          <w:tcPr>
            <w:tcW w:type="dxa" w:w="3660"/>
            <w:vAlign w:val="center"/>
          </w:tcPr>
          <w:p>
            <w:pPr>
              <w:spacing w:after="0" w:line="245" w:lineRule="auto"/>
            </w:pPr>
            <w:r>
              <w:rPr>
                <w:rFonts w:ascii="Calibri" w:hAnsi="Calibri"/>
                <w:color w:val="000000"/>
                <w:sz w:val="16"/>
              </w:rPr>
              <w:t>Critères comparatifs explicites et gelés.</w:t>
            </w:r>
          </w:p>
        </w:tc>
      </w:tr>
    </w:tbl>
    <w:p>
      <w:pPr>
        <w:keepLines w:val="0"/>
        <w:spacing w:before="0" w:after="120" w:line="264" w:lineRule="auto"/>
        <w:jc w:val="left"/>
      </w:pPr>
      <w:r>
        <w:rPr>
          <w:rFonts w:ascii="Calibri" w:hAnsi="Calibri"/>
          <w:b w:val="0"/>
          <w:i w:val="0"/>
          <w:color w:val="000000"/>
          <w:sz w:val="22"/>
        </w:rPr>
      </w:r>
    </w:p>
    <w:p>
      <w:pPr>
        <w:pStyle w:val="Heading2"/>
        <w:keepNext/>
      </w:pPr>
      <w:r>
        <w:t>Phrase scientifique autorisée</w:t>
      </w:r>
    </w:p>
    <w:p>
      <w:pPr>
        <w:keepLines w:val="0"/>
        <w:spacing w:before="0" w:after="120" w:line="300" w:lineRule="auto"/>
        <w:jc w:val="left"/>
      </w:pPr>
      <w:r>
        <w:rPr>
          <w:rFonts w:ascii="Calibri" w:hAnsi="Calibri"/>
          <w:b w:val="0"/>
          <w:i/>
          <w:color w:val="0B2545"/>
          <w:sz w:val="22"/>
        </w:rPr>
        <w:t>« BLOB–TOE V317 est une candidature Hamiltonienne discrète dotée d’une positivité au cutoff et d’un programme constructif de RG/continuum. Elle possède plusieurs théorèmes structurels et no-go vérifiés. Son point fixe, son continuum, son graviton, son secteur chiral complet, son unification physique, sa cosmologie et ses prédictions restent à démontrer. »</w:t>
      </w:r>
    </w:p>
    <w:p>
      <w:pPr>
        <w:pStyle w:val="Heading2"/>
        <w:keepNext/>
      </w:pPr>
      <w:r>
        <w:t>Phrase interdite</w:t>
      </w:r>
    </w:p>
    <w:p>
      <w:pPr>
        <w:keepLines w:val="0"/>
        <w:spacing w:before="0" w:after="120" w:line="300" w:lineRule="auto"/>
        <w:jc w:val="left"/>
      </w:pPr>
      <w:r>
        <w:rPr>
          <w:rFonts w:ascii="Calibri" w:hAnsi="Calibri"/>
          <w:b/>
          <w:i w:val="0"/>
          <w:color w:val="9B1C1C"/>
          <w:sz w:val="22"/>
        </w:rPr>
        <w:t>« Les sept portes sont fermées » ou « la ToE est démontrée » tant que les certificats G0–G6 définis dans ce dossier ne sont pas présents et audités extérieurement.</w:t>
      </w:r>
    </w:p>
    <w:p>
      <w:pPr>
        <w:pStyle w:val="Heading1"/>
        <w:keepNext/>
        <w:pageBreakBefore/>
      </w:pPr>
      <w:r>
        <w:t>ANNEXE A — Sortie du certificat structurel</w:t>
      </w:r>
    </w:p>
    <w:p>
      <w:pPr>
        <w:keepLines w:val="0"/>
        <w:spacing w:before="0" w:after="120" w:line="300" w:lineRule="auto"/>
        <w:jc w:val="left"/>
      </w:pPr>
      <w:r>
        <w:rPr>
          <w:rFonts w:ascii="Calibri" w:hAnsi="Calibri"/>
          <w:b w:val="0"/>
          <w:i w:val="0"/>
          <w:color w:val="000000"/>
          <w:sz w:val="22"/>
        </w:rPr>
        <w:t>Le script verify_blob_v317_rigor.py utilise des rationnels exacts pour les identités algébriques et des bornes déterministes pour les contrôles finis. Son succès ne promeut aucune porte physique.</w:t>
      </w:r>
    </w:p>
    <w:p>
      <w:pPr>
        <w:keepLines/>
        <w:spacing w:before="0" w:after="40" w:line="300" w:lineRule="auto"/>
        <w:jc w:val="left"/>
      </w:pPr>
      <w:r>
        <w:rPr>
          <w:rFonts w:ascii="Calibri" w:hAnsi="Calibri"/>
          <w:b w:val="0"/>
          <w:i w:val="0"/>
          <w:color w:val="0B2545"/>
          <w:sz w:val="18"/>
        </w:rPr>
        <w:t>[PASS] P−1 non-extension</w:t>
      </w:r>
    </w:p>
    <w:p>
      <w:pPr>
        <w:keepLines/>
        <w:spacing w:before="0" w:after="40" w:line="300" w:lineRule="auto"/>
        <w:jc w:val="left"/>
      </w:pPr>
      <w:r>
        <w:rPr>
          <w:rFonts w:ascii="Calibri" w:hAnsi="Calibri"/>
          <w:b w:val="0"/>
          <w:i w:val="0"/>
          <w:color w:val="0B2545"/>
          <w:sz w:val="18"/>
        </w:rPr>
        <w:t>[PASS] réponse transverse exacte : −25130/4913</w:t>
      </w:r>
    </w:p>
    <w:p>
      <w:pPr>
        <w:keepLines/>
        <w:spacing w:before="0" w:after="40" w:line="300" w:lineRule="auto"/>
        <w:jc w:val="left"/>
      </w:pPr>
      <w:r>
        <w:rPr>
          <w:rFonts w:ascii="Calibri" w:hAnsi="Calibri"/>
          <w:b w:val="0"/>
          <w:i w:val="0"/>
          <w:color w:val="0B2545"/>
          <w:sz w:val="18"/>
        </w:rPr>
        <w:t>[PASS] non-uniformité d’un gap</w:t>
      </w:r>
    </w:p>
    <w:p>
      <w:pPr>
        <w:keepLines/>
        <w:spacing w:before="0" w:after="40" w:line="300" w:lineRule="auto"/>
        <w:jc w:val="left"/>
      </w:pPr>
      <w:r>
        <w:rPr>
          <w:rFonts w:ascii="Calibri" w:hAnsi="Calibri"/>
          <w:b w:val="0"/>
          <w:i w:val="0"/>
          <w:color w:val="0B2545"/>
          <w:sz w:val="18"/>
        </w:rPr>
        <w:t>[PASS] non-unicité de Q : gaps 1 et 7/3 pour la même π</w:t>
      </w:r>
    </w:p>
    <w:p>
      <w:pPr>
        <w:keepLines/>
        <w:spacing w:before="0" w:after="40" w:line="300" w:lineRule="auto"/>
        <w:jc w:val="left"/>
      </w:pPr>
      <w:r>
        <w:rPr>
          <w:rFonts w:ascii="Calibri" w:hAnsi="Calibri"/>
          <w:b w:val="0"/>
          <w:i w:val="0"/>
          <w:color w:val="0B2545"/>
          <w:sz w:val="18"/>
        </w:rPr>
        <w:t>[PASS] positivité/noyau Feshbach–Schur</w:t>
      </w:r>
    </w:p>
    <w:p>
      <w:pPr>
        <w:keepLines/>
        <w:spacing w:before="0" w:after="40" w:line="300" w:lineRule="auto"/>
        <w:jc w:val="left"/>
      </w:pPr>
      <w:r>
        <w:rPr>
          <w:rFonts w:ascii="Calibri" w:hAnsi="Calibri"/>
          <w:b w:val="0"/>
          <w:i w:val="0"/>
          <w:color w:val="0B2545"/>
          <w:sz w:val="18"/>
        </w:rPr>
        <w:t>[PASS] veto de densification : couplages −1/16</w:t>
      </w:r>
    </w:p>
    <w:p>
      <w:pPr>
        <w:keepLines/>
        <w:spacing w:before="0" w:after="40" w:line="300" w:lineRule="auto"/>
        <w:jc w:val="left"/>
      </w:pPr>
      <w:r>
        <w:rPr>
          <w:rFonts w:ascii="Calibri" w:hAnsi="Calibri"/>
          <w:b w:val="0"/>
          <w:i w:val="0"/>
          <w:color w:val="0B2545"/>
          <w:sz w:val="18"/>
        </w:rPr>
        <w:t>[PASS] décroissance de Neumann sur chemin fini</w:t>
      </w:r>
    </w:p>
    <w:p>
      <w:pPr>
        <w:keepLines/>
        <w:spacing w:before="0" w:after="40" w:line="300" w:lineRule="auto"/>
        <w:jc w:val="left"/>
      </w:pPr>
      <w:r>
        <w:rPr>
          <w:rFonts w:ascii="Calibri" w:hAnsi="Calibri"/>
          <w:b w:val="0"/>
          <w:i w:val="0"/>
          <w:color w:val="0B2545"/>
          <w:sz w:val="18"/>
        </w:rPr>
        <w:t>[PASS] rayon-polynôme : 19/1250 ≤ 1/50</w:t>
      </w:r>
    </w:p>
    <w:p>
      <w:pPr>
        <w:keepLines/>
        <w:spacing w:before="0" w:after="40" w:line="300" w:lineRule="auto"/>
        <w:jc w:val="left"/>
      </w:pPr>
      <w:r>
        <w:rPr>
          <w:rFonts w:ascii="Calibri" w:hAnsi="Calibri"/>
          <w:b w:val="0"/>
          <w:i w:val="0"/>
          <w:color w:val="0B2545"/>
          <w:sz w:val="18"/>
        </w:rPr>
        <w:t>[PASS] couverture G_N ≤ (24N)^(2N), ζ/τ=5/2&gt;2</w:t>
      </w:r>
    </w:p>
    <w:p>
      <w:pPr>
        <w:keepLines/>
        <w:spacing w:before="0" w:after="40" w:line="300" w:lineRule="auto"/>
        <w:jc w:val="left"/>
      </w:pPr>
      <w:r>
        <w:rPr>
          <w:rFonts w:ascii="Calibri" w:hAnsi="Calibri"/>
          <w:b w:val="0"/>
          <w:i w:val="0"/>
          <w:color w:val="0B2545"/>
          <w:sz w:val="18"/>
        </w:rPr>
        <w:t>[PASS] invariance canonique : 68/11</w:t>
      </w:r>
    </w:p>
    <w:p>
      <w:pPr>
        <w:keepLines/>
        <w:spacing w:before="0" w:after="40" w:line="300" w:lineRule="auto"/>
        <w:jc w:val="left"/>
      </w:pPr>
      <w:r>
        <w:rPr>
          <w:rFonts w:ascii="Calibri" w:hAnsi="Calibri"/>
          <w:b w:val="0"/>
          <w:i w:val="0"/>
          <w:color w:val="0B2545"/>
          <w:sz w:val="18"/>
        </w:rPr>
        <w:t>[PASS] transmission Schur : 9n/4</w:t>
      </w:r>
    </w:p>
    <w:p>
      <w:pPr>
        <w:keepLines/>
        <w:spacing w:before="0" w:after="40" w:line="300" w:lineRule="auto"/>
        <w:jc w:val="left"/>
      </w:pPr>
      <w:r>
        <w:rPr>
          <w:rFonts w:ascii="Calibri" w:hAnsi="Calibri"/>
          <w:b w:val="0"/>
          <w:i w:val="0"/>
          <w:color w:val="0B2545"/>
          <w:sz w:val="18"/>
        </w:rPr>
        <w:t>ALL STRUCTURAL CHECKS PASSED — No physical gate G0–G6 was auto-promoted.</w:t>
      </w:r>
    </w:p>
    <w:p>
      <w:pPr>
        <w:spacing w:before="0" w:after="120" w:line="300" w:lineRule="auto"/>
      </w:pPr>
      <w:r>
        <w:rPr>
          <w:rFonts w:ascii="Calibri" w:hAnsi="Calibri"/>
          <w:b/>
          <w:color w:val="000000"/>
          <w:sz w:val="22"/>
        </w:rPr>
        <w:t xml:space="preserve">Empreinte du script. </w:t>
      </w:r>
      <w:r>
        <w:rPr>
          <w:rFonts w:ascii="Calibri" w:hAnsi="Calibri"/>
          <w:color w:val="000000"/>
          <w:sz w:val="22"/>
        </w:rPr>
        <w:t>SHA-256 2bdcd410452d9c0b69dd89f10014c40f079a2f65bc042ebb993b484d3e628ed1. Le manifeste du bundle fait foi pour l’ensemble de la version livrée.</w:t>
      </w:r>
    </w:p>
    <w:p>
      <w:pPr>
        <w:pStyle w:val="Heading1"/>
        <w:keepNext/>
      </w:pPr>
      <w:r>
        <w:t>ANNEXE B — Registre de promotion</w:t>
      </w:r>
    </w:p>
    <w:tbl>
      <w:tblPr>
        <w:tblStyle w:val="TableGrid"/>
        <w:tblW w:type="dxa" w:w="9360"/>
        <w:tblLayout w:type="fixed"/>
        <w:tblLook w:firstColumn="1" w:firstRow="1" w:lastColumn="0" w:lastRow="0" w:noHBand="0" w:noVBand="1" w:val="04A0"/>
        <w:jc w:val="left"/>
        <w:tblInd w:w="120" w:type="dxa"/>
      </w:tblPr>
      <w:tblGrid>
        <w:gridCol w:w="1300"/>
        <w:gridCol w:w="5000"/>
        <w:gridCol w:w="3060"/>
      </w:tblGrid>
      <w:tr>
        <w:trPr>
          <w:tblHeader w:val="true"/>
          <w:cantSplit/>
          <w:tblHeader w:val="true"/>
        </w:trPr>
        <w:tc>
          <w:tcPr>
            <w:tcW w:type="dxa" w:w="1300"/>
            <w:tcMar>
              <w:top w:w="80" w:type="dxa"/>
              <w:start w:w="120" w:type="dxa"/>
              <w:bottom w:w="80" w:type="dxa"/>
              <w:end w:w="120" w:type="dxa"/>
            </w:tcMar>
            <w:vAlign w:val="center"/>
            <w:shd w:fill="E8EEF5"/>
          </w:tcPr>
          <w:p>
            <w:pPr>
              <w:spacing w:after="0" w:line="240" w:lineRule="auto"/>
            </w:pPr>
            <w:r>
              <w:rPr>
                <w:rFonts w:ascii="Calibri" w:hAnsi="Calibri"/>
                <w:b/>
                <w:color w:val="0B2545"/>
                <w:sz w:val="16"/>
              </w:rPr>
              <w:t>Promotion</w:t>
            </w:r>
          </w:p>
        </w:tc>
        <w:tc>
          <w:tcPr>
            <w:tcW w:type="dxa" w:w="5000"/>
            <w:tcMar>
              <w:top w:w="80" w:type="dxa"/>
              <w:start w:w="120" w:type="dxa"/>
              <w:bottom w:w="80" w:type="dxa"/>
              <w:end w:w="120" w:type="dxa"/>
            </w:tcMar>
            <w:vAlign w:val="center"/>
            <w:shd w:fill="E8EEF5"/>
          </w:tcPr>
          <w:p>
            <w:pPr>
              <w:spacing w:after="0" w:line="240" w:lineRule="auto"/>
            </w:pPr>
            <w:r>
              <w:rPr>
                <w:rFonts w:ascii="Calibri" w:hAnsi="Calibri"/>
                <w:b/>
                <w:color w:val="0B2545"/>
                <w:sz w:val="16"/>
              </w:rPr>
              <w:t>Pièce nécessaire</w:t>
            </w:r>
          </w:p>
        </w:tc>
        <w:tc>
          <w:tcPr>
            <w:tcW w:type="dxa" w:w="3060"/>
            <w:tcMar>
              <w:top w:w="80" w:type="dxa"/>
              <w:start w:w="120" w:type="dxa"/>
              <w:bottom w:w="80" w:type="dxa"/>
              <w:end w:w="120" w:type="dxa"/>
            </w:tcMar>
            <w:vAlign w:val="center"/>
            <w:shd w:fill="E8EEF5"/>
          </w:tcPr>
          <w:p>
            <w:pPr>
              <w:spacing w:after="0" w:line="240" w:lineRule="auto"/>
            </w:pPr>
            <w:r>
              <w:rPr>
                <w:rFonts w:ascii="Calibri" w:hAnsi="Calibri"/>
                <w:b/>
                <w:color w:val="0B2545"/>
                <w:sz w:val="16"/>
              </w:rPr>
              <w:t>Autorité de décision</w:t>
            </w:r>
          </w:p>
        </w:tc>
      </w:tr>
      <w:tr>
        <w:trPr>
          <w:cantSplit/>
        </w:trPr>
        <w:tc>
          <w:tcPr>
            <w:tcW w:type="dxa" w:w="1300"/>
            <w:vAlign w:val="center"/>
          </w:tcPr>
          <w:p>
            <w:pPr>
              <w:spacing w:after="0" w:line="245" w:lineRule="auto"/>
            </w:pPr>
            <w:r>
              <w:rPr>
                <w:rFonts w:ascii="Calibri" w:hAnsi="Calibri"/>
                <w:color w:val="000000"/>
                <w:sz w:val="16"/>
              </w:rPr>
              <w:t>G0</w:t>
            </w:r>
          </w:p>
        </w:tc>
        <w:tc>
          <w:tcPr>
            <w:tcW w:type="dxa" w:w="5000"/>
            <w:vAlign w:val="center"/>
          </w:tcPr>
          <w:p>
            <w:pPr>
              <w:spacing w:after="0" w:line="245" w:lineRule="auto"/>
            </w:pPr>
            <w:r>
              <w:rPr>
                <w:rFonts w:ascii="Calibri" w:hAnsi="Calibri"/>
                <w:color w:val="000000"/>
                <w:sz w:val="16"/>
              </w:rPr>
              <w:t>Certificat CAP complet + second schéma.</w:t>
            </w:r>
          </w:p>
        </w:tc>
        <w:tc>
          <w:tcPr>
            <w:tcW w:type="dxa" w:w="3060"/>
            <w:vAlign w:val="center"/>
          </w:tcPr>
          <w:p>
            <w:pPr>
              <w:spacing w:after="0" w:line="245" w:lineRule="auto"/>
            </w:pPr>
            <w:r>
              <w:rPr>
                <w:rFonts w:ascii="Calibri" w:hAnsi="Calibri"/>
                <w:color w:val="000000"/>
                <w:sz w:val="16"/>
              </w:rPr>
              <w:t>Audit mathématique indépendant.</w:t>
            </w:r>
          </w:p>
        </w:tc>
      </w:tr>
      <w:tr>
        <w:trPr>
          <w:cantSplit/>
        </w:trPr>
        <w:tc>
          <w:tcPr>
            <w:tcW w:type="dxa" w:w="1300"/>
            <w:vAlign w:val="center"/>
          </w:tcPr>
          <w:p>
            <w:pPr>
              <w:spacing w:after="0" w:line="245" w:lineRule="auto"/>
            </w:pPr>
            <w:r>
              <w:rPr>
                <w:rFonts w:ascii="Calibri" w:hAnsi="Calibri"/>
                <w:color w:val="000000"/>
                <w:sz w:val="16"/>
              </w:rPr>
              <w:t>G1</w:t>
            </w:r>
          </w:p>
        </w:tc>
        <w:tc>
          <w:tcPr>
            <w:tcW w:type="dxa" w:w="5000"/>
            <w:vAlign w:val="center"/>
          </w:tcPr>
          <w:p>
            <w:pPr>
              <w:spacing w:after="0" w:line="245" w:lineRule="auto"/>
            </w:pPr>
            <w:r>
              <w:rPr>
                <w:rFonts w:ascii="Calibri" w:hAnsi="Calibri"/>
                <w:color w:val="000000"/>
                <w:sz w:val="16"/>
              </w:rPr>
              <w:t>Données OS/RAQ + preuve non topologique.</w:t>
            </w:r>
          </w:p>
        </w:tc>
        <w:tc>
          <w:tcPr>
            <w:tcW w:type="dxa" w:w="3060"/>
            <w:vAlign w:val="center"/>
          </w:tcPr>
          <w:p>
            <w:pPr>
              <w:spacing w:after="0" w:line="245" w:lineRule="auto"/>
            </w:pPr>
            <w:r>
              <w:rPr>
                <w:rFonts w:ascii="Calibri" w:hAnsi="Calibri"/>
                <w:color w:val="000000"/>
                <w:sz w:val="16"/>
              </w:rPr>
              <w:t>Math-phys/QFT constructive.</w:t>
            </w:r>
          </w:p>
        </w:tc>
      </w:tr>
      <w:tr>
        <w:trPr>
          <w:cantSplit/>
        </w:trPr>
        <w:tc>
          <w:tcPr>
            <w:tcW w:type="dxa" w:w="1300"/>
            <w:vAlign w:val="center"/>
          </w:tcPr>
          <w:p>
            <w:pPr>
              <w:spacing w:after="0" w:line="245" w:lineRule="auto"/>
            </w:pPr>
            <w:r>
              <w:rPr>
                <w:rFonts w:ascii="Calibri" w:hAnsi="Calibri"/>
                <w:color w:val="000000"/>
                <w:sz w:val="16"/>
              </w:rPr>
              <w:t>G2</w:t>
            </w:r>
          </w:p>
        </w:tc>
        <w:tc>
          <w:tcPr>
            <w:tcW w:type="dxa" w:w="5000"/>
            <w:vAlign w:val="center"/>
          </w:tcPr>
          <w:p>
            <w:pPr>
              <w:spacing w:after="0" w:line="245" w:lineRule="auto"/>
            </w:pPr>
            <w:r>
              <w:rPr>
                <w:rFonts w:ascii="Calibri" w:hAnsi="Calibri"/>
                <w:color w:val="000000"/>
                <w:sz w:val="16"/>
              </w:rPr>
              <w:t>Analyse spectrale TT et Ward.</w:t>
            </w:r>
          </w:p>
        </w:tc>
        <w:tc>
          <w:tcPr>
            <w:tcW w:type="dxa" w:w="3060"/>
            <w:vAlign w:val="center"/>
          </w:tcPr>
          <w:p>
            <w:pPr>
              <w:spacing w:after="0" w:line="245" w:lineRule="auto"/>
            </w:pPr>
            <w:r>
              <w:rPr>
                <w:rFonts w:ascii="Calibri" w:hAnsi="Calibri"/>
                <w:color w:val="000000"/>
                <w:sz w:val="16"/>
              </w:rPr>
              <w:t>QG/QFT indépendante.</w:t>
            </w:r>
          </w:p>
        </w:tc>
      </w:tr>
      <w:tr>
        <w:trPr>
          <w:cantSplit/>
        </w:trPr>
        <w:tc>
          <w:tcPr>
            <w:tcW w:type="dxa" w:w="1300"/>
            <w:vAlign w:val="center"/>
          </w:tcPr>
          <w:p>
            <w:pPr>
              <w:spacing w:after="0" w:line="245" w:lineRule="auto"/>
            </w:pPr>
            <w:r>
              <w:rPr>
                <w:rFonts w:ascii="Calibri" w:hAnsi="Calibri"/>
                <w:color w:val="000000"/>
                <w:sz w:val="16"/>
              </w:rPr>
              <w:t>G3</w:t>
            </w:r>
          </w:p>
        </w:tc>
        <w:tc>
          <w:tcPr>
            <w:tcW w:type="dxa" w:w="5000"/>
            <w:vAlign w:val="center"/>
          </w:tcPr>
          <w:p>
            <w:pPr>
              <w:spacing w:after="0" w:line="245" w:lineRule="auto"/>
            </w:pPr>
            <w:r>
              <w:rPr>
                <w:rFonts w:ascii="Calibri" w:hAnsi="Calibri"/>
                <w:color w:val="000000"/>
                <w:sz w:val="16"/>
              </w:rPr>
              <w:t>Régulateur chiral dynamique + spectre.</w:t>
            </w:r>
          </w:p>
        </w:tc>
        <w:tc>
          <w:tcPr>
            <w:tcW w:type="dxa" w:w="3060"/>
            <w:vAlign w:val="center"/>
          </w:tcPr>
          <w:p>
            <w:pPr>
              <w:spacing w:after="0" w:line="245" w:lineRule="auto"/>
            </w:pPr>
            <w:r>
              <w:rPr>
                <w:rFonts w:ascii="Calibri" w:hAnsi="Calibri"/>
                <w:color w:val="000000"/>
                <w:sz w:val="16"/>
              </w:rPr>
              <w:t>Lattice gauge/anomalies.</w:t>
            </w:r>
          </w:p>
        </w:tc>
      </w:tr>
      <w:tr>
        <w:trPr>
          <w:cantSplit/>
        </w:trPr>
        <w:tc>
          <w:tcPr>
            <w:tcW w:type="dxa" w:w="1300"/>
            <w:vAlign w:val="center"/>
          </w:tcPr>
          <w:p>
            <w:pPr>
              <w:spacing w:after="0" w:line="245" w:lineRule="auto"/>
            </w:pPr>
            <w:r>
              <w:rPr>
                <w:rFonts w:ascii="Calibri" w:hAnsi="Calibri"/>
                <w:color w:val="000000"/>
                <w:sz w:val="16"/>
              </w:rPr>
              <w:t>G4</w:t>
            </w:r>
          </w:p>
        </w:tc>
        <w:tc>
          <w:tcPr>
            <w:tcW w:type="dxa" w:w="5000"/>
            <w:vAlign w:val="center"/>
          </w:tcPr>
          <w:p>
            <w:pPr>
              <w:spacing w:after="0" w:line="245" w:lineRule="auto"/>
            </w:pPr>
            <w:r>
              <w:rPr>
                <w:rFonts w:ascii="Calibri" w:hAnsi="Calibri"/>
                <w:color w:val="000000"/>
                <w:sz w:val="16"/>
              </w:rPr>
              <w:t>Flot et relation gravité–jauge.</w:t>
            </w:r>
          </w:p>
        </w:tc>
        <w:tc>
          <w:tcPr>
            <w:tcW w:type="dxa" w:w="3060"/>
            <w:vAlign w:val="center"/>
          </w:tcPr>
          <w:p>
            <w:pPr>
              <w:spacing w:after="0" w:line="245" w:lineRule="auto"/>
            </w:pPr>
            <w:r>
              <w:rPr>
                <w:rFonts w:ascii="Calibri" w:hAnsi="Calibri"/>
                <w:color w:val="000000"/>
                <w:sz w:val="16"/>
              </w:rPr>
              <w:t>Phénoménologie GUT + QG.</w:t>
            </w:r>
          </w:p>
        </w:tc>
      </w:tr>
      <w:tr>
        <w:trPr>
          <w:cantSplit/>
        </w:trPr>
        <w:tc>
          <w:tcPr>
            <w:tcW w:type="dxa" w:w="1300"/>
            <w:vAlign w:val="center"/>
          </w:tcPr>
          <w:p>
            <w:pPr>
              <w:spacing w:after="0" w:line="245" w:lineRule="auto"/>
            </w:pPr>
            <w:r>
              <w:rPr>
                <w:rFonts w:ascii="Calibri" w:hAnsi="Calibri"/>
                <w:color w:val="000000"/>
                <w:sz w:val="16"/>
              </w:rPr>
              <w:t>G5</w:t>
            </w:r>
          </w:p>
        </w:tc>
        <w:tc>
          <w:tcPr>
            <w:tcW w:type="dxa" w:w="5000"/>
            <w:vAlign w:val="center"/>
          </w:tcPr>
          <w:p>
            <w:pPr>
              <w:spacing w:after="0" w:line="245" w:lineRule="auto"/>
            </w:pPr>
            <w:r>
              <w:rPr>
                <w:rFonts w:ascii="Calibri" w:hAnsi="Calibri"/>
                <w:color w:val="000000"/>
                <w:sz w:val="16"/>
              </w:rPr>
              <w:t>Cosmologie dérivée et holdout.</w:t>
            </w:r>
          </w:p>
        </w:tc>
        <w:tc>
          <w:tcPr>
            <w:tcW w:type="dxa" w:w="3060"/>
            <w:vAlign w:val="center"/>
          </w:tcPr>
          <w:p>
            <w:pPr>
              <w:spacing w:after="0" w:line="245" w:lineRule="auto"/>
            </w:pPr>
            <w:r>
              <w:rPr>
                <w:rFonts w:ascii="Calibri" w:hAnsi="Calibri"/>
                <w:color w:val="000000"/>
                <w:sz w:val="16"/>
              </w:rPr>
              <w:t>Cosmologie/astrostatistique.</w:t>
            </w:r>
          </w:p>
        </w:tc>
      </w:tr>
      <w:tr>
        <w:trPr>
          <w:cantSplit/>
        </w:trPr>
        <w:tc>
          <w:tcPr>
            <w:tcW w:type="dxa" w:w="1300"/>
            <w:vAlign w:val="center"/>
          </w:tcPr>
          <w:p>
            <w:pPr>
              <w:spacing w:after="0" w:line="245" w:lineRule="auto"/>
            </w:pPr>
            <w:r>
              <w:rPr>
                <w:rFonts w:ascii="Calibri" w:hAnsi="Calibri"/>
                <w:color w:val="000000"/>
                <w:sz w:val="16"/>
              </w:rPr>
              <w:t>G6</w:t>
            </w:r>
          </w:p>
        </w:tc>
        <w:tc>
          <w:tcPr>
            <w:tcW w:type="dxa" w:w="5000"/>
            <w:vAlign w:val="center"/>
          </w:tcPr>
          <w:p>
            <w:pPr>
              <w:spacing w:after="0" w:line="245" w:lineRule="auto"/>
            </w:pPr>
            <w:r>
              <w:rPr>
                <w:rFonts w:ascii="Calibri" w:hAnsi="Calibri"/>
                <w:color w:val="000000"/>
                <w:sz w:val="16"/>
              </w:rPr>
              <w:t>Prereg + deux réplications.</w:t>
            </w:r>
          </w:p>
        </w:tc>
        <w:tc>
          <w:tcPr>
            <w:tcW w:type="dxa" w:w="3060"/>
            <w:vAlign w:val="center"/>
          </w:tcPr>
          <w:p>
            <w:pPr>
              <w:spacing w:after="0" w:line="245" w:lineRule="auto"/>
            </w:pPr>
            <w:r>
              <w:rPr>
                <w:rFonts w:ascii="Calibri" w:hAnsi="Calibri"/>
                <w:color w:val="000000"/>
                <w:sz w:val="16"/>
              </w:rPr>
              <w:t>Équipes externes.</w:t>
            </w:r>
          </w:p>
        </w:tc>
      </w:tr>
    </w:tbl>
    <w:p>
      <w:pPr>
        <w:keepLines w:val="0"/>
        <w:spacing w:before="0" w:after="120" w:line="264" w:lineRule="auto"/>
        <w:jc w:val="left"/>
      </w:pPr>
      <w:r>
        <w:rPr>
          <w:rFonts w:ascii="Calibri" w:hAnsi="Calibri"/>
          <w:b w:val="0"/>
          <w:i w:val="0"/>
          <w:color w:val="000000"/>
          <w:sz w:val="22"/>
        </w:rPr>
      </w:r>
    </w:p>
    <w:p>
      <w:pPr>
        <w:pStyle w:val="Heading1"/>
        <w:keepNext/>
        <w:pageBreakBefore/>
      </w:pPr>
      <w:r>
        <w:t>ANNEXE C — Références arXiv primaires</w:t>
      </w:r>
    </w:p>
    <w:p>
      <w:pPr>
        <w:keepLines/>
        <w:spacing w:after="40" w:line="252" w:lineRule="auto"/>
        <w:ind w:left="403" w:hanging="403"/>
      </w:pPr>
      <w:r>
        <w:rPr>
          <w:rFonts w:ascii="Calibri" w:hAnsi="Calibri"/>
          <w:color w:val="000000"/>
          <w:sz w:val="17"/>
        </w:rPr>
        <w:t xml:space="preserve">1. Alessandro Giuliani, Vieri Mastropietro, Slava Rychkov. </w:t>
      </w:r>
      <w:r>
        <w:rPr>
          <w:rFonts w:ascii="Calibri" w:hAnsi="Calibri"/>
          <w:i/>
          <w:color w:val="000000"/>
          <w:sz w:val="17"/>
        </w:rPr>
        <w:t>Gentle introduction to rigorous Renormalization Group: a worked fermionic example</w:t>
      </w:r>
      <w:r>
        <w:rPr>
          <w:rFonts w:ascii="Calibri" w:hAnsi="Calibri"/>
          <w:color w:val="5F6B78"/>
          <w:sz w:val="17"/>
        </w:rPr>
        <w:t>. arXiv:2008.04361. https://arxiv.org/abs/2008.04361</w:t>
      </w:r>
    </w:p>
    <w:p>
      <w:pPr>
        <w:keepLines/>
        <w:spacing w:after="40" w:line="252" w:lineRule="auto"/>
        <w:ind w:left="403" w:hanging="403"/>
      </w:pPr>
      <w:r>
        <w:rPr>
          <w:rFonts w:ascii="Calibri" w:hAnsi="Calibri"/>
          <w:color w:val="000000"/>
          <w:sz w:val="17"/>
        </w:rPr>
        <w:t xml:space="preserve">2. M. Griesemer, D. Hasler. </w:t>
      </w:r>
      <w:r>
        <w:rPr>
          <w:rFonts w:ascii="Calibri" w:hAnsi="Calibri"/>
          <w:i/>
          <w:color w:val="000000"/>
          <w:sz w:val="17"/>
        </w:rPr>
        <w:t>On the Smooth Feshbach-Schur Map</w:t>
      </w:r>
      <w:r>
        <w:rPr>
          <w:rFonts w:ascii="Calibri" w:hAnsi="Calibri"/>
          <w:color w:val="5F6B78"/>
          <w:sz w:val="17"/>
        </w:rPr>
        <w:t>. arXiv:0704.3244. https://arxiv.org/abs/0704.3244</w:t>
      </w:r>
    </w:p>
    <w:p>
      <w:pPr>
        <w:keepLines/>
        <w:spacing w:after="40" w:line="252" w:lineRule="auto"/>
        <w:ind w:left="403" w:hanging="403"/>
      </w:pPr>
      <w:r>
        <w:rPr>
          <w:rFonts w:ascii="Calibri" w:hAnsi="Calibri"/>
          <w:color w:val="000000"/>
          <w:sz w:val="17"/>
        </w:rPr>
        <w:t xml:space="preserve">3. Volker Bach, Miguel Ballesteros, Jürg Fröhlich. </w:t>
      </w:r>
      <w:r>
        <w:rPr>
          <w:rFonts w:ascii="Calibri" w:hAnsi="Calibri"/>
          <w:i/>
          <w:color w:val="000000"/>
          <w:sz w:val="17"/>
        </w:rPr>
        <w:t>Continuous Renormalization Group Analysis of Spectral Problems in Quantum Field Theory</w:t>
      </w:r>
      <w:r>
        <w:rPr>
          <w:rFonts w:ascii="Calibri" w:hAnsi="Calibri"/>
          <w:color w:val="5F6B78"/>
          <w:sz w:val="17"/>
        </w:rPr>
        <w:t>. arXiv:1308.0911. https://arxiv.org/abs/1308.0911</w:t>
      </w:r>
    </w:p>
    <w:p>
      <w:pPr>
        <w:keepLines/>
        <w:spacing w:after="40" w:line="252" w:lineRule="auto"/>
        <w:ind w:left="403" w:hanging="403"/>
      </w:pPr>
      <w:r>
        <w:rPr>
          <w:rFonts w:ascii="Calibri" w:hAnsi="Calibri"/>
          <w:color w:val="000000"/>
          <w:sz w:val="17"/>
        </w:rPr>
        <w:t xml:space="preserve">4. Maxime Breden, Jorge Gonzalez, J.D. Mireles James. </w:t>
      </w:r>
      <w:r>
        <w:rPr>
          <w:rFonts w:ascii="Calibri" w:hAnsi="Calibri"/>
          <w:i/>
          <w:color w:val="000000"/>
          <w:sz w:val="17"/>
        </w:rPr>
        <w:t>Validated enclosure of renormalization fixed points via Chebyshev series and the DFT</w:t>
      </w:r>
      <w:r>
        <w:rPr>
          <w:rFonts w:ascii="Calibri" w:hAnsi="Calibri"/>
          <w:color w:val="5F6B78"/>
          <w:sz w:val="17"/>
        </w:rPr>
        <w:t>. arXiv:2409.20457. https://arxiv.org/abs/2409.20457</w:t>
      </w:r>
    </w:p>
    <w:p>
      <w:pPr>
        <w:keepLines/>
        <w:spacing w:after="40" w:line="252" w:lineRule="auto"/>
        <w:ind w:left="403" w:hanging="403"/>
      </w:pPr>
      <w:r>
        <w:rPr>
          <w:rFonts w:ascii="Calibri" w:hAnsi="Calibri"/>
          <w:color w:val="000000"/>
          <w:sz w:val="17"/>
        </w:rPr>
        <w:t xml:space="preserve">5. Andrew D. Burbanks, Andrew H. Osbaldestin, Judi A. Thurlby. </w:t>
      </w:r>
      <w:r>
        <w:rPr>
          <w:rFonts w:ascii="Calibri" w:hAnsi="Calibri"/>
          <w:i/>
          <w:color w:val="000000"/>
          <w:sz w:val="17"/>
        </w:rPr>
        <w:t>Rigorous computer-assisted bounds on renormalisation fixed point functions, eigenfunctions, and universal constants</w:t>
      </w:r>
      <w:r>
        <w:rPr>
          <w:rFonts w:ascii="Calibri" w:hAnsi="Calibri"/>
          <w:color w:val="5F6B78"/>
          <w:sz w:val="17"/>
        </w:rPr>
        <w:t>. arXiv:2103.05991. https://arxiv.org/abs/2103.05991</w:t>
      </w:r>
    </w:p>
    <w:p>
      <w:pPr>
        <w:keepLines/>
        <w:spacing w:after="40" w:line="252" w:lineRule="auto"/>
        <w:ind w:left="403" w:hanging="403"/>
      </w:pPr>
      <w:r>
        <w:rPr>
          <w:rFonts w:ascii="Calibri" w:hAnsi="Calibri"/>
          <w:color w:val="000000"/>
          <w:sz w:val="17"/>
        </w:rPr>
        <w:t xml:space="preserve">6. Nikolay Ebel, Tom Kennedy, Slava Rychkov. </w:t>
      </w:r>
      <w:r>
        <w:rPr>
          <w:rFonts w:ascii="Calibri" w:hAnsi="Calibri"/>
          <w:i/>
          <w:color w:val="000000"/>
          <w:sz w:val="17"/>
        </w:rPr>
        <w:t>Tensor Renormalization Group Meets Computer Assistance</w:t>
      </w:r>
      <w:r>
        <w:rPr>
          <w:rFonts w:ascii="Calibri" w:hAnsi="Calibri"/>
          <w:color w:val="5F6B78"/>
          <w:sz w:val="17"/>
        </w:rPr>
        <w:t>. arXiv:2506.03247. https://arxiv.org/abs/2506.03247</w:t>
      </w:r>
    </w:p>
    <w:p>
      <w:pPr>
        <w:keepLines/>
        <w:spacing w:after="40" w:line="252" w:lineRule="auto"/>
        <w:ind w:left="403" w:hanging="403"/>
      </w:pPr>
      <w:r>
        <w:rPr>
          <w:rFonts w:ascii="Calibri" w:hAnsi="Calibri"/>
          <w:color w:val="000000"/>
          <w:sz w:val="17"/>
        </w:rPr>
        <w:t xml:space="preserve">7. Thorsten Lang, Klaus Liegener, Thomas Thiemann. </w:t>
      </w:r>
      <w:r>
        <w:rPr>
          <w:rFonts w:ascii="Calibri" w:hAnsi="Calibri"/>
          <w:i/>
          <w:color w:val="000000"/>
          <w:sz w:val="17"/>
        </w:rPr>
        <w:t>Hamiltonian Renormalisation I: Derivation from Osterwalder-Schrader Reconstruction</w:t>
      </w:r>
      <w:r>
        <w:rPr>
          <w:rFonts w:ascii="Calibri" w:hAnsi="Calibri"/>
          <w:color w:val="5F6B78"/>
          <w:sz w:val="17"/>
        </w:rPr>
        <w:t>. arXiv:1711.05685. https://arxiv.org/abs/1711.05685</w:t>
      </w:r>
    </w:p>
    <w:p>
      <w:pPr>
        <w:keepLines/>
        <w:spacing w:after="40" w:line="252" w:lineRule="auto"/>
        <w:ind w:left="403" w:hanging="403"/>
      </w:pPr>
      <w:r>
        <w:rPr>
          <w:rFonts w:ascii="Calibri" w:hAnsi="Calibri"/>
          <w:color w:val="000000"/>
          <w:sz w:val="17"/>
        </w:rPr>
        <w:t xml:space="preserve">8. Matteo Bruno, Eugenia Colafranceschi, Fabio M. Mele, Carlo Rovelli. </w:t>
      </w:r>
      <w:r>
        <w:rPr>
          <w:rFonts w:ascii="Calibri" w:hAnsi="Calibri"/>
          <w:i/>
          <w:color w:val="000000"/>
          <w:sz w:val="17"/>
        </w:rPr>
        <w:t>The Structure of the Continuum Limit of Spin Foams</w:t>
      </w:r>
      <w:r>
        <w:rPr>
          <w:rFonts w:ascii="Calibri" w:hAnsi="Calibri"/>
          <w:color w:val="5F6B78"/>
          <w:sz w:val="17"/>
        </w:rPr>
        <w:t>. arXiv:2603.16999. https://arxiv.org/abs/2603.16999</w:t>
      </w:r>
    </w:p>
    <w:p>
      <w:pPr>
        <w:keepLines/>
        <w:spacing w:after="40" w:line="252" w:lineRule="auto"/>
        <w:ind w:left="403" w:hanging="403"/>
      </w:pPr>
      <w:r>
        <w:rPr>
          <w:rFonts w:ascii="Calibri" w:hAnsi="Calibri"/>
          <w:color w:val="000000"/>
          <w:sz w:val="17"/>
        </w:rPr>
        <w:t xml:space="preserve">9. J. Ambjørn, J. Jurkiewicz, R. Loll. </w:t>
      </w:r>
      <w:r>
        <w:rPr>
          <w:rFonts w:ascii="Calibri" w:hAnsi="Calibri"/>
          <w:i/>
          <w:color w:val="000000"/>
          <w:sz w:val="17"/>
        </w:rPr>
        <w:t>A non-perturbative Lorentzian path integral for gravity</w:t>
      </w:r>
      <w:r>
        <w:rPr>
          <w:rFonts w:ascii="Calibri" w:hAnsi="Calibri"/>
          <w:color w:val="5F6B78"/>
          <w:sz w:val="17"/>
        </w:rPr>
        <w:t>. arXiv:hep-th/0002050. https://arxiv.org/abs/hep-th/0002050</w:t>
      </w:r>
    </w:p>
    <w:p>
      <w:pPr>
        <w:keepLines/>
        <w:spacing w:after="40" w:line="252" w:lineRule="auto"/>
        <w:ind w:left="403" w:hanging="403"/>
      </w:pPr>
      <w:r>
        <w:rPr>
          <w:rFonts w:ascii="Calibri" w:hAnsi="Calibri"/>
          <w:color w:val="000000"/>
          <w:sz w:val="17"/>
        </w:rPr>
        <w:t xml:space="preserve">10. Jan Ambjørn et al.. </w:t>
      </w:r>
      <w:r>
        <w:rPr>
          <w:rFonts w:ascii="Calibri" w:hAnsi="Calibri"/>
          <w:i/>
          <w:color w:val="000000"/>
          <w:sz w:val="17"/>
        </w:rPr>
        <w:t>The higher-order phase transition in toroidal CDT</w:t>
      </w:r>
      <w:r>
        <w:rPr>
          <w:rFonts w:ascii="Calibri" w:hAnsi="Calibri"/>
          <w:color w:val="5F6B78"/>
          <w:sz w:val="17"/>
        </w:rPr>
        <w:t>. arXiv:2002.01051. https://arxiv.org/abs/2002.01051</w:t>
      </w:r>
    </w:p>
    <w:p>
      <w:pPr>
        <w:keepLines/>
        <w:spacing w:after="40" w:line="252" w:lineRule="auto"/>
        <w:ind w:left="403" w:hanging="403"/>
      </w:pPr>
      <w:r>
        <w:rPr>
          <w:rFonts w:ascii="Calibri" w:hAnsi="Calibri"/>
          <w:color w:val="000000"/>
          <w:sz w:val="17"/>
        </w:rPr>
        <w:t xml:space="preserve">11. Andreas G.A. Pithis, Johannes Thürigen. </w:t>
      </w:r>
      <w:r>
        <w:rPr>
          <w:rFonts w:ascii="Calibri" w:hAnsi="Calibri"/>
          <w:i/>
          <w:color w:val="000000"/>
          <w:sz w:val="17"/>
        </w:rPr>
        <w:t>(No) phase transition in tensorial group field theory</w:t>
      </w:r>
      <w:r>
        <w:rPr>
          <w:rFonts w:ascii="Calibri" w:hAnsi="Calibri"/>
          <w:color w:val="5F6B78"/>
          <w:sz w:val="17"/>
        </w:rPr>
        <w:t>. arXiv:2007.08982. https://arxiv.org/abs/2007.08982</w:t>
      </w:r>
    </w:p>
    <w:p>
      <w:pPr>
        <w:keepLines/>
        <w:spacing w:after="40" w:line="252" w:lineRule="auto"/>
        <w:ind w:left="403" w:hanging="403"/>
      </w:pPr>
      <w:r>
        <w:rPr>
          <w:rFonts w:ascii="Calibri" w:hAnsi="Calibri"/>
          <w:color w:val="000000"/>
          <w:sz w:val="17"/>
        </w:rPr>
        <w:t xml:space="preserve">12. Joseph Ben Geloun, Andreas G.A. Pithis, Johannes Thürigen. </w:t>
      </w:r>
      <w:r>
        <w:rPr>
          <w:rFonts w:ascii="Calibri" w:hAnsi="Calibri"/>
          <w:i/>
          <w:color w:val="000000"/>
          <w:sz w:val="17"/>
        </w:rPr>
        <w:t>QFT with Tensorial and Local Degrees of Freedom: Phase Structure from Functional Renormalization</w:t>
      </w:r>
      <w:r>
        <w:rPr>
          <w:rFonts w:ascii="Calibri" w:hAnsi="Calibri"/>
          <w:color w:val="5F6B78"/>
          <w:sz w:val="17"/>
        </w:rPr>
        <w:t>. arXiv:2305.06136. https://arxiv.org/abs/2305.06136</w:t>
      </w:r>
    </w:p>
    <w:p>
      <w:pPr>
        <w:keepLines/>
        <w:spacing w:after="40" w:line="252" w:lineRule="auto"/>
        <w:ind w:left="403" w:hanging="403"/>
      </w:pPr>
      <w:r>
        <w:rPr>
          <w:rFonts w:ascii="Calibri" w:hAnsi="Calibri"/>
          <w:color w:val="000000"/>
          <w:sz w:val="17"/>
        </w:rPr>
        <w:t xml:space="preserve">13. Alicia Castro, Astrid Eichhorn, Razvan Gurau. </w:t>
      </w:r>
      <w:r>
        <w:rPr>
          <w:rFonts w:ascii="Calibri" w:hAnsi="Calibri"/>
          <w:i/>
          <w:color w:val="000000"/>
          <w:sz w:val="17"/>
        </w:rPr>
        <w:t>Towards a quantitative characterization of gravitational universality classes for order-4 random tensor models</w:t>
      </w:r>
      <w:r>
        <w:rPr>
          <w:rFonts w:ascii="Calibri" w:hAnsi="Calibri"/>
          <w:color w:val="5F6B78"/>
          <w:sz w:val="17"/>
        </w:rPr>
        <w:t>. arXiv:2602.09257. https://arxiv.org/abs/2602.09257</w:t>
      </w:r>
    </w:p>
    <w:p>
      <w:pPr>
        <w:keepLines/>
        <w:spacing w:after="40" w:line="252" w:lineRule="auto"/>
        <w:ind w:left="403" w:hanging="403"/>
      </w:pPr>
      <w:r>
        <w:rPr>
          <w:rFonts w:ascii="Calibri" w:hAnsi="Calibri"/>
          <w:color w:val="000000"/>
          <w:sz w:val="17"/>
        </w:rPr>
        <w:t xml:space="preserve">14. Vincent Rivasseau, Fabien Vignes-Tourneret. </w:t>
      </w:r>
      <w:r>
        <w:rPr>
          <w:rFonts w:ascii="Calibri" w:hAnsi="Calibri"/>
          <w:i/>
          <w:color w:val="000000"/>
          <w:sz w:val="17"/>
        </w:rPr>
        <w:t>Constructive tensor field theory: The T4_4 model</w:t>
      </w:r>
      <w:r>
        <w:rPr>
          <w:rFonts w:ascii="Calibri" w:hAnsi="Calibri"/>
          <w:color w:val="5F6B78"/>
          <w:sz w:val="17"/>
        </w:rPr>
        <w:t>. arXiv:1703.06510. https://arxiv.org/abs/1703.06510</w:t>
      </w:r>
    </w:p>
    <w:p>
      <w:pPr>
        <w:keepLines/>
        <w:spacing w:after="40" w:line="252" w:lineRule="auto"/>
        <w:ind w:left="403" w:hanging="403"/>
      </w:pPr>
      <w:r>
        <w:rPr>
          <w:rFonts w:ascii="Calibri" w:hAnsi="Calibri"/>
          <w:color w:val="000000"/>
          <w:sz w:val="17"/>
        </w:rPr>
        <w:t xml:space="preserve">15. Andrei O. Barvinsky, Alexander V. Kurov, Sergey M. Sibiryakov. </w:t>
      </w:r>
      <w:r>
        <w:rPr>
          <w:rFonts w:ascii="Calibri" w:hAnsi="Calibri"/>
          <w:i/>
          <w:color w:val="000000"/>
          <w:sz w:val="17"/>
        </w:rPr>
        <w:t>Beta functions of (3+1)-dimensional projectable Horava gravity</w:t>
      </w:r>
      <w:r>
        <w:rPr>
          <w:rFonts w:ascii="Calibri" w:hAnsi="Calibri"/>
          <w:color w:val="5F6B78"/>
          <w:sz w:val="17"/>
        </w:rPr>
        <w:t>. arXiv:2110.14688. https://arxiv.org/abs/2110.14688</w:t>
      </w:r>
    </w:p>
    <w:p>
      <w:pPr>
        <w:keepLines/>
        <w:spacing w:after="40" w:line="252" w:lineRule="auto"/>
        <w:ind w:left="403" w:hanging="403"/>
      </w:pPr>
      <w:r>
        <w:rPr>
          <w:rFonts w:ascii="Calibri" w:hAnsi="Calibri"/>
          <w:color w:val="000000"/>
          <w:sz w:val="17"/>
        </w:rPr>
        <w:t xml:space="preserve">16. Jorge Bellorin, Alvaro Restuccia. </w:t>
      </w:r>
      <w:r>
        <w:rPr>
          <w:rFonts w:ascii="Calibri" w:hAnsi="Calibri"/>
          <w:i/>
          <w:color w:val="000000"/>
          <w:sz w:val="17"/>
        </w:rPr>
        <w:t>Quantization of the Horava theory at the kinetic-conformal point</w:t>
      </w:r>
      <w:r>
        <w:rPr>
          <w:rFonts w:ascii="Calibri" w:hAnsi="Calibri"/>
          <w:color w:val="5F6B78"/>
          <w:sz w:val="17"/>
        </w:rPr>
        <w:t>. arXiv:1606.02606. https://arxiv.org/abs/1606.02606</w:t>
      </w:r>
    </w:p>
    <w:p>
      <w:pPr>
        <w:keepLines/>
        <w:spacing w:after="40" w:line="252" w:lineRule="auto"/>
        <w:ind w:left="403" w:hanging="403"/>
      </w:pPr>
      <w:r>
        <w:rPr>
          <w:rFonts w:ascii="Calibri" w:hAnsi="Calibri"/>
          <w:color w:val="000000"/>
          <w:sz w:val="17"/>
        </w:rPr>
        <w:t xml:space="preserve">17. Andrew Coates, Charles Melby-Thompson, Shinji Mukohyama. </w:t>
      </w:r>
      <w:r>
        <w:rPr>
          <w:rFonts w:ascii="Calibri" w:hAnsi="Calibri"/>
          <w:i/>
          <w:color w:val="000000"/>
          <w:sz w:val="17"/>
        </w:rPr>
        <w:t>Revisiting Lorentz violation in Horava gravity</w:t>
      </w:r>
      <w:r>
        <w:rPr>
          <w:rFonts w:ascii="Calibri" w:hAnsi="Calibri"/>
          <w:color w:val="5F6B78"/>
          <w:sz w:val="17"/>
        </w:rPr>
        <w:t>. arXiv:1805.10299. https://arxiv.org/abs/1805.10299</w:t>
      </w:r>
    </w:p>
    <w:p>
      <w:pPr>
        <w:keepLines/>
        <w:spacing w:after="40" w:line="252" w:lineRule="auto"/>
        <w:ind w:left="403" w:hanging="403"/>
      </w:pPr>
      <w:r>
        <w:rPr>
          <w:rFonts w:ascii="Calibri" w:hAnsi="Calibri"/>
          <w:color w:val="000000"/>
          <w:sz w:val="17"/>
        </w:rPr>
        <w:t xml:space="preserve">18. Martin Lüscher. </w:t>
      </w:r>
      <w:r>
        <w:rPr>
          <w:rFonts w:ascii="Calibri" w:hAnsi="Calibri"/>
          <w:i/>
          <w:color w:val="000000"/>
          <w:sz w:val="17"/>
        </w:rPr>
        <w:t>Abelian chiral gauge theories on the lattice with exact gauge invariance</w:t>
      </w:r>
      <w:r>
        <w:rPr>
          <w:rFonts w:ascii="Calibri" w:hAnsi="Calibri"/>
          <w:color w:val="5F6B78"/>
          <w:sz w:val="17"/>
        </w:rPr>
        <w:t>. arXiv:hep-lat/9811032. https://arxiv.org/abs/hep-lat/9811032</w:t>
      </w:r>
    </w:p>
    <w:p>
      <w:pPr>
        <w:keepLines/>
        <w:spacing w:after="40" w:line="252" w:lineRule="auto"/>
        <w:ind w:left="403" w:hanging="403"/>
      </w:pPr>
      <w:r>
        <w:rPr>
          <w:rFonts w:ascii="Calibri" w:hAnsi="Calibri"/>
          <w:color w:val="000000"/>
          <w:sz w:val="17"/>
        </w:rPr>
        <w:t xml:space="preserve">19. Xiao-Gang Wen. </w:t>
      </w:r>
      <w:r>
        <w:rPr>
          <w:rFonts w:ascii="Calibri" w:hAnsi="Calibri"/>
          <w:i/>
          <w:color w:val="000000"/>
          <w:sz w:val="17"/>
        </w:rPr>
        <w:t>A lattice non-perturbative definition of an SO(10) chiral gauge theory and its induced standard model</w:t>
      </w:r>
      <w:r>
        <w:rPr>
          <w:rFonts w:ascii="Calibri" w:hAnsi="Calibri"/>
          <w:color w:val="5F6B78"/>
          <w:sz w:val="17"/>
        </w:rPr>
        <w:t>. arXiv:1305.1045. https://arxiv.org/abs/1305.1045</w:t>
      </w:r>
    </w:p>
    <w:p>
      <w:pPr>
        <w:keepLines/>
        <w:spacing w:after="40" w:line="252" w:lineRule="auto"/>
        <w:ind w:left="403" w:hanging="403"/>
      </w:pPr>
      <w:r>
        <w:rPr>
          <w:rFonts w:ascii="Calibri" w:hAnsi="Calibri"/>
          <w:color w:val="000000"/>
          <w:sz w:val="17"/>
        </w:rPr>
        <w:t xml:space="preserve">20. Ryan Thorngren, John Preskill, Lukasz Fidkowski. </w:t>
      </w:r>
      <w:r>
        <w:rPr>
          <w:rFonts w:ascii="Calibri" w:hAnsi="Calibri"/>
          <w:i/>
          <w:color w:val="000000"/>
          <w:sz w:val="17"/>
        </w:rPr>
        <w:t>Chiral Lattice Gauge Theories from Symmetry Disentanglers</w:t>
      </w:r>
      <w:r>
        <w:rPr>
          <w:rFonts w:ascii="Calibri" w:hAnsi="Calibri"/>
          <w:color w:val="5F6B78"/>
          <w:sz w:val="17"/>
        </w:rPr>
        <w:t>. arXiv:2601.04304. https://arxiv.org/abs/2601.04304</w:t>
      </w:r>
    </w:p>
    <w:p>
      <w:pPr>
        <w:keepLines/>
        <w:spacing w:after="40" w:line="252" w:lineRule="auto"/>
        <w:ind w:left="403" w:hanging="403"/>
      </w:pPr>
      <w:r>
        <w:rPr>
          <w:rFonts w:ascii="Calibri" w:hAnsi="Calibri"/>
          <w:color w:val="000000"/>
          <w:sz w:val="17"/>
        </w:rPr>
        <w:t xml:space="preserve">21. Wilbur Shirley, Carolyn Zhang, Wenjie Ji, Michael Levin. </w:t>
      </w:r>
      <w:r>
        <w:rPr>
          <w:rFonts w:ascii="Calibri" w:hAnsi="Calibri"/>
          <w:i/>
          <w:color w:val="000000"/>
          <w:sz w:val="17"/>
        </w:rPr>
        <w:t>Anomaly-free symmetries with obstructions to gauging and onsiteability</w:t>
      </w:r>
      <w:r>
        <w:rPr>
          <w:rFonts w:ascii="Calibri" w:hAnsi="Calibri"/>
          <w:color w:val="5F6B78"/>
          <w:sz w:val="17"/>
        </w:rPr>
        <w:t>. arXiv:2507.21267. https://arxiv.org/abs/2507.21267</w:t>
      </w:r>
    </w:p>
    <w:p>
      <w:pPr>
        <w:keepLines/>
        <w:spacing w:after="40" w:line="252" w:lineRule="auto"/>
        <w:ind w:left="403" w:hanging="403"/>
      </w:pPr>
      <w:r>
        <w:rPr>
          <w:rFonts w:ascii="Calibri" w:hAnsi="Calibri"/>
          <w:color w:val="000000"/>
          <w:sz w:val="17"/>
        </w:rPr>
        <w:t xml:space="preserve">22. Zheyan Wan, Juven Wang. </w:t>
      </w:r>
      <w:r>
        <w:rPr>
          <w:rFonts w:ascii="Calibri" w:hAnsi="Calibri"/>
          <w:i/>
          <w:color w:val="000000"/>
          <w:sz w:val="17"/>
        </w:rPr>
        <w:t>Beyond Standard Models and Grand Unifications: Anomalies, Topological Terms, and Dynamical Constraints via Cobordisms</w:t>
      </w:r>
      <w:r>
        <w:rPr>
          <w:rFonts w:ascii="Calibri" w:hAnsi="Calibri"/>
          <w:color w:val="5F6B78"/>
          <w:sz w:val="17"/>
        </w:rPr>
        <w:t>. arXiv:1910.14668. https://arxiv.org/abs/1910.14668</w:t>
      </w:r>
    </w:p>
    <w:p>
      <w:pPr>
        <w:keepLines/>
        <w:spacing w:after="40" w:line="252" w:lineRule="auto"/>
        <w:ind w:left="403" w:hanging="403"/>
      </w:pPr>
      <w:r>
        <w:rPr>
          <w:rFonts w:ascii="Calibri" w:hAnsi="Calibri"/>
          <w:color w:val="000000"/>
          <w:sz w:val="17"/>
        </w:rPr>
        <w:t xml:space="preserve">23. K.S. Babu, S. Khan. </w:t>
      </w:r>
      <w:r>
        <w:rPr>
          <w:rFonts w:ascii="Calibri" w:hAnsi="Calibri"/>
          <w:i/>
          <w:color w:val="000000"/>
          <w:sz w:val="17"/>
        </w:rPr>
        <w:t>A Minimal Non-Supersymmetric SO(10) Model: Gauge Coupling Unification, Proton Decay and Fermion masses</w:t>
      </w:r>
      <w:r>
        <w:rPr>
          <w:rFonts w:ascii="Calibri" w:hAnsi="Calibri"/>
          <w:color w:val="5F6B78"/>
          <w:sz w:val="17"/>
        </w:rPr>
        <w:t>. arXiv:1507.06712. https://arxiv.org/abs/1507.06712</w:t>
      </w:r>
    </w:p>
    <w:p>
      <w:pPr>
        <w:keepLines/>
        <w:spacing w:after="40" w:line="252" w:lineRule="auto"/>
        <w:ind w:left="403" w:hanging="403"/>
      </w:pPr>
      <w:r>
        <w:rPr>
          <w:rFonts w:ascii="Calibri" w:hAnsi="Calibri"/>
          <w:color w:val="000000"/>
          <w:sz w:val="17"/>
        </w:rPr>
        <w:t xml:space="preserve">24. Kateřina Jarkovská, Michal Malinský, Vasja Susič. </w:t>
      </w:r>
      <w:r>
        <w:rPr>
          <w:rFonts w:ascii="Calibri" w:hAnsi="Calibri"/>
          <w:i/>
          <w:color w:val="000000"/>
          <w:sz w:val="17"/>
        </w:rPr>
        <w:t>The trouble with the minimal renormalizable SO(10) GUT</w:t>
      </w:r>
      <w:r>
        <w:rPr>
          <w:rFonts w:ascii="Calibri" w:hAnsi="Calibri"/>
          <w:color w:val="5F6B78"/>
          <w:sz w:val="17"/>
        </w:rPr>
        <w:t>. arXiv:2304.14227. https://arxiv.org/abs/2304.14227</w:t>
      </w:r>
    </w:p>
    <w:p>
      <w:pPr>
        <w:keepLines/>
        <w:spacing w:after="40" w:line="252" w:lineRule="auto"/>
        <w:ind w:left="403" w:hanging="403"/>
      </w:pPr>
      <w:r>
        <w:rPr>
          <w:rFonts w:ascii="Calibri" w:hAnsi="Calibri"/>
          <w:color w:val="000000"/>
          <w:sz w:val="17"/>
        </w:rPr>
        <w:t xml:space="preserve">25. Mark P. Hertzberg, McCullen Sandora. </w:t>
      </w:r>
      <w:r>
        <w:rPr>
          <w:rFonts w:ascii="Calibri" w:hAnsi="Calibri"/>
          <w:i/>
          <w:color w:val="000000"/>
          <w:sz w:val="17"/>
        </w:rPr>
        <w:t>Special Relativity from Soft Gravitons</w:t>
      </w:r>
      <w:r>
        <w:rPr>
          <w:rFonts w:ascii="Calibri" w:hAnsi="Calibri"/>
          <w:color w:val="5F6B78"/>
          <w:sz w:val="17"/>
        </w:rPr>
        <w:t>. arXiv:1704.05071. https://arxiv.org/abs/1704.05071</w:t>
      </w:r>
    </w:p>
    <w:p>
      <w:pPr>
        <w:keepLines/>
        <w:spacing w:after="40" w:line="252" w:lineRule="auto"/>
        <w:ind w:left="403" w:hanging="403"/>
      </w:pPr>
      <w:r>
        <w:rPr>
          <w:rFonts w:ascii="Calibri" w:hAnsi="Calibri"/>
          <w:color w:val="000000"/>
          <w:sz w:val="17"/>
        </w:rPr>
        <w:t xml:space="preserve">26. Bruno Nachtergaele, Robert Sims, Amanda Young. </w:t>
      </w:r>
      <w:r>
        <w:rPr>
          <w:rFonts w:ascii="Calibri" w:hAnsi="Calibri"/>
          <w:i/>
          <w:color w:val="000000"/>
          <w:sz w:val="17"/>
        </w:rPr>
        <w:t>Quasi-Locality Bounds for Quantum Lattice Systems. Part I</w:t>
      </w:r>
      <w:r>
        <w:rPr>
          <w:rFonts w:ascii="Calibri" w:hAnsi="Calibri"/>
          <w:color w:val="5F6B78"/>
          <w:sz w:val="17"/>
        </w:rPr>
        <w:t>. arXiv:1810.02428. https://arxiv.org/abs/1810.02428</w:t>
      </w:r>
    </w:p>
    <w:p>
      <w:pPr>
        <w:keepLines/>
        <w:spacing w:after="40" w:line="252" w:lineRule="auto"/>
        <w:ind w:left="403" w:hanging="403"/>
      </w:pPr>
      <w:r>
        <w:rPr>
          <w:rFonts w:ascii="Calibri" w:hAnsi="Calibri"/>
          <w:color w:val="000000"/>
          <w:sz w:val="17"/>
        </w:rPr>
        <w:t xml:space="preserve">27. Ichiro Oda. </w:t>
      </w:r>
      <w:r>
        <w:rPr>
          <w:rFonts w:ascii="Calibri" w:hAnsi="Calibri"/>
          <w:i/>
          <w:color w:val="000000"/>
          <w:sz w:val="17"/>
        </w:rPr>
        <w:t>Weinberg's No Go Theorem in Quantum Gravity</w:t>
      </w:r>
      <w:r>
        <w:rPr>
          <w:rFonts w:ascii="Calibri" w:hAnsi="Calibri"/>
          <w:color w:val="5F6B78"/>
          <w:sz w:val="17"/>
        </w:rPr>
        <w:t>. arXiv:1706.05804. https://arxiv.org/abs/1706.05804</w:t>
      </w:r>
    </w:p>
    <w:p>
      <w:pPr>
        <w:keepLines/>
        <w:spacing w:after="40" w:line="252" w:lineRule="auto"/>
        <w:ind w:left="403" w:hanging="403"/>
      </w:pPr>
      <w:r>
        <w:rPr>
          <w:rFonts w:ascii="Calibri" w:hAnsi="Calibri"/>
          <w:color w:val="000000"/>
          <w:sz w:val="17"/>
        </w:rPr>
        <w:t xml:space="preserve">28. R. Percacci. </w:t>
      </w:r>
      <w:r>
        <w:rPr>
          <w:rFonts w:ascii="Calibri" w:hAnsi="Calibri"/>
          <w:i/>
          <w:color w:val="000000"/>
          <w:sz w:val="17"/>
        </w:rPr>
        <w:t>Unimodular quantum gravity and the cosmological constant</w:t>
      </w:r>
      <w:r>
        <w:rPr>
          <w:rFonts w:ascii="Calibri" w:hAnsi="Calibri"/>
          <w:color w:val="5F6B78"/>
          <w:sz w:val="17"/>
        </w:rPr>
        <w:t>. arXiv:1712.09903. https://arxiv.org/abs/1712.09903</w:t>
      </w:r>
    </w:p>
    <w:p>
      <w:pPr>
        <w:keepLines/>
        <w:spacing w:after="40" w:line="252" w:lineRule="auto"/>
        <w:ind w:left="403" w:hanging="403"/>
      </w:pPr>
      <w:r>
        <w:rPr>
          <w:rFonts w:ascii="Calibri" w:hAnsi="Calibri"/>
          <w:color w:val="000000"/>
          <w:sz w:val="17"/>
        </w:rPr>
        <w:t xml:space="preserve">29. Michael R. Douglas. </w:t>
      </w:r>
      <w:r>
        <w:rPr>
          <w:rFonts w:ascii="Calibri" w:hAnsi="Calibri"/>
          <w:i/>
          <w:color w:val="000000"/>
          <w:sz w:val="17"/>
        </w:rPr>
        <w:t>The statistics of string/M theory vacua</w:t>
      </w:r>
      <w:r>
        <w:rPr>
          <w:rFonts w:ascii="Calibri" w:hAnsi="Calibri"/>
          <w:color w:val="5F6B78"/>
          <w:sz w:val="17"/>
        </w:rPr>
        <w:t>. arXiv:hep-th/0303194. https://arxiv.org/abs/hep-th/0303194</w:t>
      </w:r>
    </w:p>
    <w:p>
      <w:pPr>
        <w:keepLines/>
        <w:spacing w:after="40" w:line="252" w:lineRule="auto"/>
        <w:ind w:left="403" w:hanging="403"/>
      </w:pPr>
      <w:r>
        <w:rPr>
          <w:rFonts w:ascii="Calibri" w:hAnsi="Calibri"/>
          <w:color w:val="000000"/>
          <w:sz w:val="17"/>
        </w:rPr>
        <w:t xml:space="preserve">30. Michael Dine et al.. </w:t>
      </w:r>
      <w:r>
        <w:rPr>
          <w:rFonts w:ascii="Calibri" w:hAnsi="Calibri"/>
          <w:i/>
          <w:color w:val="000000"/>
          <w:sz w:val="17"/>
        </w:rPr>
        <w:t>Obstacles to Constructing de Sitter Space in String Theory</w:t>
      </w:r>
      <w:r>
        <w:rPr>
          <w:rFonts w:ascii="Calibri" w:hAnsi="Calibri"/>
          <w:color w:val="5F6B78"/>
          <w:sz w:val="17"/>
        </w:rPr>
        <w:t>. arXiv:2008.12399. https://arxiv.org/abs/2008.12399</w:t>
      </w:r>
    </w:p>
    <w:p>
      <w:pPr>
        <w:keepLines/>
        <w:spacing w:after="40" w:line="252" w:lineRule="auto"/>
        <w:ind w:left="403" w:hanging="403"/>
      </w:pPr>
      <w:r>
        <w:rPr>
          <w:rFonts w:ascii="Calibri" w:hAnsi="Calibri"/>
          <w:color w:val="000000"/>
          <w:sz w:val="17"/>
        </w:rPr>
        <w:t xml:space="preserve">31. Daniele Oriti. </w:t>
      </w:r>
      <w:r>
        <w:rPr>
          <w:rFonts w:ascii="Calibri" w:hAnsi="Calibri"/>
          <w:i/>
          <w:color w:val="000000"/>
          <w:sz w:val="17"/>
        </w:rPr>
        <w:t>Group field theory as the 2nd quantization of Loop Quantum Gravity</w:t>
      </w:r>
      <w:r>
        <w:rPr>
          <w:rFonts w:ascii="Calibri" w:hAnsi="Calibri"/>
          <w:color w:val="5F6B78"/>
          <w:sz w:val="17"/>
        </w:rPr>
        <w:t>. arXiv:1310.7786. https://arxiv.org/abs/1310.7786</w:t>
      </w:r>
    </w:p>
    <w:p>
      <w:pPr>
        <w:keepLines/>
        <w:spacing w:after="40" w:line="252" w:lineRule="auto"/>
        <w:ind w:left="403" w:hanging="403"/>
      </w:pPr>
      <w:r>
        <w:rPr>
          <w:rFonts w:ascii="Calibri" w:hAnsi="Calibri"/>
          <w:color w:val="000000"/>
          <w:sz w:val="17"/>
        </w:rPr>
        <w:t xml:space="preserve">32. Bruno Benedetti. </w:t>
      </w:r>
      <w:r>
        <w:rPr>
          <w:rFonts w:ascii="Calibri" w:hAnsi="Calibri"/>
          <w:i/>
          <w:color w:val="000000"/>
          <w:sz w:val="17"/>
        </w:rPr>
        <w:t>Discrete Morse Theory for Manifolds with Boundary</w:t>
      </w:r>
      <w:r>
        <w:rPr>
          <w:rFonts w:ascii="Calibri" w:hAnsi="Calibri"/>
          <w:color w:val="5F6B78"/>
          <w:sz w:val="17"/>
        </w:rPr>
        <w:t>. arXiv:1007.3175. https://arxiv.org/abs/1007.3175</w:t>
      </w:r>
    </w:p>
    <w:p>
      <w:pPr>
        <w:pStyle w:val="Heading1"/>
        <w:keepNext/>
      </w:pPr>
      <w:r>
        <w:t>ANNEXE D — Traçabilité</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B2545"/>
                <w:sz w:val="17"/>
              </w:rPr>
              <w:t>Base auditée</w:t>
            </w:r>
          </w:p>
        </w:tc>
        <w:tc>
          <w:tcPr>
            <w:tcW w:type="dxa" w:w="6660"/>
            <w:tcMar>
              <w:top w:w="80" w:type="dxa"/>
              <w:start w:w="120" w:type="dxa"/>
              <w:bottom w:w="80" w:type="dxa"/>
              <w:end w:w="120" w:type="dxa"/>
            </w:tcMar>
            <w:vAlign w:val="center"/>
          </w:tcPr>
          <w:p>
            <w:pPr>
              <w:spacing w:after="0" w:line="252" w:lineRule="auto"/>
            </w:pPr>
            <w:r>
              <w:rPr>
                <w:rFonts w:ascii="Calibri" w:hAnsi="Calibri"/>
                <w:color w:val="000000"/>
                <w:sz w:val="17"/>
              </w:rPr>
              <w:t>master V316 complet full.pdf — 1 585 pages</w:t>
            </w:r>
          </w:p>
        </w:tc>
      </w:tr>
      <w:t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B2545"/>
                <w:sz w:val="17"/>
              </w:rPr>
              <w:t>Empreinte V316</w:t>
            </w:r>
          </w:p>
        </w:tc>
        <w:tc>
          <w:tcPr>
            <w:tcW w:type="dxa" w:w="6660"/>
            <w:tcMar>
              <w:top w:w="80" w:type="dxa"/>
              <w:start w:w="120" w:type="dxa"/>
              <w:bottom w:w="80" w:type="dxa"/>
              <w:end w:w="120" w:type="dxa"/>
            </w:tcMar>
            <w:vAlign w:val="center"/>
          </w:tcPr>
          <w:p>
            <w:pPr>
              <w:spacing w:after="0" w:line="252" w:lineRule="auto"/>
            </w:pPr>
            <w:r>
              <w:rPr>
                <w:rFonts w:ascii="Calibri" w:hAnsi="Calibri"/>
                <w:color w:val="000000"/>
                <w:sz w:val="17"/>
              </w:rPr>
              <w:t>SHA-256 27599df9d2c74aa73c11268497b40ce2484d6f447301f3ec6bde44b6b6f0f995</w:t>
            </w:r>
          </w:p>
        </w:tc>
      </w:tr>
      <w:t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B2545"/>
                <w:sz w:val="17"/>
              </w:rPr>
              <w:t>Méthode</w:t>
            </w:r>
          </w:p>
        </w:tc>
        <w:tc>
          <w:tcPr>
            <w:tcW w:type="dxa" w:w="6660"/>
            <w:tcMar>
              <w:top w:w="80" w:type="dxa"/>
              <w:start w:w="120" w:type="dxa"/>
              <w:bottom w:w="80" w:type="dxa"/>
              <w:end w:w="120" w:type="dxa"/>
            </w:tcMar>
            <w:vAlign w:val="center"/>
          </w:tcPr>
          <w:p>
            <w:pPr>
              <w:spacing w:after="0" w:line="252" w:lineRule="auto"/>
            </w:pPr>
            <w:r>
              <w:rPr>
                <w:rFonts w:ascii="Calibri" w:hAnsi="Calibri"/>
                <w:color w:val="000000"/>
                <w:sz w:val="17"/>
              </w:rPr>
              <w:t>Deux boucles : construction → contre-exemple → réparation → nouvel audit</w:t>
            </w:r>
          </w:p>
        </w:tc>
      </w:tr>
      <w:t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B2545"/>
                <w:sz w:val="17"/>
              </w:rPr>
              <w:t>Statuts</w:t>
            </w:r>
          </w:p>
        </w:tc>
        <w:tc>
          <w:tcPr>
            <w:tcW w:type="dxa" w:w="6660"/>
            <w:tcMar>
              <w:top w:w="80" w:type="dxa"/>
              <w:start w:w="120" w:type="dxa"/>
              <w:bottom w:w="80" w:type="dxa"/>
              <w:end w:w="120" w:type="dxa"/>
            </w:tcMar>
            <w:vAlign w:val="center"/>
          </w:tcPr>
          <w:p>
            <w:pPr>
              <w:spacing w:after="0" w:line="252" w:lineRule="auto"/>
            </w:pPr>
            <w:r>
              <w:rPr>
                <w:rFonts w:ascii="Calibri" w:hAnsi="Calibri"/>
                <w:color w:val="000000"/>
                <w:sz w:val="17"/>
              </w:rPr>
              <w:t>[T] théorème; [T-C] théorème conditionnel; [FAIL] réfutation; [EMP] résultat externe requis</w:t>
            </w:r>
          </w:p>
        </w:tc>
      </w:tr>
      <w:tr>
        <w:tc>
          <w:tcPr>
            <w:tcW w:type="dxa" w:w="2700"/>
            <w:tcMar>
              <w:top w:w="80" w:type="dxa"/>
              <w:start w:w="120" w:type="dxa"/>
              <w:bottom w:w="80" w:type="dxa"/>
              <w:end w:w="120" w:type="dxa"/>
            </w:tcMar>
            <w:vAlign w:val="center"/>
            <w:shd w:fill="F2F4F7"/>
          </w:tcPr>
          <w:p>
            <w:pPr>
              <w:spacing w:after="0" w:line="252" w:lineRule="auto"/>
            </w:pPr>
            <w:r>
              <w:rPr>
                <w:rFonts w:ascii="Calibri" w:hAnsi="Calibri"/>
                <w:b/>
                <w:color w:val="0B2545"/>
                <w:sz w:val="17"/>
              </w:rPr>
              <w:t>Gel scientifique</w:t>
            </w:r>
          </w:p>
        </w:tc>
        <w:tc>
          <w:tcPr>
            <w:tcW w:type="dxa" w:w="6660"/>
            <w:tcMar>
              <w:top w:w="80" w:type="dxa"/>
              <w:start w:w="120" w:type="dxa"/>
              <w:bottom w:w="80" w:type="dxa"/>
              <w:end w:w="120" w:type="dxa"/>
            </w:tcMar>
            <w:vAlign w:val="center"/>
          </w:tcPr>
          <w:p>
            <w:pPr>
              <w:spacing w:after="0" w:line="252" w:lineRule="auto"/>
            </w:pPr>
            <w:r>
              <w:rPr>
                <w:rFonts w:ascii="Calibri" w:hAnsi="Calibri"/>
                <w:color w:val="000000"/>
                <w:sz w:val="17"/>
              </w:rPr>
              <w:t>29 juillet 2026 — aucune promotion sans certificat complet</w:t>
            </w:r>
          </w:p>
        </w:tc>
      </w:tr>
    </w:tbl>
    <w:p>
      <w:pPr>
        <w:keepLines w:val="0"/>
        <w:spacing w:before="0" w:after="40" w:line="300" w:lineRule="auto"/>
        <w:jc w:val="left"/>
      </w:pPr>
      <w:r>
        <w:rPr>
          <w:rFonts w:ascii="Calibri" w:hAnsi="Calibri"/>
          <w:b w:val="0"/>
          <w:i w:val="0"/>
          <w:color w:val="000000"/>
          <w:sz w:val="22"/>
        </w:rPr>
      </w:r>
    </w:p>
    <w:p>
      <w:pPr>
        <w:keepLines w:val="0"/>
        <w:spacing w:before="0" w:after="120" w:line="300" w:lineRule="auto"/>
        <w:jc w:val="left"/>
      </w:pPr>
      <w:r>
        <w:rPr>
          <w:rFonts w:ascii="Calibri" w:hAnsi="Calibri"/>
          <w:b w:val="0"/>
          <w:i w:val="0"/>
          <w:color w:val="000000"/>
          <w:sz w:val="22"/>
        </w:rPr>
        <w:t>Le bundle livré contient le présent DOCX, sa version PDF rendue, le script de construction, le vérificateur exact, la sortie de vérification, un README et un manifeste SHA-256. Le PDF V316 source n’est pas dupliqué dans le bundle afin de préserver son identité et d’éviter un paquet inutilement lourd.</w:t>
      </w:r>
    </w:p>
    <w:sectPr w:rsidR="00FC693F" w:rsidRPr="0006063C" w:rsidSect="00034616">
      <w:headerReference w:type="default" r:id="rId11"/>
      <w:footerReference w:type="default" r:id="rId12"/>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A8B4C2"/>
      </w:pBdr>
    </w:pPr>
    <w:r>
      <w:rPr>
        <w:rFonts w:ascii="Calibri" w:hAnsi="Calibri"/>
        <w:b/>
        <w:color w:val="5F6B78"/>
        <w:sz w:val="16"/>
      </w:rPr>
      <w:t>BLOB–TOE V317–RIGOR   |   DOSSIER DE RECHERCHE CONTRADICTOIRE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A8B4C2"/>
      </w:pBdr>
    </w:pPr>
    <w:r>
      <w:rPr>
        <w:rFonts w:ascii="Calibri" w:hAnsi="Calibri"/>
        <w:b/>
        <w:color w:val="5F6B78"/>
        <w:sz w:val="16"/>
      </w:rPr>
      <w:t>BLOB–TOE V317–RIGOR   |   PREUVES, VETO ET PORTES G0–G6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BLOB–TOE V317–RIGOR — Renforcement mathématique</dc:title>
  <dc:subject>RG de Feshbach–Schur, CAP, continuum OS/RAQ et portes G0–G6</dc:subject>
  <dc:creator>Rudolphe Mirante; formalisation et audit Sentius</dc:creator>
  <cp:keywords>BLOB, M2-W, ToE, renormalisation, Feshbach-Schur, Osterwalder-Schrader, CAP</cp:keywords>
  <dc:description>Statut honnête : 0/7 portes physiques validées au gel V317.</dc:description>
  <cp:lastModifiedBy/>
  <cp:revision>1</cp:revision>
  <dcterms:created xsi:type="dcterms:W3CDTF">2013-12-23T23:15:00Z</dcterms:created>
  <dcterms:modified xsi:type="dcterms:W3CDTF">2013-12-23T23:15:00Z</dcterms:modified>
  <cp:category/>
</cp:coreProperties>
</file>