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60"/>
      </w:pPr>
      <w:r>
        <w:rPr>
          <w:rFonts w:ascii="Calibri" w:hAnsi="Calibri"/>
          <w:b/>
          <w:color w:val="0B2545"/>
          <w:sz w:val="47"/>
        </w:rPr>
        <w:t>M2-W - Théorème GEN-WELLPOSED</w:t>
      </w:r>
    </w:p>
    <w:p>
      <w:pPr>
        <w:keepNext/>
        <w:spacing w:before="0" w:after="240"/>
      </w:pPr>
      <w:r>
        <w:rPr>
          <w:rFonts w:ascii="Calibri" w:hAnsi="Calibri"/>
          <w:i/>
          <w:color w:val="5F6B78"/>
          <w:sz w:val="25"/>
        </w:rPr>
        <w:t>Normalisation, quotient par automorphismes, non-explosion et auto-adjonction</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Programme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Blob Principle - Modèle M2-W</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Porte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GEN-WELLPOSED - la dynamique existe-t-elle après retrait du cutoff ?</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Verdict</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[T conditionnel] existence, non-explosion et auto-adjonction pour KIN-BND</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Point ouvert</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Finitude de l'entropie pondérée s_+ sur les triangulations T³ admises</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Correction</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KIN-FLAT cesse d'être le candidat par défaut; KIN-MET porte la branche certifiée</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Date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27 juillet 2026</w:t>
            </w:r>
          </w:p>
        </w:tc>
      </w:tr>
    </w:tbl>
    <w:p>
      <w:pPr>
        <w:keepLines w:val="0"/>
        <w:spacing w:before="0" w:after="4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Décision. </w:t>
            </w:r>
            <w:r>
              <w:rPr>
                <w:rFonts w:ascii="Calibri" w:hAnsi="Calibri"/>
                <w:color w:val="0B2545"/>
                <w:sz w:val="22"/>
              </w:rPr>
              <w:t>À cutoff fini, GEN-WELLPOSED est triviale. Au retrait du cutoff, elle se scinde. La normalisabilité grand-canonique est exactement gouvernée par une entropie microcanonique pondérée s_+, encore inconnue pour l'ensemble T³ choisi. En revanche, une cinétique réversible à taux bornés ferme algébriquement le quotient 1/|Aut|, la non-explosion et l'auto-adjonction essentielle. La branche certifiée est KIN-BND, avec Metropolis continu comme représentant minimal. KIN-FLAT n'est pas réfuté, mais il ne porte plus la construction tant que ses taux non bornés ne sont pas contrôlés.</w:t>
            </w:r>
          </w:p>
        </w:tc>
      </w:tr>
    </w:tbl>
    <w:p>
      <w:pPr>
        <w:keepLines w:val="0"/>
        <w:spacing w:before="0" w:after="40" w:line="264" w:lineRule="auto"/>
        <w:jc w:val="left"/>
      </w:pPr>
      <w:r>
        <w:rPr>
          <w:rFonts w:ascii="Calibri" w:hAnsi="Calibri"/>
          <w:b w:val="0"/>
          <w:i w:val="0"/>
          <w:color w:val="000000"/>
          <w:sz w:val="22"/>
        </w:rPr>
      </w:r>
    </w:p>
    <w:p>
      <w:pPr>
        <w:pStyle w:val="Heading1"/>
        <w:keepNext/>
      </w:pPr>
      <w:r>
        <w:t>Carte des verdicts</w:t>
      </w:r>
    </w:p>
    <w:tbl>
      <w:tblPr>
        <w:tblW w:type="dxa" w:w="9360"/>
        <w:tblLayout w:type="fixed"/>
        <w:tblLook w:firstColumn="1" w:firstRow="1" w:lastColumn="0" w:lastRow="0" w:noHBand="0" w:noVBand="1" w:val="04A0"/>
        <w:jc w:val="left"/>
        <w:tblInd w:w="120" w:type="dxa"/>
      </w:tblPr>
      <w:tblGrid>
        <w:gridCol w:w="1200"/>
        <w:gridCol w:w="3660"/>
        <w:gridCol w:w="4500"/>
      </w:tblGrid>
      <w:tr>
        <w:trPr>
          <w:tblHeader w:val="true"/>
        </w:trPr>
        <w:tc>
          <w:tcPr>
            <w:tcW w:type="dxa" w:w="1200"/>
            <w:tcMar>
              <w:top w:w="80" w:type="dxa"/>
              <w:start w:w="120" w:type="dxa"/>
              <w:bottom w:w="80" w:type="dxa"/>
              <w:end w:w="120" w:type="dxa"/>
            </w:tcMar>
            <w:vAlign w:val="center"/>
            <w:shd w:fill="E8EEF5"/>
          </w:tcPr>
          <w:p>
            <w:pPr>
              <w:spacing w:after="0"/>
              <w:jc w:val="center"/>
            </w:pPr>
            <w:r>
              <w:rPr>
                <w:rFonts w:ascii="Calibri" w:hAnsi="Calibri"/>
                <w:b/>
                <w:color w:val="0B2545"/>
                <w:sz w:val="20"/>
              </w:rPr>
              <w:t>Statut</w:t>
            </w:r>
          </w:p>
        </w:tc>
        <w:tc>
          <w:tcPr>
            <w:tcW w:type="dxa" w:w="3660"/>
            <w:tcMar>
              <w:top w:w="80" w:type="dxa"/>
              <w:start w:w="120" w:type="dxa"/>
              <w:bottom w:w="80" w:type="dxa"/>
              <w:end w:w="120" w:type="dxa"/>
            </w:tcMar>
            <w:vAlign w:val="center"/>
            <w:shd w:fill="E8EEF5"/>
          </w:tcPr>
          <w:p>
            <w:pPr>
              <w:spacing w:after="0"/>
              <w:jc w:val="left"/>
            </w:pPr>
            <w:r>
              <w:rPr>
                <w:rFonts w:ascii="Calibri" w:hAnsi="Calibri"/>
                <w:b/>
                <w:color w:val="0B2545"/>
                <w:sz w:val="20"/>
              </w:rPr>
              <w:t>Objet</w:t>
            </w:r>
          </w:p>
        </w:tc>
        <w:tc>
          <w:tcPr>
            <w:tcW w:type="dxa" w:w="4500"/>
            <w:tcMar>
              <w:top w:w="80" w:type="dxa"/>
              <w:start w:w="120" w:type="dxa"/>
              <w:bottom w:w="80" w:type="dxa"/>
              <w:end w:w="120" w:type="dxa"/>
            </w:tcMar>
            <w:vAlign w:val="center"/>
            <w:shd w:fill="E8EEF5"/>
          </w:tcPr>
          <w:p>
            <w:pPr>
              <w:spacing w:after="0"/>
              <w:jc w:val="left"/>
            </w:pPr>
            <w:r>
              <w:rPr>
                <w:rFonts w:ascii="Calibri" w:hAnsi="Calibri"/>
                <w:b/>
                <w:color w:val="0B2545"/>
                <w:sz w:val="20"/>
              </w:rPr>
              <w:t>Conclusion</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FERMÉ [T]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NORM-ROOT</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Le rayon de convergence donne le seuil chimique exact μ_c.</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9B1C1C"/>
                <w:sz w:val="18"/>
              </w:rPr>
              <w:t>OUVERT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NORM-M2W</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La finitude de s_+ n'est pas démontrée pour l'ensemble T³ non restreint.</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FERMÉ [T]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AUT-LIFT</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Un relèvement étiqueté reproduit exactement le facteur 1/|Aut|.</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FERMÉ [T]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NONEXP-BND</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Des taux bornés et au plus 6N₃ canaux excluent toute explosion.</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FERMÉ [T]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ESA-BND</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Le Hamiltonien est essentiellement auto-adjoint sur le domaine fini.</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7A5A00"/>
                <w:sz w:val="18"/>
              </w:rPr>
              <w:t>NON CERTIFIÉ</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KIN-FLAT</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Ses taux peuvent diverger; les preuves NONEXP et ESA ne s'appliquent pas.</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7A5A00"/>
                <w:sz w:val="18"/>
              </w:rPr>
              <w:t>CONDITIONNEL</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GEN-WELLPOSED</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Fermée sous A20-A25; le seul verrou externe restant est s_+&lt;∞.</w:t>
            </w:r>
          </w:p>
        </w:tc>
      </w:tr>
    </w:tbl>
    <w:p>
      <w:pPr>
        <w:keepLines w:val="0"/>
        <w:spacing w:before="0" w:after="40" w:line="264" w:lineRule="auto"/>
        <w:jc w:val="left"/>
      </w:pPr>
      <w:r>
        <w:rPr>
          <w:rFonts w:ascii="Calibri" w:hAnsi="Calibri"/>
          <w:b w:val="0"/>
          <w:i w:val="0"/>
          <w:color w:val="000000"/>
          <w:sz w:val="22"/>
        </w:rPr>
      </w:r>
    </w:p>
    <w:p>
      <w:pPr>
        <w:pStyle w:val="Heading1"/>
        <w:keepNext/>
      </w:pPr>
      <w:r>
        <w:t>Mesure exacte et hypothèses minimales</w:t>
      </w:r>
    </w:p>
    <w:p>
      <w:pPr>
        <w:keepLines w:val="0"/>
        <w:spacing w:before="0" w:after="120" w:line="264" w:lineRule="auto"/>
        <w:jc w:val="left"/>
      </w:pPr>
      <w:r>
        <w:rPr>
          <w:rFonts w:ascii="Calibri" w:hAnsi="Calibri"/>
          <w:b w:val="0"/>
          <w:i w:val="0"/>
          <w:color w:val="000000"/>
          <w:sz w:val="22"/>
        </w:rPr>
        <w:t>Soit Ω_N l'ensemble fini des classes d'isomorphisme de triangulations simpliciales fermées de T³ à N=N₃ tétraèdres. Pour chaque arête e, n_e est sa coordination. La mesure de tranche analysée est</w:t>
      </w:r>
    </w:p>
    <w:p>
      <w:pPr>
        <w:keepLines/>
        <w:spacing w:before="60" w:after="140" w:line="240" w:lineRule="auto"/>
        <w:jc w:val="center"/>
      </w:pPr>
      <w:r>
        <w:rPr>
          <w:rFonts w:ascii="Cambria Math" w:hAnsi="Cambria Math"/>
          <w:color w:val="0B2545"/>
          <w:sz w:val="22"/>
        </w:rPr>
        <w:t>L(Σ)=Σ_e log(1+n_e),   D(Σ)=Σ_e(n_e-d_*)²,                                 (1)</w:t>
      </w:r>
    </w:p>
    <w:p>
      <w:pPr>
        <w:keepLines/>
        <w:spacing w:before="60" w:after="140" w:line="240" w:lineRule="auto"/>
        <w:jc w:val="center"/>
      </w:pPr>
      <w:r>
        <w:rPr>
          <w:rFonts w:ascii="Cambria Math" w:hAnsi="Cambria Math"/>
          <w:color w:val="0B2545"/>
          <w:sz w:val="22"/>
        </w:rPr>
        <w:t>π_μ(Σ)=Z(μ)^-1 |Aut(Σ)|^-1 exp{[αL(Σ)-bD(Σ)-μN]/τ}.                              (2)</w:t>
      </w:r>
    </w:p>
    <w:p>
      <w:pPr>
        <w:keepLines w:val="0"/>
        <w:spacing w:before="0" w:after="120" w:line="264" w:lineRule="auto"/>
        <w:jc w:val="left"/>
      </w:pPr>
      <w:r>
        <w:rPr>
          <w:rFonts w:ascii="Calibri" w:hAnsi="Calibri"/>
          <w:b w:val="0"/>
          <w:i w:val="0"/>
          <w:color w:val="000000"/>
          <w:sz w:val="22"/>
        </w:rPr>
        <w:t>On suppose τ&gt;0, α≥0 et b≥0. Les preuves utilisent des complexes simpliciaux honnêtes : le lien de toute arête est un cercle simplicial, donc n_e≥3. Si le code autorise des pseudo-triangulations avec auto-identifications, cette hypothèse doit être remplacée et les constantes recalculées.</w:t>
      </w:r>
    </w:p>
    <w:p>
      <w:pPr>
        <w:pStyle w:val="Heading1"/>
        <w:keepNext/>
      </w:pPr>
      <w:r>
        <w:t>Lemme d'incidence - toutes les complexités sont linéaires</w:t>
      </w:r>
    </w:p>
    <w:p>
      <w:pPr>
        <w:keepLines w:val="0"/>
        <w:spacing w:before="0" w:after="120" w:line="264" w:lineRule="auto"/>
        <w:jc w:val="left"/>
      </w:pPr>
      <w:r>
        <w:rPr>
          <w:rFonts w:ascii="Calibri" w:hAnsi="Calibri"/>
          <w:b w:val="0"/>
          <w:i w:val="0"/>
          <w:color w:val="000000"/>
          <w:sz w:val="22"/>
        </w:rPr>
        <w:t>Pour une 3-variété fermée, chaque triangle appartient à deux tétraèdres et χ(T³)=0. Par double comptage et Euler,</w:t>
      </w:r>
    </w:p>
    <w:p>
      <w:pPr>
        <w:keepLines/>
        <w:spacing w:before="60" w:after="140" w:line="240" w:lineRule="auto"/>
        <w:jc w:val="center"/>
      </w:pPr>
      <w:r>
        <w:rPr>
          <w:rFonts w:ascii="Cambria Math" w:hAnsi="Cambria Math"/>
          <w:color w:val="0B2545"/>
          <w:sz w:val="22"/>
        </w:rPr>
        <w:t>N₂=2N,   N₁=N₀+N,   Σ_e n_e=6N.                                        (3)</w:t>
      </w:r>
    </w:p>
    <w:p>
      <w:pPr>
        <w:keepLines w:val="0"/>
        <w:spacing w:before="0" w:after="120" w:line="264" w:lineRule="auto"/>
        <w:jc w:val="left"/>
      </w:pPr>
      <w:r>
        <w:rPr>
          <w:rFonts w:ascii="Calibri" w:hAnsi="Calibri"/>
          <w:b w:val="0"/>
          <w:i w:val="0"/>
          <w:color w:val="000000"/>
          <w:sz w:val="22"/>
        </w:rPr>
        <w:t>Comme n_e≥3, 3N₁≤6N. Par conséquent</w:t>
      </w:r>
    </w:p>
    <w:p>
      <w:pPr>
        <w:keepLines/>
        <w:spacing w:before="60" w:after="140" w:line="240" w:lineRule="auto"/>
        <w:jc w:val="center"/>
      </w:pPr>
      <w:r>
        <w:rPr>
          <w:rFonts w:ascii="Cambria Math" w:hAnsi="Cambria Math"/>
          <w:color w:val="0B2545"/>
          <w:sz w:val="22"/>
        </w:rPr>
        <w:t>N₁≤2N   et   N₀≤N.                                               (4)</w:t>
      </w:r>
    </w:p>
    <w:p>
      <w:pPr>
        <w:keepLines w:val="0"/>
        <w:spacing w:before="0" w:after="120" w:line="264" w:lineRule="auto"/>
        <w:jc w:val="left"/>
      </w:pPr>
      <w:r>
        <w:rPr>
          <w:rFonts w:ascii="Calibri" w:hAnsi="Calibri"/>
          <w:b w:val="0"/>
          <w:i w:val="0"/>
          <w:color w:val="000000"/>
          <w:sz w:val="22"/>
        </w:rPr>
        <w:t>Jensen donne ensuite, avec x=N₁/N≤2,</w:t>
      </w:r>
    </w:p>
    <w:p>
      <w:pPr>
        <w:keepLines/>
        <w:spacing w:before="60" w:after="140" w:line="240" w:lineRule="auto"/>
        <w:jc w:val="center"/>
      </w:pPr>
      <w:r>
        <w:rPr>
          <w:rFonts w:ascii="Cambria Math" w:hAnsi="Cambria Math"/>
          <w:color w:val="0B2545"/>
          <w:sz w:val="22"/>
        </w:rPr>
        <w:t>L≤N₁ log(1+6N/N₁) =N x log(1+6/x) ≤2N log 4.                                           (5)</w:t>
      </w:r>
    </w:p>
    <w:p>
      <w:pPr>
        <w:keepLines/>
        <w:spacing w:before="0" w:after="120" w:line="264" w:lineRule="auto"/>
      </w:pPr>
      <w:r>
        <w:rPr>
          <w:rFonts w:ascii="Calibri" w:hAnsi="Calibri"/>
          <w:b/>
          <w:color w:val="0B2545"/>
          <w:sz w:val="22"/>
        </w:rPr>
        <w:t xml:space="preserve">Justification du dernier maximum. </w:t>
      </w:r>
      <w:r>
        <w:rPr>
          <w:rFonts w:ascii="Calibri" w:hAnsi="Calibri"/>
          <w:color w:val="000000"/>
          <w:sz w:val="22"/>
        </w:rPr>
        <w:t>La dérivée de x log(1+6/x) est log(1+6/x)-6/(x+6)&gt;0; la fonction est croissante et atteint donc son maximum admissible en x=2.</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4F7"/>
          </w:tcPr>
          <w:p>
            <w:pPr>
              <w:spacing w:before="60" w:after="60" w:line="264" w:lineRule="auto"/>
            </w:pPr>
            <w:r>
              <w:rPr>
                <w:rFonts w:ascii="Calibri" w:hAnsi="Calibri"/>
                <w:b/>
                <w:color w:val="0B2545"/>
                <w:sz w:val="22"/>
              </w:rPr>
              <w:t xml:space="preserve">Conséquence. </w:t>
            </w:r>
            <w:r>
              <w:rPr>
                <w:rFonts w:ascii="Calibri" w:hAnsi="Calibri"/>
                <w:color w:val="0B2545"/>
                <w:sz w:val="22"/>
              </w:rPr>
              <w:t>Le terme logarithmique positif est au plus extensif. Le terme -bD ne peut qu'abaisser le poids. Le danger de normalisation ne vient donc pas d'une configuration individuelle, mais du nombre pondéré de triangulations.</w:t>
            </w:r>
          </w:p>
        </w:tc>
      </w:tr>
    </w:tbl>
    <w:p>
      <w:pPr>
        <w:keepLines w:val="0"/>
        <w:spacing w:before="0" w:after="40" w:line="264" w:lineRule="auto"/>
        <w:jc w:val="left"/>
      </w:pPr>
      <w:r>
        <w:rPr>
          <w:rFonts w:ascii="Calibri" w:hAnsi="Calibri"/>
          <w:b w:val="0"/>
          <w:i w:val="0"/>
          <w:color w:val="000000"/>
          <w:sz w:val="22"/>
        </w:rPr>
      </w:r>
    </w:p>
    <w:p>
      <w:pPr>
        <w:pStyle w:val="Heading1"/>
        <w:keepNext/>
      </w:pPr>
      <w:r>
        <w:t>Théorème NORM-ROOT - seuil chimique exact</w:t>
      </w:r>
    </w:p>
    <w:p>
      <w:pPr>
        <w:keepLines w:val="0"/>
        <w:spacing w:before="0" w:after="120" w:line="264" w:lineRule="auto"/>
        <w:jc w:val="left"/>
      </w:pPr>
      <w:r>
        <w:rPr>
          <w:rFonts w:ascii="Calibri" w:hAnsi="Calibri"/>
          <w:b w:val="0"/>
          <w:i w:val="0"/>
          <w:color w:val="000000"/>
          <w:sz w:val="22"/>
        </w:rPr>
        <w:t>Retirons seulement le terme de volume et définissons la fonction microcanonique pondérée</w:t>
      </w:r>
    </w:p>
    <w:p>
      <w:pPr>
        <w:keepLines/>
        <w:spacing w:before="60" w:after="140" w:line="240" w:lineRule="auto"/>
        <w:jc w:val="center"/>
      </w:pPr>
      <w:r>
        <w:rPr>
          <w:rFonts w:ascii="Cambria Math" w:hAnsi="Cambria Math"/>
          <w:color w:val="0B2545"/>
          <w:sz w:val="22"/>
        </w:rPr>
        <w:t>A_N=Σ_{Σ∈Ω_N}|Aut(Σ)|^-1 exp{[αL(Σ)-bD(Σ)]/τ}.                                (6)</w:t>
      </w:r>
    </w:p>
    <w:p>
      <w:pPr>
        <w:keepLines/>
        <w:spacing w:before="60" w:after="140" w:line="240" w:lineRule="auto"/>
        <w:jc w:val="center"/>
      </w:pPr>
      <w:r>
        <w:rPr>
          <w:rFonts w:ascii="Cambria Math" w:hAnsi="Cambria Math"/>
          <w:color w:val="0B2545"/>
          <w:sz w:val="22"/>
        </w:rPr>
        <w:t>Z(μ)=Σ_{N≥N_min} A_N exp(-μN/τ).                      (7)</w:t>
      </w:r>
    </w:p>
    <w:p>
      <w:pPr>
        <w:keepLines w:val="0"/>
        <w:spacing w:before="0" w:after="120" w:line="264" w:lineRule="auto"/>
        <w:jc w:val="left"/>
      </w:pPr>
      <w:r>
        <w:rPr>
          <w:rFonts w:ascii="Calibri" w:hAnsi="Calibri"/>
          <w:b w:val="0"/>
          <w:i w:val="0"/>
          <w:color w:val="000000"/>
          <w:sz w:val="22"/>
        </w:rPr>
        <w:t>Posons l'abscisse d'entropie</w:t>
      </w:r>
    </w:p>
    <w:p>
      <w:pPr>
        <w:keepLines/>
        <w:spacing w:before="60" w:after="140" w:line="240" w:lineRule="auto"/>
        <w:jc w:val="center"/>
      </w:pPr>
      <w:r>
        <w:rPr>
          <w:rFonts w:ascii="Cambria Math" w:hAnsi="Cambria Math"/>
          <w:color w:val="0B2545"/>
          <w:sz w:val="22"/>
        </w:rPr>
        <w:t>s_+=limsup_{N→∞} N^-1 log A_N ∈[-∞,+∞].                                            (8)</w:t>
      </w:r>
    </w:p>
    <w:p>
      <w:pPr>
        <w:keepLines w:val="0"/>
        <w:spacing w:before="0" w:after="120" w:line="264" w:lineRule="auto"/>
        <w:jc w:val="left"/>
      </w:pPr>
      <w:r>
        <w:rPr>
          <w:rFonts w:ascii="Calibri" w:hAnsi="Calibri"/>
          <w:b w:val="0"/>
          <w:i w:val="0"/>
          <w:color w:val="000000"/>
          <w:sz w:val="22"/>
        </w:rPr>
        <w:t>La convention est log(0)=-∞ lorsque aucune triangulation admissible n'existe à un volume donné.</w:t>
      </w:r>
    </w:p>
    <w:p>
      <w:pPr>
        <w:spacing w:before="0" w:after="120" w:line="264" w:lineRule="auto"/>
      </w:pPr>
      <w:r>
        <w:rPr>
          <w:rFonts w:ascii="Calibri" w:hAnsi="Calibri"/>
          <w:b/>
          <w:color w:val="000000"/>
          <w:sz w:val="22"/>
        </w:rPr>
        <w:t xml:space="preserve">Convergence. </w:t>
      </w:r>
      <w:r>
        <w:rPr>
          <w:rFonts w:ascii="Calibri" w:hAnsi="Calibri"/>
          <w:color w:val="000000"/>
          <w:sz w:val="22"/>
        </w:rPr>
        <w:t>Si s_+&lt;∞, Z(μ)&lt;∞ pour μ&gt;τs_+ et Z(μ)=∞ pour μ&lt;τs_+. Au point μ=τs_+, le test de la racine ne tranche pas.</w:t>
      </w:r>
    </w:p>
    <w:p>
      <w:pPr>
        <w:spacing w:before="0" w:after="120" w:line="264" w:lineRule="auto"/>
      </w:pPr>
      <w:r>
        <w:rPr>
          <w:rFonts w:ascii="Calibri" w:hAnsi="Calibri"/>
          <w:b/>
          <w:color w:val="000000"/>
          <w:sz w:val="22"/>
        </w:rPr>
        <w:t xml:space="preserve">Cas rédhibitoire. </w:t>
      </w:r>
      <w:r>
        <w:rPr>
          <w:rFonts w:ascii="Calibri" w:hAnsi="Calibri"/>
          <w:color w:val="000000"/>
          <w:sz w:val="22"/>
        </w:rPr>
        <w:t>Si s_+=∞, aucun potentiel chimique linéaire fini ne normalise la mesure.</w:t>
      </w:r>
    </w:p>
    <w:p>
      <w:pPr>
        <w:pStyle w:val="Heading2"/>
        <w:keepNext/>
      </w:pPr>
      <w:r>
        <w:t>Preuve</w:t>
      </w:r>
    </w:p>
    <w:p>
      <w:pPr>
        <w:keepLines w:val="0"/>
        <w:spacing w:before="0" w:after="120" w:line="264" w:lineRule="auto"/>
        <w:jc w:val="left"/>
      </w:pPr>
      <w:r>
        <w:rPr>
          <w:rFonts w:ascii="Calibri" w:hAnsi="Calibri"/>
          <w:b w:val="0"/>
          <w:i w:val="0"/>
          <w:color w:val="000000"/>
          <w:sz w:val="22"/>
        </w:rPr>
        <w:t>La série (7) est une série entière en z=exp(-μ/τ), de coefficients A_N≥0. Cauchy-Hadamard donne un rayon R=(limsup A_N^(1/N))^-1=exp(-s_+). Les deux conclusions suivent de z&lt;R et z&gt;R. Rien de numérique n'entre dans ce théorème.</w:t>
      </w:r>
    </w:p>
    <w:p>
      <w:pPr>
        <w:pStyle w:val="Heading1"/>
        <w:keepNext/>
      </w:pPr>
      <w:r>
        <w:t>Corollaire conditionnel - ce qu'il suffit de compter</w:t>
      </w:r>
    </w:p>
    <w:p>
      <w:pPr>
        <w:keepLines w:val="0"/>
        <w:spacing w:before="0" w:after="120" w:line="264" w:lineRule="auto"/>
        <w:jc w:val="left"/>
      </w:pPr>
      <w:r>
        <w:rPr>
          <w:rFonts w:ascii="Calibri" w:hAnsi="Calibri"/>
          <w:b w:val="0"/>
          <w:i w:val="0"/>
          <w:color w:val="000000"/>
          <w:sz w:val="22"/>
        </w:rPr>
        <w:t>Si le nombre non pondéré de triangulations admissibles vérifie |Ω_N|≤C exp(κN), alors (5), D≥0 et |Aut|≥1 donnent</w:t>
      </w:r>
    </w:p>
    <w:p>
      <w:pPr>
        <w:keepLines/>
        <w:spacing w:before="60" w:after="140" w:line="240" w:lineRule="auto"/>
        <w:jc w:val="center"/>
      </w:pPr>
      <w:r>
        <w:rPr>
          <w:rFonts w:ascii="Cambria Math" w:hAnsi="Cambria Math"/>
          <w:color w:val="0B2545"/>
          <w:sz w:val="22"/>
        </w:rPr>
        <w:t>A_N≤C exp{[κ+2α log(4)/τ]N},                           (9)</w:t>
      </w:r>
    </w:p>
    <w:p>
      <w:pPr>
        <w:keepLines/>
        <w:spacing w:before="60" w:after="140" w:line="240" w:lineRule="auto"/>
        <w:jc w:val="center"/>
      </w:pPr>
      <w:r>
        <w:rPr>
          <w:rFonts w:ascii="Cambria Math" w:hAnsi="Cambria Math"/>
          <w:color w:val="0B2545"/>
          <w:sz w:val="22"/>
        </w:rPr>
        <w:t>μ&gt;τκ+2α log 4   ⇒   Z(μ)&lt;∞.                                            (10)</w:t>
      </w:r>
    </w:p>
    <w:p>
      <w:pPr>
        <w:keepLines w:val="0"/>
        <w:spacing w:before="0" w:after="120" w:line="264" w:lineRule="auto"/>
        <w:jc w:val="left"/>
      </w:pPr>
      <w:r>
        <w:rPr>
          <w:rFonts w:ascii="Calibri" w:hAnsi="Calibri"/>
          <w:b w:val="0"/>
          <w:i w:val="0"/>
          <w:color w:val="000000"/>
          <w:sz w:val="22"/>
        </w:rPr>
        <w:t>Mais l'énumération brute par appariement des 4N faces donne seulement la borne universelle</w:t>
      </w:r>
    </w:p>
    <w:p>
      <w:pPr>
        <w:keepLines/>
        <w:spacing w:before="60" w:after="140" w:line="240" w:lineRule="auto"/>
        <w:jc w:val="center"/>
      </w:pPr>
      <w:r>
        <w:rPr>
          <w:rFonts w:ascii="Cambria Math" w:hAnsi="Cambria Math"/>
          <w:color w:val="0B2545"/>
          <w:sz w:val="22"/>
        </w:rPr>
        <w:t>|Ω_N|≤(4N-1)!! 6^(2N) =exp[2N log N+O(N)],                                 (11)</w:t>
      </w:r>
    </w:p>
    <w:p>
      <w:pPr>
        <w:keepLines w:val="0"/>
        <w:spacing w:before="0" w:after="120" w:line="264" w:lineRule="auto"/>
        <w:jc w:val="left"/>
      </w:pPr>
      <w:r>
        <w:rPr>
          <w:rFonts w:ascii="Calibri" w:hAnsi="Calibri"/>
          <w:b w:val="0"/>
          <w:i w:val="0"/>
          <w:color w:val="000000"/>
          <w:sz w:val="22"/>
        </w:rPr>
        <w:t>qui est superexponentielle et ne suffit pas à établir s_+&lt;∞. Des bornes exponentielles existent pour certaines classes causales ou à géométrie bornée; elles ne se transfèrent pas automatiquement à l'ensemble M2-W de toutes les triangulations simpliciales de T³. Le terme -bD pourrait réduire l'entropie pondérée : cela doit être mesuré ou démontré, pas supposé.</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Verdict NORM-M2W. </w:t>
            </w:r>
            <w:r>
              <w:rPr>
                <w:rFonts w:ascii="Calibri" w:hAnsi="Calibri"/>
                <w:color w:val="0B2545"/>
                <w:sz w:val="22"/>
              </w:rPr>
              <w:t>La phrase « choisir μ assez grand » est interdite tant que s_+&lt;∞ n'est pas établi. Le verrou est maintenant un nombre précis, pas une inquiétude qualitative.</w:t>
            </w:r>
          </w:p>
        </w:tc>
      </w:tr>
    </w:tbl>
    <w:p>
      <w:pPr>
        <w:keepLines w:val="0"/>
        <w:spacing w:before="0" w:after="40" w:line="264" w:lineRule="auto"/>
        <w:jc w:val="left"/>
      </w:pPr>
      <w:r>
        <w:rPr>
          <w:rFonts w:ascii="Calibri" w:hAnsi="Calibri"/>
          <w:b w:val="0"/>
          <w:i w:val="0"/>
          <w:color w:val="000000"/>
          <w:sz w:val="22"/>
        </w:rPr>
      </w:r>
    </w:p>
    <w:p>
      <w:pPr>
        <w:pStyle w:val="Heading1"/>
        <w:keepNext/>
      </w:pPr>
      <w:r>
        <w:t>Théorème AUT-LIFT - éliminer le calcul global de |Aut|</w:t>
      </w:r>
    </w:p>
    <w:p>
      <w:pPr>
        <w:keepLines w:val="0"/>
        <w:spacing w:before="0" w:after="120" w:line="264" w:lineRule="auto"/>
        <w:jc w:val="left"/>
      </w:pPr>
      <w:r>
        <w:rPr>
          <w:rFonts w:ascii="Calibri" w:hAnsi="Calibri"/>
          <w:b w:val="0"/>
          <w:i w:val="0"/>
          <w:color w:val="000000"/>
          <w:sz w:val="22"/>
        </w:rPr>
        <w:t>Fixons v=N₀. Soit Ω_tilde_v l'ensemble des triangulations dont les sommets sont étiquetés par {1,...,v}. Le groupe S_v agit par réétiquetage. Pour une classe non étiquetée [Σ],</w:t>
      </w:r>
    </w:p>
    <w:p>
      <w:pPr>
        <w:keepLines/>
        <w:spacing w:before="60" w:after="140" w:line="240" w:lineRule="auto"/>
        <w:jc w:val="center"/>
      </w:pPr>
      <w:r>
        <w:rPr>
          <w:rFonts w:ascii="Cambria Math" w:hAnsi="Cambria Math"/>
          <w:color w:val="0B2545"/>
          <w:sz w:val="22"/>
        </w:rPr>
        <w:t>|Orb(Σ)|=v!/|Aut(Σ)|.                                 (12)</w:t>
      </w:r>
    </w:p>
    <w:p>
      <w:pPr>
        <w:keepLines w:val="0"/>
        <w:spacing w:before="0" w:after="120" w:line="264" w:lineRule="auto"/>
        <w:jc w:val="left"/>
      </w:pPr>
      <w:r>
        <w:rPr>
          <w:rFonts w:ascii="Calibri" w:hAnsi="Calibri"/>
          <w:b w:val="0"/>
          <w:i w:val="0"/>
          <w:color w:val="000000"/>
          <w:sz w:val="22"/>
        </w:rPr>
        <w:t>Attribuons à chaque représentant étiqueté le poids W([Σ])/v!, où W=exp[(αL-bD-μN)/τ]. Sa masse poussée sur l'orbite vaut exactement</w:t>
      </w:r>
    </w:p>
    <w:p>
      <w:pPr>
        <w:keepLines/>
        <w:spacing w:before="60" w:after="140" w:line="240" w:lineRule="auto"/>
        <w:jc w:val="center"/>
      </w:pPr>
      <w:r>
        <w:rPr>
          <w:rFonts w:ascii="Cambria Math" w:hAnsi="Cambria Math"/>
          <w:color w:val="0B2545"/>
          <w:sz w:val="22"/>
        </w:rPr>
        <w:t>Σ_{σ∈Orb(Σ)} W([Σ])/v! =W([Σ])/|Aut(Σ)|.                                   (13)</w:t>
      </w:r>
    </w:p>
    <w:p>
      <w:pPr>
        <w:keepLines w:val="0"/>
        <w:spacing w:before="0" w:after="120" w:line="264" w:lineRule="auto"/>
        <w:jc w:val="left"/>
      </w:pPr>
      <w:r>
        <w:rPr>
          <w:rFonts w:ascii="Calibri" w:hAnsi="Calibri"/>
          <w:b w:val="0"/>
          <w:i w:val="0"/>
          <w:color w:val="000000"/>
          <w:sz w:val="22"/>
        </w:rPr>
        <w:t>Ainsi, aucun taux local ne doit calculer le groupe d'automorphismes. On simule la structure étiquetée avec le facteur de référence v! et on pousse les observables vers les classes. Pour des propositions r_gamma équivariantes, la règle Metropolis-Hastings</w:t>
      </w:r>
    </w:p>
    <w:p>
      <w:pPr>
        <w:keepLines/>
        <w:spacing w:before="60" w:after="140" w:line="240" w:lineRule="auto"/>
        <w:jc w:val="center"/>
      </w:pPr>
      <w:r>
        <w:rPr>
          <w:rFonts w:ascii="Cambria Math" w:hAnsi="Cambria Math"/>
          <w:color w:val="0B2545"/>
          <w:sz w:val="22"/>
        </w:rPr>
        <w:t>q_γ(x)=r_γ(x) min{1, [π_tilde(y) r_barγ(y)]/[π_tilde(x) r_γ(x)]}           (14)</w:t>
      </w:r>
    </w:p>
    <w:p>
      <w:pPr>
        <w:keepLines w:val="0"/>
        <w:spacing w:before="0" w:after="120" w:line="264" w:lineRule="auto"/>
        <w:jc w:val="left"/>
      </w:pPr>
      <w:r>
        <w:rPr>
          <w:rFonts w:ascii="Calibri" w:hAnsi="Calibri"/>
          <w:b w:val="0"/>
          <w:i w:val="0"/>
          <w:color w:val="000000"/>
          <w:sz w:val="22"/>
        </w:rPr>
        <w:t>vérifie la balance détaillée étiquetée; le noyau agrégé sur les orbites est alors réversible pour (2). Les facteurs de multiplicité des embeddings sont conservés canal par canal.</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2F4F7"/>
          </w:tcPr>
          <w:p>
            <w:pPr>
              <w:spacing w:before="60" w:after="60" w:line="264" w:lineRule="auto"/>
            </w:pPr>
            <w:r>
              <w:rPr>
                <w:rFonts w:ascii="Calibri" w:hAnsi="Calibri"/>
                <w:b/>
                <w:color w:val="0B2545"/>
                <w:sz w:val="22"/>
              </w:rPr>
              <w:t xml:space="preserve">Condition d'implémentation. </w:t>
            </w:r>
            <w:r>
              <w:rPr>
                <w:rFonts w:ascii="Calibri" w:hAnsi="Calibri"/>
                <w:color w:val="0B2545"/>
                <w:sz w:val="22"/>
              </w:rPr>
              <w:t>Les identifiants de sommets, les propositions de naissance/mort et les réétiquetages doivent être équivariants. Une canonicalisation qui fusionne des embeddings avant l'acceptation détruirait la preuve.</w:t>
            </w:r>
          </w:p>
        </w:tc>
      </w:tr>
    </w:tbl>
    <w:p>
      <w:pPr>
        <w:keepLines w:val="0"/>
        <w:spacing w:before="0" w:after="40" w:line="264" w:lineRule="auto"/>
        <w:jc w:val="left"/>
      </w:pPr>
      <w:r>
        <w:rPr>
          <w:rFonts w:ascii="Calibri" w:hAnsi="Calibri"/>
          <w:b w:val="0"/>
          <w:i w:val="0"/>
          <w:color w:val="000000"/>
          <w:sz w:val="22"/>
        </w:rPr>
      </w:r>
    </w:p>
    <w:p>
      <w:pPr>
        <w:pStyle w:val="Heading1"/>
        <w:keepNext/>
      </w:pPr>
      <w:r>
        <w:t>Axiome KIN-BND - classe dynamique certifiable</w:t>
      </w:r>
    </w:p>
    <w:p>
      <w:pPr>
        <w:keepLines w:val="0"/>
        <w:spacing w:before="0" w:after="120" w:line="264" w:lineRule="auto"/>
        <w:jc w:val="left"/>
      </w:pPr>
      <w:r>
        <w:rPr>
          <w:rFonts w:ascii="Calibri" w:hAnsi="Calibri"/>
          <w:b w:val="0"/>
          <w:i w:val="0"/>
          <w:color w:val="000000"/>
          <w:sz w:val="22"/>
        </w:rPr>
        <w:t>Plus généralement, pour des tentatives appariées symétriques ρ_m=ρ_bar(m) et r=π_tilde(y)/π_tilde(x), posons</w:t>
      </w:r>
    </w:p>
    <w:p>
      <w:pPr>
        <w:keepLines/>
        <w:spacing w:before="60" w:after="140" w:line="240" w:lineRule="auto"/>
        <w:jc w:val="center"/>
      </w:pPr>
      <w:r>
        <w:rPr>
          <w:rFonts w:ascii="Cambria Math" w:hAnsi="Cambria Math"/>
          <w:color w:val="0B2545"/>
          <w:sz w:val="22"/>
        </w:rPr>
        <w:t>q_γ(x)=ρ_m A(r),   0≤A(r)≤1,   A(r)=r A(1/r).                                    (15)</w:t>
      </w:r>
    </w:p>
    <w:p>
      <w:pPr>
        <w:keepLines w:val="0"/>
        <w:spacing w:before="0" w:after="120" w:line="264" w:lineRule="auto"/>
        <w:jc w:val="left"/>
      </w:pPr>
      <w:r>
        <w:rPr>
          <w:rFonts w:ascii="Calibri" w:hAnsi="Calibri"/>
          <w:b w:val="0"/>
          <w:i w:val="0"/>
          <w:color w:val="000000"/>
          <w:sz w:val="22"/>
        </w:rPr>
        <w:t>La dernière identité est exactement la balance détaillée; la borne donne q_γ≤ρ_m. Metropolis et Barker correspondent à</w:t>
      </w:r>
    </w:p>
    <w:p>
      <w:pPr>
        <w:keepLines/>
        <w:spacing w:before="60" w:after="140" w:line="240" w:lineRule="auto"/>
        <w:jc w:val="center"/>
      </w:pPr>
      <w:r>
        <w:rPr>
          <w:rFonts w:ascii="Cambria Math" w:hAnsi="Cambria Math"/>
          <w:color w:val="0B2545"/>
          <w:sz w:val="22"/>
        </w:rPr>
        <w:t>A_M(r)=min(1,r),   A_B(r)=r/(1+r).                                   (16)</w:t>
      </w:r>
    </w:p>
    <w:p>
      <w:pPr>
        <w:keepLines w:val="0"/>
        <w:spacing w:before="0" w:after="120" w:line="264" w:lineRule="auto"/>
        <w:jc w:val="left"/>
      </w:pPr>
      <w:r>
        <w:rPr>
          <w:rFonts w:ascii="Calibri" w:hAnsi="Calibri"/>
          <w:b w:val="0"/>
          <w:i w:val="0"/>
          <w:color w:val="000000"/>
          <w:sz w:val="22"/>
        </w:rPr>
        <w:t>La note Q-TIME a déjà démontré que Barker et Metropolis ont des conductances dans un rapport compris entre 1/2 et 1. Ils partagent donc fermeture du gap et exposant z à tentatives identiques.</w:t>
      </w:r>
    </w:p>
    <w:p>
      <w:pPr>
        <w:spacing w:before="0" w:after="120" w:line="264" w:lineRule="auto"/>
      </w:pPr>
      <w:r>
        <w:rPr>
          <w:rFonts w:ascii="Calibri" w:hAnsi="Calibri"/>
          <w:b/>
          <w:color w:val="000000"/>
          <w:sz w:val="22"/>
        </w:rPr>
        <w:t xml:space="preserve">Correction de trajectoire. </w:t>
      </w:r>
      <w:r>
        <w:rPr>
          <w:rFonts w:ascii="Calibri" w:hAnsi="Calibri"/>
          <w:color w:val="000000"/>
          <w:sz w:val="22"/>
        </w:rPr>
        <w:t>KIN-FLAT utilise A(r)=sqrt(r), non borné. Il reste un axiome possible, mais sort de la branche démontrée ci-dessous. KIN-MET devient le représentant physique minimal pré-enregistrable.</w:t>
      </w:r>
    </w:p>
    <w:p>
      <w:pPr>
        <w:pStyle w:val="Heading1"/>
        <w:keepNext/>
      </w:pPr>
      <w:r>
        <w:t>Lemme CHANNEL-6N - borne exacte sur les sorties</w:t>
      </w:r>
    </w:p>
    <w:tbl>
      <w:tblPr>
        <w:tblW w:type="dxa" w:w="9360"/>
        <w:tblLayout w:type="fixed"/>
        <w:tblLook w:firstColumn="1" w:firstRow="1" w:lastColumn="0" w:lastRow="0" w:noHBand="0" w:noVBand="1" w:val="04A0"/>
        <w:jc w:val="left"/>
        <w:tblInd w:w="120" w:type="dxa"/>
      </w:tblPr>
      <w:tblGrid>
        <w:gridCol w:w="1900"/>
        <w:gridCol w:w="4400"/>
        <w:gridCol w:w="3060"/>
      </w:tblGrid>
      <w:tr>
        <w:trPr>
          <w:tblHeader w:val="true"/>
        </w:trPr>
        <w:tc>
          <w:tcPr>
            <w:tcW w:type="dxa" w:w="1900"/>
            <w:tcMar>
              <w:top w:w="80" w:type="dxa"/>
              <w:start w:w="120" w:type="dxa"/>
              <w:bottom w:w="80" w:type="dxa"/>
              <w:end w:w="120" w:type="dxa"/>
            </w:tcMar>
            <w:vAlign w:val="center"/>
            <w:shd w:fill="E8EEF5"/>
          </w:tcPr>
          <w:p>
            <w:pPr>
              <w:spacing w:after="0"/>
              <w:jc w:val="left"/>
            </w:pPr>
            <w:r>
              <w:rPr>
                <w:rFonts w:ascii="Calibri" w:hAnsi="Calibri"/>
                <w:b/>
                <w:color w:val="0B2545"/>
                <w:sz w:val="18"/>
              </w:rPr>
              <w:t>Move depuis Σ</w:t>
            </w:r>
          </w:p>
        </w:tc>
        <w:tc>
          <w:tcPr>
            <w:tcW w:type="dxa" w:w="4400"/>
            <w:tcMar>
              <w:top w:w="80" w:type="dxa"/>
              <w:start w:w="120" w:type="dxa"/>
              <w:bottom w:w="80" w:type="dxa"/>
              <w:end w:w="120" w:type="dxa"/>
            </w:tcMar>
            <w:vAlign w:val="center"/>
            <w:shd w:fill="E8EEF5"/>
          </w:tcPr>
          <w:p>
            <w:pPr>
              <w:spacing w:after="0"/>
              <w:jc w:val="left"/>
            </w:pPr>
            <w:r>
              <w:rPr>
                <w:rFonts w:ascii="Calibri" w:hAnsi="Calibri"/>
                <w:b/>
                <w:color w:val="0B2545"/>
                <w:sz w:val="18"/>
              </w:rPr>
              <w:t>Sites candidats</w:t>
            </w:r>
          </w:p>
        </w:tc>
        <w:tc>
          <w:tcPr>
            <w:tcW w:type="dxa" w:w="3060"/>
            <w:tcMar>
              <w:top w:w="80" w:type="dxa"/>
              <w:start w:w="120" w:type="dxa"/>
              <w:bottom w:w="80" w:type="dxa"/>
              <w:end w:w="120" w:type="dxa"/>
            </w:tcMar>
            <w:vAlign w:val="center"/>
            <w:shd w:fill="E8EEF5"/>
          </w:tcPr>
          <w:p>
            <w:pPr>
              <w:spacing w:after="0"/>
              <w:jc w:val="center"/>
            </w:pPr>
            <w:r>
              <w:rPr>
                <w:rFonts w:ascii="Calibri" w:hAnsi="Calibri"/>
                <w:b/>
                <w:color w:val="0B2545"/>
                <w:sz w:val="18"/>
              </w:rPr>
              <w:t>Borne</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color w:val="000000"/>
                <w:sz w:val="18"/>
              </w:rPr>
              <w:t>1→4</w:t>
            </w:r>
          </w:p>
        </w:tc>
        <w:tc>
          <w:tcPr>
            <w:tcW w:type="dxa" w:w="4400"/>
            <w:vAlign w:val="center"/>
            <w:tcMar>
              <w:top w:w="80" w:type="dxa"/>
              <w:start w:w="120" w:type="dxa"/>
              <w:bottom w:w="80" w:type="dxa"/>
              <w:end w:w="120" w:type="dxa"/>
            </w:tcMar>
          </w:tcPr>
          <w:p>
            <w:pPr>
              <w:spacing w:after="0" w:line="252" w:lineRule="auto"/>
              <w:jc w:val="left"/>
            </w:pPr>
            <w:r>
              <w:rPr>
                <w:rFonts w:ascii="Calibri" w:hAnsi="Calibri"/>
                <w:color w:val="000000"/>
                <w:sz w:val="18"/>
              </w:rPr>
              <w:t>tétraèdres</w:t>
            </w:r>
          </w:p>
        </w:tc>
        <w:tc>
          <w:tcPr>
            <w:tcW w:type="dxa" w:w="3060"/>
            <w:vAlign w:val="center"/>
            <w:tcMar>
              <w:top w:w="80" w:type="dxa"/>
              <w:start w:w="120" w:type="dxa"/>
              <w:bottom w:w="80" w:type="dxa"/>
              <w:end w:w="120" w:type="dxa"/>
            </w:tcMar>
          </w:tcPr>
          <w:p>
            <w:pPr>
              <w:spacing w:after="0" w:line="252" w:lineRule="auto"/>
              <w:jc w:val="center"/>
            </w:pPr>
            <w:r>
              <w:rPr>
                <w:rFonts w:ascii="Calibri" w:hAnsi="Calibri"/>
                <w:color w:val="000000"/>
                <w:sz w:val="18"/>
              </w:rPr>
              <w:t>N</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color w:val="000000"/>
                <w:sz w:val="18"/>
              </w:rPr>
              <w:t>4→1</w:t>
            </w:r>
          </w:p>
        </w:tc>
        <w:tc>
          <w:tcPr>
            <w:tcW w:type="dxa" w:w="4400"/>
            <w:vAlign w:val="center"/>
            <w:tcMar>
              <w:top w:w="80" w:type="dxa"/>
              <w:start w:w="120" w:type="dxa"/>
              <w:bottom w:w="80" w:type="dxa"/>
              <w:end w:w="120" w:type="dxa"/>
            </w:tcMar>
          </w:tcPr>
          <w:p>
            <w:pPr>
              <w:spacing w:after="0" w:line="252" w:lineRule="auto"/>
              <w:jc w:val="left"/>
            </w:pPr>
            <w:r>
              <w:rPr>
                <w:rFonts w:ascii="Calibri" w:hAnsi="Calibri"/>
                <w:color w:val="000000"/>
                <w:sz w:val="18"/>
              </w:rPr>
              <w:t>sommets admissibles</w:t>
            </w:r>
          </w:p>
        </w:tc>
        <w:tc>
          <w:tcPr>
            <w:tcW w:type="dxa" w:w="3060"/>
            <w:vAlign w:val="center"/>
            <w:tcMar>
              <w:top w:w="80" w:type="dxa"/>
              <w:start w:w="120" w:type="dxa"/>
              <w:bottom w:w="80" w:type="dxa"/>
              <w:end w:w="120" w:type="dxa"/>
            </w:tcMar>
          </w:tcPr>
          <w:p>
            <w:pPr>
              <w:spacing w:after="0" w:line="252" w:lineRule="auto"/>
              <w:jc w:val="center"/>
            </w:pPr>
            <w:r>
              <w:rPr>
                <w:rFonts w:ascii="Calibri" w:hAnsi="Calibri"/>
                <w:color w:val="000000"/>
                <w:sz w:val="18"/>
              </w:rPr>
              <w:t>≤N₀≤N</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color w:val="000000"/>
                <w:sz w:val="18"/>
              </w:rPr>
              <w:t>2→3</w:t>
            </w:r>
          </w:p>
        </w:tc>
        <w:tc>
          <w:tcPr>
            <w:tcW w:type="dxa" w:w="4400"/>
            <w:vAlign w:val="center"/>
            <w:tcMar>
              <w:top w:w="80" w:type="dxa"/>
              <w:start w:w="120" w:type="dxa"/>
              <w:bottom w:w="80" w:type="dxa"/>
              <w:end w:w="120" w:type="dxa"/>
            </w:tcMar>
          </w:tcPr>
          <w:p>
            <w:pPr>
              <w:spacing w:after="0" w:line="252" w:lineRule="auto"/>
              <w:jc w:val="left"/>
            </w:pPr>
            <w:r>
              <w:rPr>
                <w:rFonts w:ascii="Calibri" w:hAnsi="Calibri"/>
                <w:color w:val="000000"/>
                <w:sz w:val="18"/>
              </w:rPr>
              <w:t>triangles admissibles</w:t>
            </w:r>
          </w:p>
        </w:tc>
        <w:tc>
          <w:tcPr>
            <w:tcW w:type="dxa" w:w="3060"/>
            <w:vAlign w:val="center"/>
            <w:tcMar>
              <w:top w:w="80" w:type="dxa"/>
              <w:start w:w="120" w:type="dxa"/>
              <w:bottom w:w="80" w:type="dxa"/>
              <w:end w:w="120" w:type="dxa"/>
            </w:tcMar>
          </w:tcPr>
          <w:p>
            <w:pPr>
              <w:spacing w:after="0" w:line="252" w:lineRule="auto"/>
              <w:jc w:val="center"/>
            </w:pPr>
            <w:r>
              <w:rPr>
                <w:rFonts w:ascii="Calibri" w:hAnsi="Calibri"/>
                <w:color w:val="000000"/>
                <w:sz w:val="18"/>
              </w:rPr>
              <w:t>≤N₂=2N</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color w:val="000000"/>
                <w:sz w:val="18"/>
              </w:rPr>
              <w:t>3→2</w:t>
            </w:r>
          </w:p>
        </w:tc>
        <w:tc>
          <w:tcPr>
            <w:tcW w:type="dxa" w:w="4400"/>
            <w:vAlign w:val="center"/>
            <w:tcMar>
              <w:top w:w="80" w:type="dxa"/>
              <w:start w:w="120" w:type="dxa"/>
              <w:bottom w:w="80" w:type="dxa"/>
              <w:end w:w="120" w:type="dxa"/>
            </w:tcMar>
          </w:tcPr>
          <w:p>
            <w:pPr>
              <w:spacing w:after="0" w:line="252" w:lineRule="auto"/>
              <w:jc w:val="left"/>
            </w:pPr>
            <w:r>
              <w:rPr>
                <w:rFonts w:ascii="Calibri" w:hAnsi="Calibri"/>
                <w:color w:val="000000"/>
                <w:sz w:val="18"/>
              </w:rPr>
              <w:t>arêtes admissibles</w:t>
            </w:r>
          </w:p>
        </w:tc>
        <w:tc>
          <w:tcPr>
            <w:tcW w:type="dxa" w:w="3060"/>
            <w:vAlign w:val="center"/>
            <w:tcMar>
              <w:top w:w="80" w:type="dxa"/>
              <w:start w:w="120" w:type="dxa"/>
              <w:bottom w:w="80" w:type="dxa"/>
              <w:end w:w="120" w:type="dxa"/>
            </w:tcMar>
          </w:tcPr>
          <w:p>
            <w:pPr>
              <w:spacing w:after="0" w:line="252" w:lineRule="auto"/>
              <w:jc w:val="center"/>
            </w:pPr>
            <w:r>
              <w:rPr>
                <w:rFonts w:ascii="Calibri" w:hAnsi="Calibri"/>
                <w:color w:val="000000"/>
                <w:sz w:val="18"/>
              </w:rPr>
              <w:t>≤N₁≤2N</w:t>
            </w:r>
          </w:p>
        </w:tc>
      </w:tr>
      <w:tr>
        <w:tc>
          <w:tcPr>
            <w:tcW w:type="dxa" w:w="1900"/>
            <w:vAlign w:val="center"/>
            <w:tcMar>
              <w:top w:w="80" w:type="dxa"/>
              <w:start w:w="120" w:type="dxa"/>
              <w:bottom w:w="80" w:type="dxa"/>
              <w:end w:w="120" w:type="dxa"/>
            </w:tcMar>
          </w:tcPr>
          <w:p>
            <w:pPr>
              <w:spacing w:after="0" w:line="252" w:lineRule="auto"/>
              <w:jc w:val="left"/>
            </w:pPr>
            <w:r>
              <w:rPr>
                <w:rFonts w:ascii="Calibri" w:hAnsi="Calibri"/>
                <w:color w:val="000000"/>
                <w:sz w:val="18"/>
              </w:rPr>
              <w:t>Total</w:t>
            </w:r>
          </w:p>
        </w:tc>
        <w:tc>
          <w:tcPr>
            <w:tcW w:type="dxa" w:w="4400"/>
            <w:vAlign w:val="center"/>
            <w:tcMar>
              <w:top w:w="80" w:type="dxa"/>
              <w:start w:w="120" w:type="dxa"/>
              <w:bottom w:w="80" w:type="dxa"/>
              <w:end w:w="120" w:type="dxa"/>
            </w:tcMar>
          </w:tcPr>
          <w:p>
            <w:pPr>
              <w:spacing w:after="0" w:line="252" w:lineRule="auto"/>
              <w:jc w:val="left"/>
            </w:pPr>
            <w:r>
              <w:rPr>
                <w:rFonts w:ascii="Calibri" w:hAnsi="Calibri"/>
                <w:color w:val="000000"/>
                <w:sz w:val="18"/>
              </w:rPr>
              <w:t>canaux orientés</w:t>
            </w:r>
          </w:p>
        </w:tc>
        <w:tc>
          <w:tcPr>
            <w:tcW w:type="dxa" w:w="3060"/>
            <w:vAlign w:val="center"/>
            <w:tcMar>
              <w:top w:w="80" w:type="dxa"/>
              <w:start w:w="120" w:type="dxa"/>
              <w:bottom w:w="80" w:type="dxa"/>
              <w:end w:w="120" w:type="dxa"/>
            </w:tcMar>
          </w:tcPr>
          <w:p>
            <w:pPr>
              <w:spacing w:after="0" w:line="252" w:lineRule="auto"/>
              <w:jc w:val="center"/>
            </w:pPr>
            <w:r>
              <w:rPr>
                <w:rFonts w:ascii="Calibri" w:hAnsi="Calibri"/>
                <w:color w:val="000000"/>
                <w:sz w:val="18"/>
              </w:rPr>
              <w:t>≤6N</w:t>
            </w:r>
          </w:p>
        </w:tc>
      </w:tr>
    </w:tbl>
    <w:p>
      <w:pPr>
        <w:keepLines w:val="0"/>
        <w:spacing w:before="0" w:after="40" w:line="264" w:lineRule="auto"/>
        <w:jc w:val="left"/>
      </w:pPr>
      <w:r>
        <w:rPr>
          <w:rFonts w:ascii="Calibri" w:hAnsi="Calibri"/>
          <w:b w:val="0"/>
          <w:i w:val="0"/>
          <w:color w:val="000000"/>
          <w:sz w:val="22"/>
        </w:rPr>
      </w:r>
    </w:p>
    <w:p>
      <w:pPr>
        <w:keepLines w:val="0"/>
        <w:spacing w:before="0" w:after="120" w:line="264" w:lineRule="auto"/>
        <w:jc w:val="left"/>
      </w:pPr>
      <w:r>
        <w:rPr>
          <w:rFonts w:ascii="Calibri" w:hAnsi="Calibri"/>
          <w:b w:val="0"/>
          <w:i w:val="0"/>
          <w:color w:val="000000"/>
          <w:sz w:val="22"/>
        </w:rPr>
        <w:t>Les tests d'admissibilité ne peuvent que réduire ces nombres. Si ρ=max(ρ_14,ρ_23), tout générateur KIN-BND vérifie donc</w:t>
      </w:r>
    </w:p>
    <w:p>
      <w:pPr>
        <w:keepLines/>
        <w:spacing w:before="60" w:after="140" w:line="240" w:lineRule="auto"/>
        <w:jc w:val="center"/>
      </w:pPr>
      <w:r>
        <w:rPr>
          <w:rFonts w:ascii="Cambria Math" w:hAnsi="Cambria Math"/>
          <w:color w:val="0B2545"/>
          <w:sz w:val="22"/>
        </w:rPr>
        <w:t>q_out(Σ)=Σ_γ q_γ(Σ)≤6ρN.                              (17)</w:t>
      </w:r>
    </w:p>
    <w:p>
      <w:pPr>
        <w:pStyle w:val="Heading1"/>
        <w:keepNext/>
      </w:pPr>
      <w:r>
        <w:t>Théorème NONEXP-BND - aucune accumulation de sauts</w:t>
      </w:r>
    </w:p>
    <w:p>
      <w:pPr>
        <w:keepLines w:val="0"/>
        <w:spacing w:before="0" w:after="120" w:line="264" w:lineRule="auto"/>
        <w:jc w:val="left"/>
      </w:pPr>
      <w:r>
        <w:rPr>
          <w:rFonts w:ascii="Calibri" w:hAnsi="Calibri"/>
          <w:b w:val="0"/>
          <w:i w:val="0"/>
          <w:color w:val="000000"/>
          <w:sz w:val="22"/>
        </w:rPr>
        <w:t>Après k sauts, un move change N d'au plus 3, donc N_k≤N_0+3k. Écrivons le k-ième temps d'attente sous la forme E_k/q_out(X_k), avec E_k exponentielle de moyenne un. Par (17),</w:t>
      </w:r>
    </w:p>
    <w:p>
      <w:pPr>
        <w:keepLines/>
        <w:spacing w:before="60" w:after="140" w:line="240" w:lineRule="auto"/>
        <w:jc w:val="center"/>
      </w:pPr>
      <w:r>
        <w:rPr>
          <w:rFonts w:ascii="Cambria Math" w:hAnsi="Cambria Math"/>
          <w:color w:val="0B2545"/>
          <w:sz w:val="22"/>
        </w:rPr>
        <w:t>T_k≥E_k/[6ρ(N_0+3k)].                                 (18)</w:t>
      </w:r>
    </w:p>
    <w:p>
      <w:pPr>
        <w:keepLines w:val="0"/>
        <w:spacing w:before="0" w:after="120" w:line="264" w:lineRule="auto"/>
        <w:jc w:val="left"/>
      </w:pPr>
      <w:r>
        <w:rPr>
          <w:rFonts w:ascii="Calibri" w:hAnsi="Calibri"/>
          <w:b w:val="0"/>
          <w:i w:val="0"/>
          <w:color w:val="000000"/>
          <w:sz w:val="22"/>
        </w:rPr>
        <w:t>Or Σ_k E_k/(N_0+3k)=∞ presque sûrement : la série centrée Σ(E_k-1)/(N_0+3k) converge car la somme de ses variances converge, tandis que la série harmonique des moyennes diverge. Ainsi Σ_k T_k=∞ presque sûrement. Le processus minimal est conservatif et ne peut effectuer une infinité de moves en temps fini.</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Portée exacte. </w:t>
            </w:r>
            <w:r>
              <w:rPr>
                <w:rFonts w:ascii="Calibri" w:hAnsi="Calibri"/>
                <w:color w:val="0B2545"/>
                <w:sz w:val="22"/>
              </w:rPr>
              <w:t>Cette preuve est indépendante de μ, α, b et des fortes variations locales de l'action. Elle utilise uniquement la borne q_γ≤ρ et la combinatoire linéaire des canaux.</w:t>
            </w:r>
          </w:p>
        </w:tc>
      </w:tr>
    </w:tbl>
    <w:p>
      <w:pPr>
        <w:keepLines w:val="0"/>
        <w:spacing w:before="0" w:after="40" w:line="264" w:lineRule="auto"/>
        <w:jc w:val="left"/>
      </w:pPr>
      <w:r>
        <w:rPr>
          <w:rFonts w:ascii="Calibri" w:hAnsi="Calibri"/>
          <w:b w:val="0"/>
          <w:i w:val="0"/>
          <w:color w:val="000000"/>
          <w:sz w:val="22"/>
        </w:rPr>
      </w:r>
    </w:p>
    <w:p>
      <w:pPr>
        <w:pStyle w:val="Heading1"/>
        <w:keepNext/>
      </w:pPr>
      <w:r>
        <w:t>Théorème ESA-BND - auto-adjonction essentielle</w:t>
      </w:r>
    </w:p>
    <w:p>
      <w:pPr>
        <w:keepLines w:val="0"/>
        <w:spacing w:before="0" w:after="120" w:line="264" w:lineRule="auto"/>
        <w:jc w:val="left"/>
      </w:pPr>
      <w:r>
        <w:rPr>
          <w:rFonts w:ascii="Calibri" w:hAnsi="Calibri"/>
          <w:b w:val="0"/>
          <w:i w:val="0"/>
          <w:color w:val="000000"/>
          <w:sz w:val="22"/>
        </w:rPr>
        <w:t>Supposons désormais Z&lt;∞. Dans la base de comptage U f=sqrt(π)f, soit H₀=-UQU^-1 défini sur les fonctions à support fini. Il est symétrique et positif. Les éléments hors diagonale sont les amplitudes a_γ=sqrt(q_γ q_barγ)≤ρ. Avec (17),</w:t>
      </w:r>
    </w:p>
    <w:p>
      <w:pPr>
        <w:keepLines/>
        <w:spacing w:before="60" w:after="140" w:line="240" w:lineRule="auto"/>
        <w:jc w:val="center"/>
      </w:pPr>
      <w:r>
        <w:rPr>
          <w:rFonts w:ascii="Cambria Math" w:hAnsi="Cambria Math"/>
          <w:color w:val="0B2545"/>
          <w:sz w:val="22"/>
        </w:rPr>
        <w:t>Σ_y |(H₀)_xy|≤12ρN(x).                                (19)</w:t>
      </w:r>
    </w:p>
    <w:p>
      <w:pPr>
        <w:keepLines w:val="0"/>
        <w:spacing w:before="0" w:after="120" w:line="264" w:lineRule="auto"/>
        <w:jc w:val="left"/>
      </w:pPr>
      <w:r>
        <w:rPr>
          <w:rFonts w:ascii="Calibri" w:hAnsi="Calibri"/>
          <w:b w:val="0"/>
          <w:i w:val="0"/>
          <w:color w:val="000000"/>
          <w:sz w:val="22"/>
        </w:rPr>
        <w:t>Si ψ est supporté dans N≤M, H₀^kψ est supporté dans N≤M+3k. Le test de Schur appliqué tranche par tranche donne</w:t>
      </w:r>
    </w:p>
    <w:p>
      <w:pPr>
        <w:keepLines/>
        <w:spacing w:before="60" w:after="140" w:line="240" w:lineRule="auto"/>
        <w:jc w:val="center"/>
      </w:pPr>
      <w:r>
        <w:rPr>
          <w:rFonts w:ascii="Cambria Math" w:hAnsi="Cambria Math"/>
          <w:color w:val="0B2545"/>
          <w:sz w:val="22"/>
        </w:rPr>
        <w:t>||H₀^k ψ||≤(12ρ)^k Π_{j=1}^k(M+3j)||ψ||.                                (20)</w:t>
      </w:r>
    </w:p>
    <w:p>
      <w:pPr>
        <w:keepLines w:val="0"/>
        <w:spacing w:before="0" w:after="120" w:line="264" w:lineRule="auto"/>
        <w:jc w:val="left"/>
      </w:pPr>
      <w:r>
        <w:rPr>
          <w:rFonts w:ascii="Calibri" w:hAnsi="Calibri"/>
          <w:b w:val="0"/>
          <w:i w:val="0"/>
          <w:color w:val="000000"/>
          <w:sz w:val="22"/>
        </w:rPr>
        <w:t>Comme le produit vaut 3^k Γ(k+M/3+1)/Γ(M/3+1), la série analytique</w:t>
      </w:r>
    </w:p>
    <w:p>
      <w:pPr>
        <w:keepLines/>
        <w:spacing w:before="60" w:after="140" w:line="240" w:lineRule="auto"/>
        <w:jc w:val="center"/>
      </w:pPr>
      <w:r>
        <w:rPr>
          <w:rFonts w:ascii="Cambria Math" w:hAnsi="Cambria Math"/>
          <w:color w:val="0B2545"/>
          <w:sz w:val="22"/>
        </w:rPr>
        <w:t>Σ_{k≥0} t^k ||H₀^kψ||/k!                              (21)</w:t>
      </w:r>
    </w:p>
    <w:p>
      <w:pPr>
        <w:keepLines w:val="0"/>
        <w:spacing w:before="0" w:after="120" w:line="264" w:lineRule="auto"/>
        <w:jc w:val="left"/>
      </w:pPr>
      <w:r>
        <w:rPr>
          <w:rFonts w:ascii="Calibri" w:hAnsi="Calibri"/>
          <w:b w:val="0"/>
          <w:i w:val="0"/>
          <w:color w:val="000000"/>
          <w:sz w:val="22"/>
        </w:rPr>
        <w:t>converge pour tout t&lt;1/(36ρ). Toute fonction à support fini est donc un vecteur analytique. Ces vecteurs forment un domaine dense; le théorème des vecteurs analytiques de Nelson implique que H₀ est essentiellement auto-adjoint.</w:t>
      </w:r>
    </w:p>
    <w:p>
      <w:pPr>
        <w:spacing w:before="0" w:after="120" w:line="264" w:lineRule="auto"/>
      </w:pPr>
      <w:r>
        <w:rPr>
          <w:rFonts w:ascii="Calibri" w:hAnsi="Calibri"/>
          <w:b/>
          <w:color w:val="000000"/>
          <w:sz w:val="22"/>
        </w:rPr>
        <w:t xml:space="preserve">Conclusion opératorielle. </w:t>
      </w:r>
      <w:r>
        <w:rPr>
          <w:rFonts w:ascii="Calibri" w:hAnsi="Calibri"/>
          <w:color w:val="000000"/>
          <w:sz w:val="22"/>
        </w:rPr>
        <w:t>La fermeture H=cl(H₀) est l'unique opérateur auto-adjoint porté par ce cœur. Elle est positive; exp(-tH) est une contraction auto-adjointe. Avec B=exp(-a_t H/2), T=B†B=exp(-a_t H).</w:t>
      </w:r>
    </w:p>
    <w:p>
      <w:pPr>
        <w:spacing w:before="0" w:after="120" w:line="264" w:lineRule="auto"/>
      </w:pPr>
      <w:r>
        <w:rPr>
          <w:rFonts w:ascii="Calibri" w:hAnsi="Calibri"/>
          <w:b/>
          <w:color w:val="000000"/>
          <w:sz w:val="22"/>
        </w:rPr>
        <w:t xml:space="preserve">Limite. </w:t>
      </w:r>
      <w:r>
        <w:rPr>
          <w:rFonts w:ascii="Calibri" w:hAnsi="Calibri"/>
          <w:color w:val="000000"/>
          <w:sz w:val="22"/>
        </w:rPr>
        <w:t>Pour KIN-FLAT, ni q_γ≤ρ ni (19) ne sont disponibles. Son auto-adjonction et sa conservativité restent à démontrer séparément.</w:t>
      </w:r>
    </w:p>
    <w:p>
      <w:pPr>
        <w:pStyle w:val="Heading1"/>
        <w:keepNext/>
      </w:pPr>
      <w:r>
        <w:t>Axiomes A20-A25 à geler</w:t>
      </w:r>
    </w:p>
    <w:tbl>
      <w:tblPr>
        <w:tblW w:type="dxa" w:w="9360"/>
        <w:tblLayout w:type="fixed"/>
        <w:tblLook w:firstColumn="1" w:firstRow="1" w:lastColumn="0" w:lastRow="0" w:noHBand="0" w:noVBand="1" w:val="04A0"/>
        <w:jc w:val="left"/>
        <w:tblInd w:w="120" w:type="dxa"/>
      </w:tblPr>
      <w:tblGrid>
        <w:gridCol w:w="1200"/>
        <w:gridCol w:w="3660"/>
        <w:gridCol w:w="4500"/>
      </w:tblGrid>
      <w:tr>
        <w:trPr>
          <w:tblHeader w:val="true"/>
        </w:trPr>
        <w:tc>
          <w:tcPr>
            <w:tcW w:type="dxa" w:w="1200"/>
            <w:tcMar>
              <w:top w:w="80" w:type="dxa"/>
              <w:start w:w="120" w:type="dxa"/>
              <w:bottom w:w="80" w:type="dxa"/>
              <w:end w:w="120" w:type="dxa"/>
            </w:tcMar>
            <w:vAlign w:val="center"/>
            <w:shd w:fill="E8EEF5"/>
          </w:tcPr>
          <w:p>
            <w:pPr>
              <w:spacing w:after="0"/>
              <w:jc w:val="center"/>
            </w:pPr>
            <w:r>
              <w:rPr>
                <w:rFonts w:ascii="Calibri" w:hAnsi="Calibri"/>
                <w:b/>
                <w:color w:val="0B2545"/>
                <w:sz w:val="20"/>
              </w:rPr>
              <w:t>Statut</w:t>
            </w:r>
          </w:p>
        </w:tc>
        <w:tc>
          <w:tcPr>
            <w:tcW w:type="dxa" w:w="3660"/>
            <w:tcMar>
              <w:top w:w="80" w:type="dxa"/>
              <w:start w:w="120" w:type="dxa"/>
              <w:bottom w:w="80" w:type="dxa"/>
              <w:end w:w="120" w:type="dxa"/>
            </w:tcMar>
            <w:vAlign w:val="center"/>
            <w:shd w:fill="E8EEF5"/>
          </w:tcPr>
          <w:p>
            <w:pPr>
              <w:spacing w:after="0"/>
              <w:jc w:val="left"/>
            </w:pPr>
            <w:r>
              <w:rPr>
                <w:rFonts w:ascii="Calibri" w:hAnsi="Calibri"/>
                <w:b/>
                <w:color w:val="0B2545"/>
                <w:sz w:val="20"/>
              </w:rPr>
              <w:t>Objet</w:t>
            </w:r>
          </w:p>
        </w:tc>
        <w:tc>
          <w:tcPr>
            <w:tcW w:type="dxa" w:w="4500"/>
            <w:tcMar>
              <w:top w:w="80" w:type="dxa"/>
              <w:start w:w="120" w:type="dxa"/>
              <w:bottom w:w="80" w:type="dxa"/>
              <w:end w:w="120" w:type="dxa"/>
            </w:tcMar>
            <w:vAlign w:val="center"/>
            <w:shd w:fill="E8EEF5"/>
          </w:tcPr>
          <w:p>
            <w:pPr>
              <w:spacing w:after="0"/>
              <w:jc w:val="left"/>
            </w:pPr>
            <w:r>
              <w:rPr>
                <w:rFonts w:ascii="Calibri" w:hAnsi="Calibri"/>
                <w:b/>
                <w:color w:val="0B2545"/>
                <w:sz w:val="20"/>
              </w:rPr>
              <w:t>Conclusion</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A20</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État</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Triangulations simpliciales fermées de T³; pas de pseudo-complexes.</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A21</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Entropie</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Définir A_N et s_+ par (6)-(8); ne jamais supposer s_+ fini.</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A22</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Quotient</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Relèvement étiqueté/groupoïde et conservation de chaque canal.</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A23</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Cinétique</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Q_phys=KIN-MET continu, ρ_14 et ρ_23 bornés et pré-enregistrés.</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A24</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Domaine</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H₀ sur support fini; H est sa fermeture auto-adjointe unique.</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A25</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Retrait cutoff</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Approcher μ_c depuis μ&gt;μ_c; séparer existence et criticalité.</w:t>
            </w:r>
          </w:p>
        </w:tc>
      </w:tr>
    </w:tbl>
    <w:p>
      <w:pPr>
        <w:keepLines w:val="0"/>
        <w:spacing w:before="0" w:after="40" w:line="264" w:lineRule="auto"/>
        <w:jc w:val="left"/>
      </w:pPr>
      <w:r>
        <w:rPr>
          <w:rFonts w:ascii="Calibri" w:hAnsi="Calibri"/>
          <w:b w:val="0"/>
          <w:i w:val="0"/>
          <w:color w:val="000000"/>
          <w:sz w:val="22"/>
        </w:rPr>
      </w:r>
    </w:p>
    <w:p>
      <w:pPr>
        <w:pStyle w:val="Heading1"/>
        <w:keepNext/>
      </w:pPr>
      <w:r>
        <w:t>Critère de mort et protocole VOL-CTRL</w:t>
      </w:r>
    </w:p>
    <w:p>
      <w:pPr>
        <w:spacing w:before="0" w:after="120" w:line="264" w:lineRule="auto"/>
      </w:pPr>
      <w:r>
        <w:rPr>
          <w:rFonts w:ascii="Calibri" w:hAnsi="Calibri"/>
          <w:b/>
          <w:color w:val="000000"/>
          <w:sz w:val="22"/>
        </w:rPr>
        <w:t xml:space="preserve">Observable décisive. </w:t>
      </w:r>
      <w:r>
        <w:rPr>
          <w:rFonts w:ascii="Calibri" w:hAnsi="Calibri"/>
          <w:color w:val="000000"/>
          <w:sz w:val="22"/>
        </w:rPr>
        <w:t>Mesurer s_N=N^-1 log A_N et les rapports A_{N+Δ}/A_N, avec A_N incluant le potentiel complet et 1/|Aut|.</w:t>
      </w:r>
    </w:p>
    <w:p>
      <w:pPr>
        <w:spacing w:before="0" w:after="120" w:line="264" w:lineRule="auto"/>
      </w:pPr>
      <w:r>
        <w:rPr>
          <w:rFonts w:ascii="Calibri" w:hAnsi="Calibri"/>
          <w:b/>
          <w:color w:val="000000"/>
          <w:sz w:val="22"/>
        </w:rPr>
        <w:t xml:space="preserve">PASS existence. </w:t>
      </w:r>
      <w:r>
        <w:rPr>
          <w:rFonts w:ascii="Calibri" w:hAnsi="Calibri"/>
          <w:color w:val="000000"/>
          <w:sz w:val="22"/>
        </w:rPr>
        <w:t>s_N est borné et converge vers s_+&lt;∞; choisir μ&gt;μ_c=τs_+ produit une mesure normale et une dynamique conservatrice auto-adjointe.</w:t>
      </w:r>
    </w:p>
    <w:p>
      <w:pPr>
        <w:spacing w:before="0" w:after="120" w:line="264" w:lineRule="auto"/>
      </w:pPr>
      <w:r>
        <w:rPr>
          <w:rFonts w:ascii="Calibri" w:hAnsi="Calibri"/>
          <w:b/>
          <w:color w:val="000000"/>
          <w:sz w:val="22"/>
        </w:rPr>
        <w:t xml:space="preserve">FAIL irréversible. </w:t>
      </w:r>
      <w:r>
        <w:rPr>
          <w:rFonts w:ascii="Calibri" w:hAnsi="Calibri"/>
          <w:color w:val="000000"/>
          <w:sz w:val="22"/>
        </w:rPr>
        <w:t>Si s_N croît comme c log N ou plus après pondération par -bD, alors s_+=∞ : aucun μ linéaire ne suffit. Il faut restreindre l'ensemble géométrique ou modifier l'action.</w:t>
      </w:r>
    </w:p>
    <w:p>
      <w:pPr>
        <w:spacing w:before="0" w:after="120" w:line="264" w:lineRule="auto"/>
      </w:pPr>
      <w:r>
        <w:rPr>
          <w:rFonts w:ascii="Calibri" w:hAnsi="Calibri"/>
          <w:b/>
          <w:color w:val="000000"/>
          <w:sz w:val="22"/>
        </w:rPr>
        <w:t xml:space="preserve">PASS continuum. </w:t>
      </w:r>
      <w:r>
        <w:rPr>
          <w:rFonts w:ascii="Calibri" w:hAnsi="Calibri"/>
          <w:color w:val="000000"/>
          <w:sz w:val="22"/>
        </w:rPr>
        <w:t>Après existence, étudier μ↓μ_c et vérifier que &lt;N&gt; et la longueur de corrélation divergent avec une loi stable. La normalisabilité seule n'est pas une criticalité.</w:t>
      </w:r>
    </w:p>
    <w:p>
      <w:pPr>
        <w:pStyle w:val="Heading1"/>
        <w:keepNext/>
      </w:pPr>
      <w:r>
        <w:t>Cascade rendue possible</w:t>
      </w:r>
    </w:p>
    <w:tbl>
      <w:tblPr>
        <w:tblW w:type="dxa" w:w="9360"/>
        <w:tblLayout w:type="fixed"/>
        <w:tblLook w:firstColumn="1" w:firstRow="1" w:lastColumn="0" w:lastRow="0" w:noHBand="0" w:noVBand="1" w:val="04A0"/>
        <w:jc w:val="left"/>
        <w:tblInd w:w="120" w:type="dxa"/>
      </w:tblPr>
      <w:tblGrid>
        <w:gridCol w:w="900"/>
        <w:gridCol w:w="2200"/>
        <w:gridCol w:w="6260"/>
      </w:tblGrid>
      <w:tr>
        <w:trPr>
          <w:tblHeader w:val="true"/>
        </w:trPr>
        <w:tc>
          <w:tcPr>
            <w:tcW w:type="dxa" w:w="900"/>
            <w:tcMar>
              <w:top w:w="80" w:type="dxa"/>
              <w:start w:w="120" w:type="dxa"/>
              <w:bottom w:w="80" w:type="dxa"/>
              <w:end w:w="120" w:type="dxa"/>
            </w:tcMar>
            <w:vAlign w:val="center"/>
            <w:shd w:fill="E8EEF5"/>
          </w:tcPr>
          <w:p>
            <w:pPr>
              <w:spacing w:after="0"/>
              <w:jc w:val="center"/>
            </w:pPr>
            <w:r>
              <w:rPr>
                <w:rFonts w:ascii="Calibri" w:hAnsi="Calibri"/>
                <w:b/>
                <w:color w:val="0B2545"/>
                <w:sz w:val="18"/>
              </w:rPr>
              <w:t>Ordre</w:t>
            </w:r>
          </w:p>
        </w:tc>
        <w:tc>
          <w:tcPr>
            <w:tcW w:type="dxa" w:w="2200"/>
            <w:tcMar>
              <w:top w:w="80" w:type="dxa"/>
              <w:start w:w="120" w:type="dxa"/>
              <w:bottom w:w="80" w:type="dxa"/>
              <w:end w:w="120" w:type="dxa"/>
            </w:tcMar>
            <w:vAlign w:val="center"/>
            <w:shd w:fill="E8EEF5"/>
          </w:tcPr>
          <w:p>
            <w:pPr>
              <w:spacing w:after="0"/>
              <w:jc w:val="left"/>
            </w:pPr>
            <w:r>
              <w:rPr>
                <w:rFonts w:ascii="Calibri" w:hAnsi="Calibri"/>
                <w:b/>
                <w:color w:val="0B2545"/>
                <w:sz w:val="18"/>
              </w:rPr>
              <w:t>Porte</w:t>
            </w:r>
          </w:p>
        </w:tc>
        <w:tc>
          <w:tcPr>
            <w:tcW w:type="dxa" w:w="6260"/>
            <w:tcMar>
              <w:top w:w="80" w:type="dxa"/>
              <w:start w:w="120" w:type="dxa"/>
              <w:bottom w:w="80" w:type="dxa"/>
              <w:end w:w="120" w:type="dxa"/>
            </w:tcMar>
            <w:vAlign w:val="center"/>
            <w:shd w:fill="E8EEF5"/>
          </w:tcPr>
          <w:p>
            <w:pPr>
              <w:spacing w:after="0"/>
              <w:jc w:val="left"/>
            </w:pPr>
            <w:r>
              <w:rPr>
                <w:rFonts w:ascii="Calibri" w:hAnsi="Calibri"/>
                <w:b/>
                <w:color w:val="0B2545"/>
                <w:sz w:val="18"/>
              </w:rPr>
              <w:t>Effet domino</w:t>
            </w:r>
          </w:p>
        </w:tc>
      </w:tr>
      <w:tr>
        <w:tc>
          <w:tcPr>
            <w:tcW w:type="dxa" w:w="900"/>
            <w:vAlign w:val="center"/>
            <w:tcMar>
              <w:top w:w="80" w:type="dxa"/>
              <w:start w:w="120" w:type="dxa"/>
              <w:bottom w:w="80" w:type="dxa"/>
              <w:end w:w="120" w:type="dxa"/>
            </w:tcMar>
          </w:tcPr>
          <w:p>
            <w:pPr>
              <w:spacing w:after="0" w:line="252" w:lineRule="auto"/>
              <w:jc w:val="center"/>
            </w:pPr>
            <w:r>
              <w:rPr>
                <w:rFonts w:ascii="Calibri" w:hAnsi="Calibri"/>
                <w:color w:val="000000"/>
                <w:sz w:val="17"/>
              </w:rPr>
              <w:t>1</w:t>
            </w:r>
          </w:p>
        </w:tc>
        <w:tc>
          <w:tcPr>
            <w:tcW w:type="dxa" w:w="2200"/>
            <w:vAlign w:val="center"/>
            <w:tcMar>
              <w:top w:w="80" w:type="dxa"/>
              <w:start w:w="120" w:type="dxa"/>
              <w:bottom w:w="80" w:type="dxa"/>
              <w:end w:w="120" w:type="dxa"/>
            </w:tcMar>
          </w:tcPr>
          <w:p>
            <w:pPr>
              <w:spacing w:after="0" w:line="252" w:lineRule="auto"/>
              <w:jc w:val="left"/>
            </w:pPr>
            <w:r>
              <w:rPr>
                <w:rFonts w:ascii="Calibri" w:hAnsi="Calibri"/>
                <w:color w:val="000000"/>
                <w:sz w:val="17"/>
              </w:rPr>
              <w:t>GEN-WELLPOSED</w:t>
            </w:r>
          </w:p>
        </w:tc>
        <w:tc>
          <w:tcPr>
            <w:tcW w:type="dxa" w:w="6260"/>
            <w:vAlign w:val="center"/>
            <w:tcMar>
              <w:top w:w="80" w:type="dxa"/>
              <w:start w:w="120" w:type="dxa"/>
              <w:bottom w:w="80" w:type="dxa"/>
              <w:end w:w="120" w:type="dxa"/>
            </w:tcMar>
          </w:tcPr>
          <w:p>
            <w:pPr>
              <w:spacing w:after="0" w:line="252" w:lineRule="auto"/>
              <w:jc w:val="left"/>
            </w:pPr>
            <w:r>
              <w:rPr>
                <w:rFonts w:ascii="Calibri" w:hAnsi="Calibri"/>
                <w:color w:val="000000"/>
                <w:sz w:val="17"/>
              </w:rPr>
              <w:t>Fixe l'espace, le quotient, la dynamique et le domaine de H.</w:t>
            </w:r>
          </w:p>
        </w:tc>
      </w:tr>
      <w:tr>
        <w:tc>
          <w:tcPr>
            <w:tcW w:type="dxa" w:w="900"/>
            <w:vAlign w:val="center"/>
            <w:tcMar>
              <w:top w:w="80" w:type="dxa"/>
              <w:start w:w="120" w:type="dxa"/>
              <w:bottom w:w="80" w:type="dxa"/>
              <w:end w:w="120" w:type="dxa"/>
            </w:tcMar>
          </w:tcPr>
          <w:p>
            <w:pPr>
              <w:spacing w:after="0" w:line="252" w:lineRule="auto"/>
              <w:jc w:val="center"/>
            </w:pPr>
            <w:r>
              <w:rPr>
                <w:rFonts w:ascii="Calibri" w:hAnsi="Calibri"/>
                <w:color w:val="000000"/>
                <w:sz w:val="17"/>
              </w:rPr>
              <w:t>2</w:t>
            </w:r>
          </w:p>
        </w:tc>
        <w:tc>
          <w:tcPr>
            <w:tcW w:type="dxa" w:w="2200"/>
            <w:vAlign w:val="center"/>
            <w:tcMar>
              <w:top w:w="80" w:type="dxa"/>
              <w:start w:w="120" w:type="dxa"/>
              <w:bottom w:w="80" w:type="dxa"/>
              <w:end w:w="120" w:type="dxa"/>
            </w:tcMar>
          </w:tcPr>
          <w:p>
            <w:pPr>
              <w:spacing w:after="0" w:line="252" w:lineRule="auto"/>
              <w:jc w:val="left"/>
            </w:pPr>
            <w:r>
              <w:rPr>
                <w:rFonts w:ascii="Calibri" w:hAnsi="Calibri"/>
                <w:color w:val="000000"/>
                <w:sz w:val="17"/>
              </w:rPr>
              <w:t>VOL-CTRL</w:t>
            </w:r>
          </w:p>
        </w:tc>
        <w:tc>
          <w:tcPr>
            <w:tcW w:type="dxa" w:w="6260"/>
            <w:vAlign w:val="center"/>
            <w:tcMar>
              <w:top w:w="80" w:type="dxa"/>
              <w:start w:w="120" w:type="dxa"/>
              <w:bottom w:w="80" w:type="dxa"/>
              <w:end w:w="120" w:type="dxa"/>
            </w:tcMar>
          </w:tcPr>
          <w:p>
            <w:pPr>
              <w:spacing w:after="0" w:line="252" w:lineRule="auto"/>
              <w:jc w:val="left"/>
            </w:pPr>
            <w:r>
              <w:rPr>
                <w:rFonts w:ascii="Calibri" w:hAnsi="Calibri"/>
                <w:color w:val="000000"/>
                <w:sz w:val="17"/>
              </w:rPr>
              <w:t>Mesure s_+, μ_c et la divergence contrôlée du volume.</w:t>
            </w:r>
          </w:p>
        </w:tc>
      </w:tr>
      <w:tr>
        <w:tc>
          <w:tcPr>
            <w:tcW w:type="dxa" w:w="900"/>
            <w:vAlign w:val="center"/>
            <w:tcMar>
              <w:top w:w="80" w:type="dxa"/>
              <w:start w:w="120" w:type="dxa"/>
              <w:bottom w:w="80" w:type="dxa"/>
              <w:end w:w="120" w:type="dxa"/>
            </w:tcMar>
          </w:tcPr>
          <w:p>
            <w:pPr>
              <w:spacing w:after="0" w:line="252" w:lineRule="auto"/>
              <w:jc w:val="center"/>
            </w:pPr>
            <w:r>
              <w:rPr>
                <w:rFonts w:ascii="Calibri" w:hAnsi="Calibri"/>
                <w:color w:val="000000"/>
                <w:sz w:val="17"/>
              </w:rPr>
              <w:t>3</w:t>
            </w:r>
          </w:p>
        </w:tc>
        <w:tc>
          <w:tcPr>
            <w:tcW w:type="dxa" w:w="2200"/>
            <w:vAlign w:val="center"/>
            <w:tcMar>
              <w:top w:w="80" w:type="dxa"/>
              <w:start w:w="120" w:type="dxa"/>
              <w:bottom w:w="80" w:type="dxa"/>
              <w:end w:w="120" w:type="dxa"/>
            </w:tcMar>
          </w:tcPr>
          <w:p>
            <w:pPr>
              <w:spacing w:after="0" w:line="252" w:lineRule="auto"/>
              <w:jc w:val="left"/>
            </w:pPr>
            <w:r>
              <w:rPr>
                <w:rFonts w:ascii="Calibri" w:hAnsi="Calibri"/>
                <w:color w:val="000000"/>
                <w:sz w:val="17"/>
              </w:rPr>
              <w:t>KIN-RG</w:t>
            </w:r>
          </w:p>
        </w:tc>
        <w:tc>
          <w:tcPr>
            <w:tcW w:type="dxa" w:w="6260"/>
            <w:vAlign w:val="center"/>
            <w:tcMar>
              <w:top w:w="80" w:type="dxa"/>
              <w:start w:w="120" w:type="dxa"/>
              <w:bottom w:w="80" w:type="dxa"/>
              <w:end w:w="120" w:type="dxa"/>
            </w:tcMar>
          </w:tcPr>
          <w:p>
            <w:pPr>
              <w:spacing w:after="0" w:line="252" w:lineRule="auto"/>
              <w:jc w:val="left"/>
            </w:pPr>
            <w:r>
              <w:rPr>
                <w:rFonts w:ascii="Calibri" w:hAnsi="Calibri"/>
                <w:color w:val="000000"/>
                <w:sz w:val="17"/>
              </w:rPr>
              <w:t>Teste le flot de ρ_14/ρ_23 dans la classe bornée.</w:t>
            </w:r>
          </w:p>
        </w:tc>
      </w:tr>
      <w:tr>
        <w:tc>
          <w:tcPr>
            <w:tcW w:type="dxa" w:w="900"/>
            <w:vAlign w:val="center"/>
            <w:tcMar>
              <w:top w:w="80" w:type="dxa"/>
              <w:start w:w="120" w:type="dxa"/>
              <w:bottom w:w="80" w:type="dxa"/>
              <w:end w:w="120" w:type="dxa"/>
            </w:tcMar>
          </w:tcPr>
          <w:p>
            <w:pPr>
              <w:spacing w:after="0" w:line="252" w:lineRule="auto"/>
              <w:jc w:val="center"/>
            </w:pPr>
            <w:r>
              <w:rPr>
                <w:rFonts w:ascii="Calibri" w:hAnsi="Calibri"/>
                <w:color w:val="000000"/>
                <w:sz w:val="17"/>
              </w:rPr>
              <w:t>4</w:t>
            </w:r>
          </w:p>
        </w:tc>
        <w:tc>
          <w:tcPr>
            <w:tcW w:type="dxa" w:w="2200"/>
            <w:vAlign w:val="center"/>
            <w:tcMar>
              <w:top w:w="80" w:type="dxa"/>
              <w:start w:w="120" w:type="dxa"/>
              <w:bottom w:w="80" w:type="dxa"/>
              <w:end w:w="120" w:type="dxa"/>
            </w:tcMar>
          </w:tcPr>
          <w:p>
            <w:pPr>
              <w:spacing w:after="0" w:line="252" w:lineRule="auto"/>
              <w:jc w:val="left"/>
            </w:pPr>
            <w:r>
              <w:rPr>
                <w:rFonts w:ascii="Calibri" w:hAnsi="Calibri"/>
                <w:color w:val="000000"/>
                <w:sz w:val="17"/>
              </w:rPr>
              <w:t>SPIN-SECTORS</w:t>
            </w:r>
          </w:p>
        </w:tc>
        <w:tc>
          <w:tcPr>
            <w:tcW w:type="dxa" w:w="6260"/>
            <w:vAlign w:val="center"/>
            <w:tcMar>
              <w:top w:w="80" w:type="dxa"/>
              <w:start w:w="120" w:type="dxa"/>
              <w:bottom w:w="80" w:type="dxa"/>
              <w:end w:w="120" w:type="dxa"/>
            </w:tcMar>
          </w:tcPr>
          <w:p>
            <w:pPr>
              <w:spacing w:after="0" w:line="252" w:lineRule="auto"/>
              <w:jc w:val="left"/>
            </w:pPr>
            <w:r>
              <w:rPr>
                <w:rFonts w:ascii="Calibri" w:hAnsi="Calibri"/>
                <w:color w:val="000000"/>
                <w:sz w:val="17"/>
              </w:rPr>
              <w:t>Construit les sous-espaces invariants physiques.</w:t>
            </w:r>
          </w:p>
        </w:tc>
      </w:tr>
      <w:tr>
        <w:tc>
          <w:tcPr>
            <w:tcW w:type="dxa" w:w="900"/>
            <w:vAlign w:val="center"/>
            <w:tcMar>
              <w:top w:w="80" w:type="dxa"/>
              <w:start w:w="120" w:type="dxa"/>
              <w:bottom w:w="80" w:type="dxa"/>
              <w:end w:w="120" w:type="dxa"/>
            </w:tcMar>
          </w:tcPr>
          <w:p>
            <w:pPr>
              <w:spacing w:after="0" w:line="252" w:lineRule="auto"/>
              <w:jc w:val="center"/>
            </w:pPr>
            <w:r>
              <w:rPr>
                <w:rFonts w:ascii="Calibri" w:hAnsi="Calibri"/>
                <w:color w:val="000000"/>
                <w:sz w:val="17"/>
              </w:rPr>
              <w:t>5</w:t>
            </w:r>
          </w:p>
        </w:tc>
        <w:tc>
          <w:tcPr>
            <w:tcW w:type="dxa" w:w="2200"/>
            <w:vAlign w:val="center"/>
            <w:tcMar>
              <w:top w:w="80" w:type="dxa"/>
              <w:start w:w="120" w:type="dxa"/>
              <w:bottom w:w="80" w:type="dxa"/>
              <w:end w:w="120" w:type="dxa"/>
            </w:tcMar>
          </w:tcPr>
          <w:p>
            <w:pPr>
              <w:spacing w:after="0" w:line="252" w:lineRule="auto"/>
              <w:jc w:val="left"/>
            </w:pPr>
            <w:r>
              <w:rPr>
                <w:rFonts w:ascii="Calibri" w:hAnsi="Calibri"/>
                <w:color w:val="000000"/>
                <w:sz w:val="17"/>
              </w:rPr>
              <w:t>LR-PHYS</w:t>
            </w:r>
          </w:p>
        </w:tc>
        <w:tc>
          <w:tcPr>
            <w:tcW w:type="dxa" w:w="6260"/>
            <w:vAlign w:val="center"/>
            <w:tcMar>
              <w:top w:w="80" w:type="dxa"/>
              <w:start w:w="120" w:type="dxa"/>
              <w:bottom w:w="80" w:type="dxa"/>
              <w:end w:w="120" w:type="dxa"/>
            </w:tcMar>
          </w:tcPr>
          <w:p>
            <w:pPr>
              <w:spacing w:after="0" w:line="252" w:lineRule="auto"/>
              <w:jc w:val="left"/>
            </w:pPr>
            <w:r>
              <w:rPr>
                <w:rFonts w:ascii="Calibri" w:hAnsi="Calibri"/>
                <w:color w:val="000000"/>
                <w:sz w:val="17"/>
              </w:rPr>
              <w:t>Compare distance de configuration et séparation spatiale.</w:t>
            </w:r>
          </w:p>
        </w:tc>
      </w:tr>
      <w:tr>
        <w:tc>
          <w:tcPr>
            <w:tcW w:type="dxa" w:w="900"/>
            <w:vAlign w:val="center"/>
            <w:tcMar>
              <w:top w:w="80" w:type="dxa"/>
              <w:start w:w="120" w:type="dxa"/>
              <w:bottom w:w="80" w:type="dxa"/>
              <w:end w:w="120" w:type="dxa"/>
            </w:tcMar>
          </w:tcPr>
          <w:p>
            <w:pPr>
              <w:spacing w:after="0" w:line="252" w:lineRule="auto"/>
              <w:jc w:val="center"/>
            </w:pPr>
            <w:r>
              <w:rPr>
                <w:rFonts w:ascii="Calibri" w:hAnsi="Calibri"/>
                <w:color w:val="000000"/>
                <w:sz w:val="17"/>
              </w:rPr>
              <w:t>6</w:t>
            </w:r>
          </w:p>
        </w:tc>
        <w:tc>
          <w:tcPr>
            <w:tcW w:type="dxa" w:w="2200"/>
            <w:vAlign w:val="center"/>
            <w:tcMar>
              <w:top w:w="80" w:type="dxa"/>
              <w:start w:w="120" w:type="dxa"/>
              <w:bottom w:w="80" w:type="dxa"/>
              <w:end w:w="120" w:type="dxa"/>
            </w:tcMar>
          </w:tcPr>
          <w:p>
            <w:pPr>
              <w:spacing w:after="0" w:line="252" w:lineRule="auto"/>
              <w:jc w:val="left"/>
            </w:pPr>
            <w:r>
              <w:rPr>
                <w:rFonts w:ascii="Calibri" w:hAnsi="Calibri"/>
                <w:color w:val="000000"/>
                <w:sz w:val="17"/>
              </w:rPr>
              <w:t>SPECTRUM</w:t>
            </w:r>
          </w:p>
        </w:tc>
        <w:tc>
          <w:tcPr>
            <w:tcW w:type="dxa" w:w="6260"/>
            <w:vAlign w:val="center"/>
            <w:tcMar>
              <w:top w:w="80" w:type="dxa"/>
              <w:start w:w="120" w:type="dxa"/>
              <w:bottom w:w="80" w:type="dxa"/>
              <w:end w:w="120" w:type="dxa"/>
            </w:tcMar>
          </w:tcPr>
          <w:p>
            <w:pPr>
              <w:spacing w:after="0" w:line="252" w:lineRule="auto"/>
              <w:jc w:val="left"/>
            </w:pPr>
            <w:r>
              <w:rPr>
                <w:rFonts w:ascii="Calibri" w:hAnsi="Calibri"/>
                <w:color w:val="000000"/>
                <w:sz w:val="17"/>
              </w:rPr>
              <w:t>Les gaps sectoriels deviennent des candidats de masse.</w:t>
            </w:r>
          </w:p>
        </w:tc>
      </w:tr>
    </w:tbl>
    <w:p>
      <w:pPr>
        <w:keepLines w:val="0"/>
        <w:spacing w:before="0" w:after="40" w:line="264" w:lineRule="auto"/>
        <w:jc w:val="left"/>
      </w:pPr>
      <w:r>
        <w:rPr>
          <w:rFonts w:ascii="Calibri" w:hAnsi="Calibri"/>
          <w:b w:val="0"/>
          <w:i w:val="0"/>
          <w:color w:val="000000"/>
          <w:sz w:val="22"/>
        </w:rPr>
      </w:r>
    </w:p>
    <w:p>
      <w:pPr>
        <w:pStyle w:val="Heading1"/>
        <w:keepNext/>
      </w:pPr>
      <w:r>
        <w:t>Certificat indépendant</w:t>
      </w:r>
    </w:p>
    <w:p>
      <w:pPr>
        <w:keepLines w:val="0"/>
        <w:spacing w:before="0" w:after="120" w:line="264" w:lineRule="auto"/>
        <w:jc w:val="left"/>
      </w:pPr>
      <w:r>
        <w:rPr>
          <w:rFonts w:ascii="Calibri" w:hAnsi="Calibri"/>
          <w:b w:val="0"/>
          <w:i w:val="0"/>
          <w:color w:val="000000"/>
          <w:sz w:val="22"/>
        </w:rPr>
        <w:t>Le script verify_m2w_gen_wellposed.py vérifie les identités sur des objets distincts du code M2-W : compositions de coordinations, orbites exactes de graphes étiquetés et matrices réversibles.</w:t>
      </w:r>
    </w:p>
    <w:tbl>
      <w:tblPr>
        <w:tblW w:type="dxa" w:w="9360"/>
        <w:tblLayout w:type="fixed"/>
        <w:tblLook w:firstColumn="1" w:firstRow="1" w:lastColumn="0" w:lastRow="0" w:noHBand="0" w:noVBand="1" w:val="04A0"/>
        <w:jc w:val="left"/>
        <w:tblInd w:w="120" w:type="dxa"/>
      </w:tblPr>
      <w:tblGrid>
        <w:gridCol w:w="4700"/>
        <w:gridCol w:w="4660"/>
      </w:tblGrid>
      <w:tr>
        <w:trPr>
          <w:tblHeader w:val="true"/>
        </w:trPr>
        <w:tc>
          <w:tcPr>
            <w:tcW w:type="dxa" w:w="4700"/>
            <w:tcMar>
              <w:top w:w="80" w:type="dxa"/>
              <w:start w:w="120" w:type="dxa"/>
              <w:bottom w:w="80" w:type="dxa"/>
              <w:end w:w="120" w:type="dxa"/>
            </w:tcMar>
            <w:vAlign w:val="center"/>
            <w:shd w:fill="E8EEF5"/>
          </w:tcPr>
          <w:p>
            <w:pPr>
              <w:spacing w:after="0"/>
              <w:jc w:val="left"/>
            </w:pPr>
            <w:r>
              <w:rPr>
                <w:rFonts w:ascii="Calibri" w:hAnsi="Calibri"/>
                <w:b/>
                <w:color w:val="0B2545"/>
                <w:sz w:val="18"/>
              </w:rPr>
              <w:t>Contrôle</w:t>
            </w:r>
          </w:p>
        </w:tc>
        <w:tc>
          <w:tcPr>
            <w:tcW w:type="dxa" w:w="4660"/>
            <w:tcMar>
              <w:top w:w="80" w:type="dxa"/>
              <w:start w:w="120" w:type="dxa"/>
              <w:bottom w:w="80" w:type="dxa"/>
              <w:end w:w="120" w:type="dxa"/>
            </w:tcMar>
            <w:vAlign w:val="center"/>
            <w:shd w:fill="E8EEF5"/>
          </w:tcPr>
          <w:p>
            <w:pPr>
              <w:spacing w:after="0"/>
              <w:jc w:val="left"/>
            </w:pPr>
            <w:r>
              <w:rPr>
                <w:rFonts w:ascii="Calibri" w:hAnsi="Calibri"/>
                <w:b/>
                <w:color w:val="0B2545"/>
                <w:sz w:val="18"/>
              </w:rPr>
              <w:t>Valeur certifiée</w:t>
            </w:r>
          </w:p>
        </w:tc>
      </w:tr>
      <w:tr>
        <w:tc>
          <w:tcPr>
            <w:tcW w:type="dxa" w:w="4700"/>
            <w:vAlign w:val="center"/>
            <w:tcMar>
              <w:top w:w="80" w:type="dxa"/>
              <w:start w:w="120" w:type="dxa"/>
              <w:bottom w:w="80" w:type="dxa"/>
              <w:end w:w="120" w:type="dxa"/>
            </w:tcMar>
          </w:tcPr>
          <w:p>
            <w:pPr>
              <w:spacing w:after="0" w:line="252" w:lineRule="auto"/>
              <w:jc w:val="left"/>
            </w:pPr>
            <w:r>
              <w:rPr>
                <w:rFonts w:ascii="Calibri" w:hAnsi="Calibri"/>
                <w:color w:val="000000"/>
                <w:sz w:val="17"/>
              </w:rPr>
              <w:t>Maximum échantillonné L/(2N log4)</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1,000000000000</w:t>
            </w:r>
          </w:p>
        </w:tc>
      </w:tr>
      <w:tr>
        <w:tc>
          <w:tcPr>
            <w:tcW w:type="dxa" w:w="4700"/>
            <w:vAlign w:val="center"/>
            <w:tcMar>
              <w:top w:w="80" w:type="dxa"/>
              <w:start w:w="120" w:type="dxa"/>
              <w:bottom w:w="80" w:type="dxa"/>
              <w:end w:w="120" w:type="dxa"/>
            </w:tcMar>
          </w:tcPr>
          <w:p>
            <w:pPr>
              <w:spacing w:after="0" w:line="252" w:lineRule="auto"/>
              <w:jc w:val="left"/>
            </w:pPr>
            <w:r>
              <w:rPr>
                <w:rFonts w:ascii="Calibri" w:hAnsi="Calibri"/>
                <w:color w:val="000000"/>
                <w:sz w:val="17"/>
              </w:rPr>
              <w:t>Excès sur Jensen</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1,137·10^-13</w:t>
            </w:r>
          </w:p>
        </w:tc>
      </w:tr>
      <w:tr>
        <w:tc>
          <w:tcPr>
            <w:tcW w:type="dxa" w:w="4700"/>
            <w:vAlign w:val="center"/>
            <w:tcMar>
              <w:top w:w="80" w:type="dxa"/>
              <w:start w:w="120" w:type="dxa"/>
              <w:bottom w:w="80" w:type="dxa"/>
              <w:end w:w="120" w:type="dxa"/>
            </w:tcMar>
          </w:tcPr>
          <w:p>
            <w:pPr>
              <w:spacing w:after="0" w:line="252" w:lineRule="auto"/>
              <w:jc w:val="left"/>
            </w:pPr>
            <w:r>
              <w:rPr>
                <w:rFonts w:ascii="Calibri" w:hAnsi="Calibri"/>
                <w:color w:val="000000"/>
                <w:sz w:val="17"/>
              </w:rPr>
              <w:t>Orbites exactes de graphes à 4 sommets</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11</w:t>
            </w:r>
          </w:p>
        </w:tc>
      </w:tr>
      <w:tr>
        <w:tc>
          <w:tcPr>
            <w:tcW w:type="dxa" w:w="4700"/>
            <w:vAlign w:val="center"/>
            <w:tcMar>
              <w:top w:w="80" w:type="dxa"/>
              <w:start w:w="120" w:type="dxa"/>
              <w:bottom w:w="80" w:type="dxa"/>
              <w:end w:w="120" w:type="dxa"/>
            </w:tcMar>
          </w:tcPr>
          <w:p>
            <w:pPr>
              <w:spacing w:after="0" w:line="252" w:lineRule="auto"/>
              <w:jc w:val="left"/>
            </w:pPr>
            <w:r>
              <w:rPr>
                <w:rFonts w:ascii="Calibri" w:hAnsi="Calibri"/>
                <w:color w:val="000000"/>
                <w:sz w:val="17"/>
              </w:rPr>
              <w:t>Somme groupoïde exacte</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243/8</w:t>
            </w:r>
          </w:p>
        </w:tc>
      </w:tr>
      <w:tr>
        <w:tc>
          <w:tcPr>
            <w:tcW w:type="dxa" w:w="4700"/>
            <w:vAlign w:val="center"/>
            <w:tcMar>
              <w:top w:w="80" w:type="dxa"/>
              <w:start w:w="120" w:type="dxa"/>
              <w:bottom w:w="80" w:type="dxa"/>
              <w:end w:w="120" w:type="dxa"/>
            </w:tcMar>
          </w:tcPr>
          <w:p>
            <w:pPr>
              <w:spacing w:after="0" w:line="252" w:lineRule="auto"/>
              <w:jc w:val="left"/>
            </w:pPr>
            <w:r>
              <w:rPr>
                <w:rFonts w:ascii="Calibri" w:hAnsi="Calibri"/>
                <w:color w:val="000000"/>
                <w:sz w:val="17"/>
              </w:rPr>
              <w:t>Erreur orbit-stabilizer</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0</w:t>
            </w:r>
          </w:p>
        </w:tc>
      </w:tr>
      <w:tr>
        <w:tc>
          <w:tcPr>
            <w:tcW w:type="dxa" w:w="4700"/>
            <w:vAlign w:val="center"/>
            <w:tcMar>
              <w:top w:w="80" w:type="dxa"/>
              <w:start w:w="120" w:type="dxa"/>
              <w:bottom w:w="80" w:type="dxa"/>
              <w:end w:w="120" w:type="dxa"/>
            </w:tcMar>
          </w:tcPr>
          <w:p>
            <w:pPr>
              <w:spacing w:after="0" w:line="252" w:lineRule="auto"/>
              <w:jc w:val="left"/>
            </w:pPr>
            <w:r>
              <w:rPr>
                <w:rFonts w:ascii="Calibri" w:hAnsi="Calibri"/>
                <w:color w:val="000000"/>
                <w:sz w:val="17"/>
              </w:rPr>
              <w:t>Erreur balance détaillée</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6,939·10^-18</w:t>
            </w:r>
          </w:p>
        </w:tc>
      </w:tr>
      <w:tr>
        <w:tc>
          <w:tcPr>
            <w:tcW w:type="dxa" w:w="4700"/>
            <w:vAlign w:val="center"/>
            <w:tcMar>
              <w:top w:w="80" w:type="dxa"/>
              <w:start w:w="120" w:type="dxa"/>
              <w:bottom w:w="80" w:type="dxa"/>
              <w:end w:w="120" w:type="dxa"/>
            </w:tcMar>
          </w:tcPr>
          <w:p>
            <w:pPr>
              <w:spacing w:after="0" w:line="252" w:lineRule="auto"/>
              <w:jc w:val="left"/>
            </w:pPr>
            <w:r>
              <w:rPr>
                <w:rFonts w:ascii="Calibri" w:hAnsi="Calibri"/>
                <w:color w:val="000000"/>
                <w:sz w:val="17"/>
              </w:rPr>
              <w:t>Erreur symétrie de H</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4,981·10^-16</w:t>
            </w:r>
          </w:p>
        </w:tc>
      </w:tr>
      <w:tr>
        <w:tc>
          <w:tcPr>
            <w:tcW w:type="dxa" w:w="4700"/>
            <w:vAlign w:val="center"/>
            <w:tcMar>
              <w:top w:w="80" w:type="dxa"/>
              <w:start w:w="120" w:type="dxa"/>
              <w:bottom w:w="80" w:type="dxa"/>
              <w:end w:w="120" w:type="dxa"/>
            </w:tcMar>
          </w:tcPr>
          <w:p>
            <w:pPr>
              <w:spacing w:after="0" w:line="252" w:lineRule="auto"/>
              <w:jc w:val="left"/>
            </w:pPr>
            <w:r>
              <w:rPr>
                <w:rFonts w:ascii="Calibri" w:hAnsi="Calibri"/>
                <w:color w:val="000000"/>
                <w:sz w:val="17"/>
              </w:rPr>
              <w:t>Erreur état fondamental</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3,201·10^-16</w:t>
            </w:r>
          </w:p>
        </w:tc>
      </w:tr>
      <w:tr>
        <w:tc>
          <w:tcPr>
            <w:tcW w:type="dxa" w:w="4700"/>
            <w:vAlign w:val="center"/>
            <w:tcMar>
              <w:top w:w="80" w:type="dxa"/>
              <w:start w:w="120" w:type="dxa"/>
              <w:bottom w:w="80" w:type="dxa"/>
              <w:end w:w="120" w:type="dxa"/>
            </w:tcMar>
          </w:tcPr>
          <w:p>
            <w:pPr>
              <w:spacing w:after="0" w:line="252" w:lineRule="auto"/>
              <w:jc w:val="left"/>
            </w:pPr>
            <w:r>
              <w:rPr>
                <w:rFonts w:ascii="Calibri" w:hAnsi="Calibri"/>
                <w:color w:val="000000"/>
                <w:sz w:val="17"/>
              </w:rPr>
              <w:t>Rapport maximal à la borne de ligne</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0,072011</w:t>
            </w:r>
          </w:p>
        </w:tc>
      </w:tr>
      <w:tr>
        <w:tc>
          <w:tcPr>
            <w:tcW w:type="dxa" w:w="4700"/>
            <w:vAlign w:val="center"/>
            <w:tcMar>
              <w:top w:w="80" w:type="dxa"/>
              <w:start w:w="120" w:type="dxa"/>
              <w:bottom w:w="80" w:type="dxa"/>
              <w:end w:w="120" w:type="dxa"/>
            </w:tcMar>
          </w:tcPr>
          <w:p>
            <w:pPr>
              <w:spacing w:after="0" w:line="252" w:lineRule="auto"/>
              <w:jc w:val="left"/>
            </w:pPr>
            <w:r>
              <w:rPr>
                <w:rFonts w:ascii="Calibri" w:hAnsi="Calibri"/>
                <w:color w:val="000000"/>
                <w:sz w:val="17"/>
              </w:rPr>
              <w:t>Taux KIN-FLAT extrême testé</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10^6</w:t>
            </w:r>
          </w:p>
        </w:tc>
      </w:tr>
      <w:tr>
        <w:tc>
          <w:tcPr>
            <w:tcW w:type="dxa" w:w="4700"/>
            <w:vAlign w:val="center"/>
            <w:tcMar>
              <w:top w:w="80" w:type="dxa"/>
              <w:start w:w="120" w:type="dxa"/>
              <w:bottom w:w="80" w:type="dxa"/>
              <w:end w:w="120" w:type="dxa"/>
            </w:tcMar>
          </w:tcPr>
          <w:p>
            <w:pPr>
              <w:spacing w:after="0" w:line="252" w:lineRule="auto"/>
              <w:jc w:val="left"/>
            </w:pPr>
            <w:r>
              <w:rPr>
                <w:rFonts w:ascii="Calibri" w:hAnsi="Calibri"/>
                <w:color w:val="000000"/>
                <w:sz w:val="17"/>
              </w:rPr>
              <w:t>Taux Metropolis maximal</w:t>
            </w:r>
          </w:p>
        </w:tc>
        <w:tc>
          <w:tcPr>
            <w:tcW w:type="dxa" w:w="4660"/>
            <w:vAlign w:val="center"/>
            <w:tcMar>
              <w:top w:w="80" w:type="dxa"/>
              <w:start w:w="120" w:type="dxa"/>
              <w:bottom w:w="80" w:type="dxa"/>
              <w:end w:w="120" w:type="dxa"/>
            </w:tcMar>
          </w:tcPr>
          <w:p>
            <w:pPr>
              <w:spacing w:after="0" w:line="252" w:lineRule="auto"/>
              <w:jc w:val="left"/>
            </w:pPr>
            <w:r>
              <w:rPr>
                <w:rFonts w:ascii="Calibri" w:hAnsi="Calibri"/>
                <w:color w:val="000000"/>
                <w:sz w:val="17"/>
              </w:rPr>
              <w:t>1</w:t>
            </w:r>
          </w:p>
        </w:tc>
      </w:tr>
    </w:tbl>
    <w:p>
      <w:pPr>
        <w:keepLines w:val="0"/>
        <w:spacing w:before="0" w:after="40" w:line="264" w:lineRule="auto"/>
        <w:jc w:val="left"/>
      </w:pPr>
      <w:r>
        <w:rPr>
          <w:rFonts w:ascii="Calibri" w:hAnsi="Calibri"/>
          <w:b w:val="0"/>
          <w:i w:val="0"/>
          <w:color w:val="000000"/>
          <w:sz w:val="22"/>
        </w:rPr>
      </w:r>
    </w:p>
    <w:p>
      <w:pPr>
        <w:keepLines/>
        <w:spacing w:before="60" w:after="140" w:line="240" w:lineRule="auto"/>
        <w:jc w:val="center"/>
      </w:pPr>
      <w:r>
        <w:rPr>
          <w:rFonts w:ascii="Cambria Math" w:hAnsi="Cambria Math"/>
          <w:color w:val="0B2545"/>
          <w:sz w:val="22"/>
        </w:rPr>
        <w:t>Sortie exigée : ALL CHECKS PASSED.</w:t>
      </w:r>
    </w:p>
    <w:p>
      <w:pPr>
        <w:pStyle w:val="Heading1"/>
        <w:keepNext/>
      </w:pPr>
      <w:r>
        <w:t>Registre mis à jour</w:t>
      </w:r>
    </w:p>
    <w:tbl>
      <w:tblPr>
        <w:tblW w:type="dxa" w:w="9360"/>
        <w:tblLayout w:type="fixed"/>
        <w:tblLook w:firstColumn="1" w:firstRow="1" w:lastColumn="0" w:lastRow="0" w:noHBand="0" w:noVBand="1" w:val="04A0"/>
        <w:jc w:val="left"/>
        <w:tblInd w:w="120" w:type="dxa"/>
      </w:tblPr>
      <w:tblGrid>
        <w:gridCol w:w="2500"/>
        <w:gridCol w:w="2700"/>
        <w:gridCol w:w="4160"/>
      </w:tblGrid>
      <w:tr>
        <w:trPr>
          <w:tblHeader w:val="true"/>
        </w:trPr>
        <w:tc>
          <w:tcPr>
            <w:tcW w:type="dxa" w:w="2500"/>
            <w:tcMar>
              <w:top w:w="80" w:type="dxa"/>
              <w:start w:w="120" w:type="dxa"/>
              <w:bottom w:w="80" w:type="dxa"/>
              <w:end w:w="120" w:type="dxa"/>
            </w:tcMar>
            <w:vAlign w:val="center"/>
            <w:shd w:fill="E8EEF5"/>
          </w:tcPr>
          <w:p>
            <w:pPr>
              <w:spacing w:after="0"/>
              <w:jc w:val="left"/>
            </w:pPr>
            <w:r>
              <w:rPr>
                <w:rFonts w:ascii="Calibri" w:hAnsi="Calibri"/>
                <w:b/>
                <w:color w:val="0B2545"/>
                <w:sz w:val="18"/>
              </w:rPr>
              <w:t>Porte</w:t>
            </w:r>
          </w:p>
        </w:tc>
        <w:tc>
          <w:tcPr>
            <w:tcW w:type="dxa" w:w="2700"/>
            <w:tcMar>
              <w:top w:w="80" w:type="dxa"/>
              <w:start w:w="120" w:type="dxa"/>
              <w:bottom w:w="80" w:type="dxa"/>
              <w:end w:w="120" w:type="dxa"/>
            </w:tcMar>
            <w:vAlign w:val="center"/>
            <w:shd w:fill="E8EEF5"/>
          </w:tcPr>
          <w:p>
            <w:pPr>
              <w:spacing w:after="0"/>
              <w:jc w:val="left"/>
            </w:pPr>
            <w:r>
              <w:rPr>
                <w:rFonts w:ascii="Calibri" w:hAnsi="Calibri"/>
                <w:b/>
                <w:color w:val="0B2545"/>
                <w:sz w:val="18"/>
              </w:rPr>
              <w:t>Verdict</w:t>
            </w:r>
          </w:p>
        </w:tc>
        <w:tc>
          <w:tcPr>
            <w:tcW w:type="dxa" w:w="4160"/>
            <w:tcMar>
              <w:top w:w="80" w:type="dxa"/>
              <w:start w:w="120" w:type="dxa"/>
              <w:bottom w:w="80" w:type="dxa"/>
              <w:end w:w="120" w:type="dxa"/>
            </w:tcMar>
            <w:vAlign w:val="center"/>
            <w:shd w:fill="E8EEF5"/>
          </w:tcPr>
          <w:p>
            <w:pPr>
              <w:spacing w:after="0"/>
              <w:jc w:val="left"/>
            </w:pPr>
            <w:r>
              <w:rPr>
                <w:rFonts w:ascii="Calibri" w:hAnsi="Calibri"/>
                <w:b/>
                <w:color w:val="0B2545"/>
                <w:sz w:val="18"/>
              </w:rPr>
              <w:t>Portée exacte</w:t>
            </w:r>
          </w:p>
        </w:tc>
      </w:tr>
      <w:tr>
        <w:tc>
          <w:tcPr>
            <w:tcW w:type="dxa" w:w="2500"/>
            <w:vAlign w:val="center"/>
            <w:tcMar>
              <w:top w:w="80" w:type="dxa"/>
              <w:start w:w="120" w:type="dxa"/>
              <w:bottom w:w="80" w:type="dxa"/>
              <w:end w:w="120" w:type="dxa"/>
            </w:tcMar>
          </w:tcPr>
          <w:p>
            <w:pPr>
              <w:spacing w:after="0" w:line="252" w:lineRule="auto"/>
              <w:jc w:val="left"/>
            </w:pPr>
            <w:r>
              <w:rPr>
                <w:rFonts w:ascii="Calibri" w:hAnsi="Calibri"/>
                <w:color w:val="000000"/>
                <w:sz w:val="17"/>
              </w:rPr>
              <w:t>RP-cutoff</w:t>
            </w:r>
          </w:p>
        </w:tc>
        <w:tc>
          <w:tcPr>
            <w:tcW w:type="dxa" w:w="27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w:t>
            </w:r>
          </w:p>
        </w:tc>
        <w:tc>
          <w:tcPr>
            <w:tcW w:type="dxa" w:w="4160"/>
            <w:vAlign w:val="center"/>
            <w:tcMar>
              <w:top w:w="80" w:type="dxa"/>
              <w:start w:w="120" w:type="dxa"/>
              <w:bottom w:w="80" w:type="dxa"/>
              <w:end w:w="120" w:type="dxa"/>
            </w:tcMar>
          </w:tcPr>
          <w:p>
            <w:pPr>
              <w:spacing w:after="0" w:line="252" w:lineRule="auto"/>
              <w:jc w:val="left"/>
            </w:pPr>
            <w:r>
              <w:rPr>
                <w:rFonts w:ascii="Calibri" w:hAnsi="Calibri"/>
                <w:color w:val="000000"/>
                <w:sz w:val="17"/>
              </w:rPr>
              <w:t>sous A0-A7</w:t>
            </w:r>
          </w:p>
        </w:tc>
      </w:tr>
      <w:tr>
        <w:tc>
          <w:tcPr>
            <w:tcW w:type="dxa" w:w="2500"/>
            <w:vAlign w:val="center"/>
            <w:tcMar>
              <w:top w:w="80" w:type="dxa"/>
              <w:start w:w="120" w:type="dxa"/>
              <w:bottom w:w="80" w:type="dxa"/>
              <w:end w:w="120" w:type="dxa"/>
            </w:tcMar>
          </w:tcPr>
          <w:p>
            <w:pPr>
              <w:spacing w:after="0" w:line="252" w:lineRule="auto"/>
              <w:jc w:val="left"/>
            </w:pPr>
            <w:r>
              <w:rPr>
                <w:rFonts w:ascii="Calibri" w:hAnsi="Calibri"/>
                <w:color w:val="000000"/>
                <w:sz w:val="17"/>
              </w:rPr>
              <w:t>Q-TIME</w:t>
            </w:r>
          </w:p>
        </w:tc>
        <w:tc>
          <w:tcPr>
            <w:tcW w:type="dxa" w:w="2700"/>
            <w:vAlign w:val="center"/>
            <w:tcMar>
              <w:top w:w="80" w:type="dxa"/>
              <w:start w:w="120" w:type="dxa"/>
              <w:bottom w:w="80" w:type="dxa"/>
              <w:end w:w="120" w:type="dxa"/>
            </w:tcMar>
          </w:tcPr>
          <w:p>
            <w:pPr>
              <w:spacing w:after="0" w:line="252" w:lineRule="auto"/>
              <w:jc w:val="left"/>
            </w:pPr>
            <w:r>
              <w:rPr>
                <w:rFonts w:ascii="Calibri" w:hAnsi="Calibri"/>
                <w:color w:val="000000"/>
                <w:sz w:val="17"/>
              </w:rPr>
              <w:t>RÉPARÉE</w:t>
            </w:r>
          </w:p>
        </w:tc>
        <w:tc>
          <w:tcPr>
            <w:tcW w:type="dxa" w:w="4160"/>
            <w:vAlign w:val="center"/>
            <w:tcMar>
              <w:top w:w="80" w:type="dxa"/>
              <w:start w:w="120" w:type="dxa"/>
              <w:bottom w:w="80" w:type="dxa"/>
              <w:end w:w="120" w:type="dxa"/>
            </w:tcMar>
          </w:tcPr>
          <w:p>
            <w:pPr>
              <w:spacing w:after="0" w:line="252" w:lineRule="auto"/>
              <w:jc w:val="left"/>
            </w:pPr>
            <w:r>
              <w:rPr>
                <w:rFonts w:ascii="Calibri" w:hAnsi="Calibri"/>
                <w:color w:val="000000"/>
                <w:sz w:val="17"/>
              </w:rPr>
              <w:t>Q_samp séparé de Q_phys</w:t>
            </w:r>
          </w:p>
        </w:tc>
      </w:tr>
      <w:tr>
        <w:tc>
          <w:tcPr>
            <w:tcW w:type="dxa" w:w="2500"/>
            <w:vAlign w:val="center"/>
            <w:tcMar>
              <w:top w:w="80" w:type="dxa"/>
              <w:start w:w="120" w:type="dxa"/>
              <w:bottom w:w="80" w:type="dxa"/>
              <w:end w:w="120" w:type="dxa"/>
            </w:tcMar>
          </w:tcPr>
          <w:p>
            <w:pPr>
              <w:spacing w:after="0" w:line="252" w:lineRule="auto"/>
              <w:jc w:val="left"/>
            </w:pPr>
            <w:r>
              <w:rPr>
                <w:rFonts w:ascii="Calibri" w:hAnsi="Calibri"/>
                <w:color w:val="000000"/>
                <w:sz w:val="17"/>
              </w:rPr>
              <w:t>NORM-ROOT</w:t>
            </w:r>
          </w:p>
        </w:tc>
        <w:tc>
          <w:tcPr>
            <w:tcW w:type="dxa" w:w="27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w:t>
            </w:r>
          </w:p>
        </w:tc>
        <w:tc>
          <w:tcPr>
            <w:tcW w:type="dxa" w:w="4160"/>
            <w:vAlign w:val="center"/>
            <w:tcMar>
              <w:top w:w="80" w:type="dxa"/>
              <w:start w:w="120" w:type="dxa"/>
              <w:bottom w:w="80" w:type="dxa"/>
              <w:end w:w="120" w:type="dxa"/>
            </w:tcMar>
          </w:tcPr>
          <w:p>
            <w:pPr>
              <w:spacing w:after="0" w:line="252" w:lineRule="auto"/>
              <w:jc w:val="left"/>
            </w:pPr>
            <w:r>
              <w:rPr>
                <w:rFonts w:ascii="Calibri" w:hAnsi="Calibri"/>
                <w:color w:val="000000"/>
                <w:sz w:val="17"/>
              </w:rPr>
              <w:t>seuil μ_c=τs_+</w:t>
            </w:r>
          </w:p>
        </w:tc>
      </w:tr>
      <w:tr>
        <w:tc>
          <w:tcPr>
            <w:tcW w:type="dxa" w:w="2500"/>
            <w:vAlign w:val="center"/>
            <w:tcMar>
              <w:top w:w="80" w:type="dxa"/>
              <w:start w:w="120" w:type="dxa"/>
              <w:bottom w:w="80" w:type="dxa"/>
              <w:end w:w="120" w:type="dxa"/>
            </w:tcMar>
          </w:tcPr>
          <w:p>
            <w:pPr>
              <w:spacing w:after="0" w:line="252" w:lineRule="auto"/>
              <w:jc w:val="left"/>
            </w:pPr>
            <w:r>
              <w:rPr>
                <w:rFonts w:ascii="Calibri" w:hAnsi="Calibri"/>
                <w:color w:val="000000"/>
                <w:sz w:val="17"/>
              </w:rPr>
              <w:t>NORM-M2W</w:t>
            </w:r>
          </w:p>
        </w:tc>
        <w:tc>
          <w:tcPr>
            <w:tcW w:type="dxa" w:w="2700"/>
            <w:vAlign w:val="center"/>
            <w:tcMar>
              <w:top w:w="80" w:type="dxa"/>
              <w:start w:w="120" w:type="dxa"/>
              <w:bottom w:w="80" w:type="dxa"/>
              <w:end w:w="120" w:type="dxa"/>
            </w:tcMar>
          </w:tcPr>
          <w:p>
            <w:pPr>
              <w:spacing w:after="0" w:line="252" w:lineRule="auto"/>
              <w:jc w:val="left"/>
            </w:pPr>
            <w:r>
              <w:rPr>
                <w:rFonts w:ascii="Calibri" w:hAnsi="Calibri"/>
                <w:color w:val="000000"/>
                <w:sz w:val="17"/>
              </w:rPr>
              <w:t>OUVERTE</w:t>
            </w:r>
          </w:p>
        </w:tc>
        <w:tc>
          <w:tcPr>
            <w:tcW w:type="dxa" w:w="4160"/>
            <w:vAlign w:val="center"/>
            <w:tcMar>
              <w:top w:w="80" w:type="dxa"/>
              <w:start w:w="120" w:type="dxa"/>
              <w:bottom w:w="80" w:type="dxa"/>
              <w:end w:w="120" w:type="dxa"/>
            </w:tcMar>
          </w:tcPr>
          <w:p>
            <w:pPr>
              <w:spacing w:after="0" w:line="252" w:lineRule="auto"/>
              <w:jc w:val="left"/>
            </w:pPr>
            <w:r>
              <w:rPr>
                <w:rFonts w:ascii="Calibri" w:hAnsi="Calibri"/>
                <w:color w:val="000000"/>
                <w:sz w:val="17"/>
              </w:rPr>
              <w:t>s_+ fini non démontré</w:t>
            </w:r>
          </w:p>
        </w:tc>
      </w:tr>
      <w:tr>
        <w:tc>
          <w:tcPr>
            <w:tcW w:type="dxa" w:w="2500"/>
            <w:vAlign w:val="center"/>
            <w:tcMar>
              <w:top w:w="80" w:type="dxa"/>
              <w:start w:w="120" w:type="dxa"/>
              <w:bottom w:w="80" w:type="dxa"/>
              <w:end w:w="120" w:type="dxa"/>
            </w:tcMar>
          </w:tcPr>
          <w:p>
            <w:pPr>
              <w:spacing w:after="0" w:line="252" w:lineRule="auto"/>
              <w:jc w:val="left"/>
            </w:pPr>
            <w:r>
              <w:rPr>
                <w:rFonts w:ascii="Calibri" w:hAnsi="Calibri"/>
                <w:color w:val="000000"/>
                <w:sz w:val="17"/>
              </w:rPr>
              <w:t>AUT-LIFT</w:t>
            </w:r>
          </w:p>
        </w:tc>
        <w:tc>
          <w:tcPr>
            <w:tcW w:type="dxa" w:w="27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w:t>
            </w:r>
          </w:p>
        </w:tc>
        <w:tc>
          <w:tcPr>
            <w:tcW w:type="dxa" w:w="4160"/>
            <w:vAlign w:val="center"/>
            <w:tcMar>
              <w:top w:w="80" w:type="dxa"/>
              <w:start w:w="120" w:type="dxa"/>
              <w:bottom w:w="80" w:type="dxa"/>
              <w:end w:w="120" w:type="dxa"/>
            </w:tcMar>
          </w:tcPr>
          <w:p>
            <w:pPr>
              <w:spacing w:after="0" w:line="252" w:lineRule="auto"/>
              <w:jc w:val="left"/>
            </w:pPr>
            <w:r>
              <w:rPr>
                <w:rFonts w:ascii="Calibri" w:hAnsi="Calibri"/>
                <w:color w:val="000000"/>
                <w:sz w:val="17"/>
              </w:rPr>
              <w:t>quotient exact par groupoïde</w:t>
            </w:r>
          </w:p>
        </w:tc>
      </w:tr>
      <w:tr>
        <w:tc>
          <w:tcPr>
            <w:tcW w:type="dxa" w:w="2500"/>
            <w:vAlign w:val="center"/>
            <w:tcMar>
              <w:top w:w="80" w:type="dxa"/>
              <w:start w:w="120" w:type="dxa"/>
              <w:bottom w:w="80" w:type="dxa"/>
              <w:end w:w="120" w:type="dxa"/>
            </w:tcMar>
          </w:tcPr>
          <w:p>
            <w:pPr>
              <w:spacing w:after="0" w:line="252" w:lineRule="auto"/>
              <w:jc w:val="left"/>
            </w:pPr>
            <w:r>
              <w:rPr>
                <w:rFonts w:ascii="Calibri" w:hAnsi="Calibri"/>
                <w:color w:val="000000"/>
                <w:sz w:val="17"/>
              </w:rPr>
              <w:t>NONEXP-BND</w:t>
            </w:r>
          </w:p>
        </w:tc>
        <w:tc>
          <w:tcPr>
            <w:tcW w:type="dxa" w:w="27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w:t>
            </w:r>
          </w:p>
        </w:tc>
        <w:tc>
          <w:tcPr>
            <w:tcW w:type="dxa" w:w="4160"/>
            <w:vAlign w:val="center"/>
            <w:tcMar>
              <w:top w:w="80" w:type="dxa"/>
              <w:start w:w="120" w:type="dxa"/>
              <w:bottom w:w="80" w:type="dxa"/>
              <w:end w:w="120" w:type="dxa"/>
            </w:tcMar>
          </w:tcPr>
          <w:p>
            <w:pPr>
              <w:spacing w:after="0" w:line="252" w:lineRule="auto"/>
              <w:jc w:val="left"/>
            </w:pPr>
            <w:r>
              <w:rPr>
                <w:rFonts w:ascii="Calibri" w:hAnsi="Calibri"/>
                <w:color w:val="000000"/>
                <w:sz w:val="17"/>
              </w:rPr>
              <w:t>taux bornés</w:t>
            </w:r>
          </w:p>
        </w:tc>
      </w:tr>
      <w:tr>
        <w:tc>
          <w:tcPr>
            <w:tcW w:type="dxa" w:w="2500"/>
            <w:vAlign w:val="center"/>
            <w:tcMar>
              <w:top w:w="80" w:type="dxa"/>
              <w:start w:w="120" w:type="dxa"/>
              <w:bottom w:w="80" w:type="dxa"/>
              <w:end w:w="120" w:type="dxa"/>
            </w:tcMar>
          </w:tcPr>
          <w:p>
            <w:pPr>
              <w:spacing w:after="0" w:line="252" w:lineRule="auto"/>
              <w:jc w:val="left"/>
            </w:pPr>
            <w:r>
              <w:rPr>
                <w:rFonts w:ascii="Calibri" w:hAnsi="Calibri"/>
                <w:color w:val="000000"/>
                <w:sz w:val="17"/>
              </w:rPr>
              <w:t>ESA-BND</w:t>
            </w:r>
          </w:p>
        </w:tc>
        <w:tc>
          <w:tcPr>
            <w:tcW w:type="dxa" w:w="27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w:t>
            </w:r>
          </w:p>
        </w:tc>
        <w:tc>
          <w:tcPr>
            <w:tcW w:type="dxa" w:w="4160"/>
            <w:vAlign w:val="center"/>
            <w:tcMar>
              <w:top w:w="80" w:type="dxa"/>
              <w:start w:w="120" w:type="dxa"/>
              <w:bottom w:w="80" w:type="dxa"/>
              <w:end w:w="120" w:type="dxa"/>
            </w:tcMar>
          </w:tcPr>
          <w:p>
            <w:pPr>
              <w:spacing w:after="0" w:line="252" w:lineRule="auto"/>
              <w:jc w:val="left"/>
            </w:pPr>
            <w:r>
              <w:rPr>
                <w:rFonts w:ascii="Calibri" w:hAnsi="Calibri"/>
                <w:color w:val="000000"/>
                <w:sz w:val="17"/>
              </w:rPr>
              <w:t>cœur à support fini</w:t>
            </w:r>
          </w:p>
        </w:tc>
      </w:tr>
      <w:tr>
        <w:tc>
          <w:tcPr>
            <w:tcW w:type="dxa" w:w="2500"/>
            <w:vAlign w:val="center"/>
            <w:tcMar>
              <w:top w:w="80" w:type="dxa"/>
              <w:start w:w="120" w:type="dxa"/>
              <w:bottom w:w="80" w:type="dxa"/>
              <w:end w:w="120" w:type="dxa"/>
            </w:tcMar>
          </w:tcPr>
          <w:p>
            <w:pPr>
              <w:spacing w:after="0" w:line="252" w:lineRule="auto"/>
              <w:jc w:val="left"/>
            </w:pPr>
            <w:r>
              <w:rPr>
                <w:rFonts w:ascii="Calibri" w:hAnsi="Calibri"/>
                <w:color w:val="000000"/>
                <w:sz w:val="17"/>
              </w:rPr>
              <w:t>KIN-FLAT</w:t>
            </w:r>
          </w:p>
        </w:tc>
        <w:tc>
          <w:tcPr>
            <w:tcW w:type="dxa" w:w="2700"/>
            <w:vAlign w:val="center"/>
            <w:tcMar>
              <w:top w:w="80" w:type="dxa"/>
              <w:start w:w="120" w:type="dxa"/>
              <w:bottom w:w="80" w:type="dxa"/>
              <w:end w:w="120" w:type="dxa"/>
            </w:tcMar>
          </w:tcPr>
          <w:p>
            <w:pPr>
              <w:spacing w:after="0" w:line="252" w:lineRule="auto"/>
              <w:jc w:val="left"/>
            </w:pPr>
            <w:r>
              <w:rPr>
                <w:rFonts w:ascii="Calibri" w:hAnsi="Calibri"/>
                <w:color w:val="000000"/>
                <w:sz w:val="17"/>
              </w:rPr>
              <w:t>NON CERTIFIÉ</w:t>
            </w:r>
          </w:p>
        </w:tc>
        <w:tc>
          <w:tcPr>
            <w:tcW w:type="dxa" w:w="4160"/>
            <w:vAlign w:val="center"/>
            <w:tcMar>
              <w:top w:w="80" w:type="dxa"/>
              <w:start w:w="120" w:type="dxa"/>
              <w:bottom w:w="80" w:type="dxa"/>
              <w:end w:w="120" w:type="dxa"/>
            </w:tcMar>
          </w:tcPr>
          <w:p>
            <w:pPr>
              <w:spacing w:after="0" w:line="252" w:lineRule="auto"/>
              <w:jc w:val="left"/>
            </w:pPr>
            <w:r>
              <w:rPr>
                <w:rFonts w:ascii="Calibri" w:hAnsi="Calibri"/>
                <w:color w:val="000000"/>
                <w:sz w:val="17"/>
              </w:rPr>
              <w:t>taux non bornés</w:t>
            </w:r>
          </w:p>
        </w:tc>
      </w:tr>
      <w:tr>
        <w:tc>
          <w:tcPr>
            <w:tcW w:type="dxa" w:w="2500"/>
            <w:vAlign w:val="center"/>
            <w:tcMar>
              <w:top w:w="80" w:type="dxa"/>
              <w:start w:w="120" w:type="dxa"/>
              <w:bottom w:w="80" w:type="dxa"/>
              <w:end w:w="120" w:type="dxa"/>
            </w:tcMar>
          </w:tcPr>
          <w:p>
            <w:pPr>
              <w:spacing w:after="0" w:line="252" w:lineRule="auto"/>
              <w:jc w:val="left"/>
            </w:pPr>
            <w:r>
              <w:rPr>
                <w:rFonts w:ascii="Calibri" w:hAnsi="Calibri"/>
                <w:color w:val="000000"/>
                <w:sz w:val="17"/>
              </w:rPr>
              <w:t>GEN-WELLPOSED</w:t>
            </w:r>
          </w:p>
        </w:tc>
        <w:tc>
          <w:tcPr>
            <w:tcW w:type="dxa" w:w="27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[T-C]</w:t>
            </w:r>
          </w:p>
        </w:tc>
        <w:tc>
          <w:tcPr>
            <w:tcW w:type="dxa" w:w="4160"/>
            <w:vAlign w:val="center"/>
            <w:tcMar>
              <w:top w:w="80" w:type="dxa"/>
              <w:start w:w="120" w:type="dxa"/>
              <w:bottom w:w="80" w:type="dxa"/>
              <w:end w:w="120" w:type="dxa"/>
            </w:tcMar>
          </w:tcPr>
          <w:p>
            <w:pPr>
              <w:spacing w:after="0" w:line="252" w:lineRule="auto"/>
              <w:jc w:val="left"/>
            </w:pPr>
            <w:r>
              <w:rPr>
                <w:rFonts w:ascii="Calibri" w:hAnsi="Calibri"/>
                <w:color w:val="000000"/>
                <w:sz w:val="17"/>
              </w:rPr>
              <w:t>A20-A25, s_+&lt;∞</w:t>
            </w:r>
          </w:p>
        </w:tc>
      </w:tr>
      <w:tr>
        <w:tc>
          <w:tcPr>
            <w:tcW w:type="dxa" w:w="2500"/>
            <w:vAlign w:val="center"/>
            <w:tcMar>
              <w:top w:w="80" w:type="dxa"/>
              <w:start w:w="120" w:type="dxa"/>
              <w:bottom w:w="80" w:type="dxa"/>
              <w:end w:w="120" w:type="dxa"/>
            </w:tcMar>
          </w:tcPr>
          <w:p>
            <w:pPr>
              <w:spacing w:after="0" w:line="252" w:lineRule="auto"/>
              <w:jc w:val="left"/>
            </w:pPr>
            <w:r>
              <w:rPr>
                <w:rFonts w:ascii="Calibri" w:hAnsi="Calibri"/>
                <w:color w:val="000000"/>
                <w:sz w:val="17"/>
              </w:rPr>
              <w:t>VOL-CTRL</w:t>
            </w:r>
          </w:p>
        </w:tc>
        <w:tc>
          <w:tcPr>
            <w:tcW w:type="dxa" w:w="2700"/>
            <w:vAlign w:val="center"/>
            <w:tcMar>
              <w:top w:w="80" w:type="dxa"/>
              <w:start w:w="120" w:type="dxa"/>
              <w:bottom w:w="80" w:type="dxa"/>
              <w:end w:w="120" w:type="dxa"/>
            </w:tcMar>
          </w:tcPr>
          <w:p>
            <w:pPr>
              <w:spacing w:after="0" w:line="252" w:lineRule="auto"/>
              <w:jc w:val="left"/>
            </w:pPr>
            <w:r>
              <w:rPr>
                <w:rFonts w:ascii="Calibri" w:hAnsi="Calibri"/>
                <w:color w:val="000000"/>
                <w:sz w:val="17"/>
              </w:rPr>
              <w:t>PROCHAINE</w:t>
            </w:r>
          </w:p>
        </w:tc>
        <w:tc>
          <w:tcPr>
            <w:tcW w:type="dxa" w:w="4160"/>
            <w:vAlign w:val="center"/>
            <w:tcMar>
              <w:top w:w="80" w:type="dxa"/>
              <w:start w:w="120" w:type="dxa"/>
              <w:bottom w:w="80" w:type="dxa"/>
              <w:end w:w="120" w:type="dxa"/>
            </w:tcMar>
          </w:tcPr>
          <w:p>
            <w:pPr>
              <w:spacing w:after="0" w:line="252" w:lineRule="auto"/>
              <w:jc w:val="left"/>
            </w:pPr>
            <w:r>
              <w:rPr>
                <w:rFonts w:ascii="Calibri" w:hAnsi="Calibri"/>
                <w:color w:val="000000"/>
                <w:sz w:val="17"/>
              </w:rPr>
              <w:t>mesurer s_+, μ_c et &lt;N&gt;</w:t>
            </w:r>
          </w:p>
        </w:tc>
      </w:tr>
    </w:tbl>
    <w:p>
      <w:pPr>
        <w:keepLines w:val="0"/>
        <w:spacing w:before="0" w:after="40" w:line="264" w:lineRule="auto"/>
        <w:jc w:val="left"/>
      </w:pPr>
      <w:r>
        <w:rPr>
          <w:rFonts w:ascii="Calibri" w:hAnsi="Calibri"/>
          <w:b w:val="0"/>
          <w:i w:val="0"/>
          <w:color w:val="000000"/>
          <w:sz w:val="22"/>
        </w:rPr>
      </w:r>
    </w:p>
    <w:p>
      <w:pPr>
        <w:pStyle w:val="Heading1"/>
        <w:keepNext/>
      </w:pPr>
      <w:r>
        <w:t>Références primaires</w:t>
      </w:r>
    </w:p>
    <w:p>
      <w:pPr>
        <w:keepLines/>
        <w:spacing w:after="20" w:line="240" w:lineRule="auto"/>
        <w:ind w:left="360" w:hanging="360"/>
      </w:pPr>
      <w:r>
        <w:rPr>
          <w:rFonts w:ascii="Calibri" w:hAnsi="Calibri"/>
          <w:color w:val="000000"/>
          <w:sz w:val="16"/>
        </w:rPr>
        <w:t xml:space="preserve">1. E. Nelson. </w:t>
      </w:r>
      <w:r>
        <w:rPr>
          <w:rFonts w:ascii="Calibri" w:hAnsi="Calibri"/>
          <w:i/>
          <w:color w:val="000000"/>
          <w:sz w:val="16"/>
        </w:rPr>
        <w:t>Analytic Vectors</w:t>
      </w:r>
      <w:r>
        <w:rPr>
          <w:rFonts w:ascii="Calibri" w:hAnsi="Calibri"/>
          <w:color w:val="5F6B78"/>
          <w:sz w:val="16"/>
        </w:rPr>
        <w:t>. Annals of Mathematics 70 (1959), 572-615. https://www.mathnet.ru/eng/mat222</w:t>
      </w:r>
    </w:p>
    <w:p>
      <w:pPr>
        <w:keepLines/>
        <w:spacing w:after="20" w:line="240" w:lineRule="auto"/>
        <w:ind w:left="360" w:hanging="360"/>
      </w:pPr>
      <w:r>
        <w:rPr>
          <w:rFonts w:ascii="Calibri" w:hAnsi="Calibri"/>
          <w:color w:val="000000"/>
          <w:sz w:val="16"/>
        </w:rPr>
        <w:t xml:space="preserve">2. F. M. Spieksma. </w:t>
      </w:r>
      <w:r>
        <w:rPr>
          <w:rFonts w:ascii="Calibri" w:hAnsi="Calibri"/>
          <w:i/>
          <w:color w:val="000000"/>
          <w:sz w:val="16"/>
        </w:rPr>
        <w:t>Countable State Markov Processes: Non-Explosiveness and Moment Function</w:t>
      </w:r>
      <w:r>
        <w:rPr>
          <w:rFonts w:ascii="Calibri" w:hAnsi="Calibri"/>
          <w:color w:val="5F6B78"/>
          <w:sz w:val="16"/>
        </w:rPr>
        <w:t>. Probability in the Engineering and Informational Sciences 29 (2015). https://doi.org/10.1017/S0269964815000134</w:t>
      </w:r>
    </w:p>
    <w:p>
      <w:pPr>
        <w:keepLines/>
        <w:spacing w:after="20" w:line="240" w:lineRule="auto"/>
        <w:ind w:left="360" w:hanging="360"/>
      </w:pPr>
      <w:r>
        <w:rPr>
          <w:rFonts w:ascii="Calibri" w:hAnsi="Calibri"/>
          <w:color w:val="000000"/>
          <w:sz w:val="16"/>
        </w:rPr>
        <w:t xml:space="preserve">3. J. C. Baez, A. E. Hoffnung et C. D. Walker. </w:t>
      </w:r>
      <w:r>
        <w:rPr>
          <w:rFonts w:ascii="Calibri" w:hAnsi="Calibri"/>
          <w:i/>
          <w:color w:val="000000"/>
          <w:sz w:val="16"/>
        </w:rPr>
        <w:t>Higher-Dimensional Algebra VII: Groupoidification</w:t>
      </w:r>
      <w:r>
        <w:rPr>
          <w:rFonts w:ascii="Calibri" w:hAnsi="Calibri"/>
          <w:color w:val="5F6B78"/>
          <w:sz w:val="16"/>
        </w:rPr>
        <w:t>. Theory and Applications of Categories 24 (2010). https://arxiv.org/abs/0908.4305</w:t>
      </w:r>
    </w:p>
    <w:p>
      <w:pPr>
        <w:keepLines/>
        <w:spacing w:after="20" w:line="240" w:lineRule="auto"/>
        <w:ind w:left="360" w:hanging="360"/>
      </w:pPr>
      <w:r>
        <w:rPr>
          <w:rFonts w:ascii="Calibri" w:hAnsi="Calibri"/>
          <w:color w:val="000000"/>
          <w:sz w:val="16"/>
        </w:rPr>
        <w:t xml:space="preserve">4. G. Chapuy et G. Perarnau. </w:t>
      </w:r>
      <w:r>
        <w:rPr>
          <w:rFonts w:ascii="Calibri" w:hAnsi="Calibri"/>
          <w:i/>
          <w:color w:val="000000"/>
          <w:sz w:val="16"/>
        </w:rPr>
        <w:t>On the Number of Coloured Triangulations of d-Manifolds</w:t>
      </w:r>
      <w:r>
        <w:rPr>
          <w:rFonts w:ascii="Calibri" w:hAnsi="Calibri"/>
          <w:color w:val="5F6B78"/>
          <w:sz w:val="16"/>
        </w:rPr>
        <w:t>. Discrete &amp; Computational Geometry 65 (2021), 601-617. https://arxiv.org/abs/1807.01022</w:t>
      </w:r>
    </w:p>
    <w:p>
      <w:pPr>
        <w:keepLines/>
        <w:spacing w:after="20" w:line="240" w:lineRule="auto"/>
        <w:ind w:left="360" w:hanging="360"/>
      </w:pPr>
      <w:r>
        <w:rPr>
          <w:rFonts w:ascii="Calibri" w:hAnsi="Calibri"/>
          <w:color w:val="000000"/>
          <w:sz w:val="16"/>
        </w:rPr>
        <w:t xml:space="preserve">5. K. A. Adiprasito et B. Benedetti. </w:t>
      </w:r>
      <w:r>
        <w:rPr>
          <w:rFonts w:ascii="Calibri" w:hAnsi="Calibri"/>
          <w:i/>
          <w:color w:val="000000"/>
          <w:sz w:val="16"/>
        </w:rPr>
        <w:t>A Cheeger-Type Exponential Bound for the Number of Triangulated Manifolds</w:t>
      </w:r>
      <w:r>
        <w:rPr>
          <w:rFonts w:ascii="Calibri" w:hAnsi="Calibri"/>
          <w:color w:val="5F6B78"/>
          <w:sz w:val="16"/>
        </w:rPr>
        <w:t>. Ann. Inst. H. Poincaré D 7 (2020), 233-247. https://arxiv.org/abs/1710.00130</w:t>
      </w:r>
    </w:p>
    <w:p>
      <w:pPr>
        <w:keepLines/>
        <w:spacing w:after="20" w:line="240" w:lineRule="auto"/>
        <w:ind w:left="360" w:hanging="360"/>
      </w:pPr>
      <w:r>
        <w:rPr>
          <w:rFonts w:ascii="Calibri" w:hAnsi="Calibri"/>
          <w:color w:val="000000"/>
          <w:sz w:val="16"/>
        </w:rPr>
        <w:t xml:space="preserve">6. B. Durhuus et T. Jonsson. </w:t>
      </w:r>
      <w:r>
        <w:rPr>
          <w:rFonts w:ascii="Calibri" w:hAnsi="Calibri"/>
          <w:i/>
          <w:color w:val="000000"/>
          <w:sz w:val="16"/>
        </w:rPr>
        <w:t>Exponential Bounds on the Number of Causal Triangulations</w:t>
      </w:r>
      <w:r>
        <w:rPr>
          <w:rFonts w:ascii="Calibri" w:hAnsi="Calibri"/>
          <w:color w:val="5F6B78"/>
          <w:sz w:val="16"/>
        </w:rPr>
        <w:t>. Communications in Mathematical Physics 340 (2015), 105-124. https://arxiv.org/abs/1408.2101</w:t>
      </w:r>
    </w:p>
    <w:p>
      <w:pPr>
        <w:keepLines/>
        <w:spacing w:after="20" w:line="240" w:lineRule="auto"/>
        <w:ind w:left="360" w:hanging="360"/>
      </w:pPr>
      <w:r>
        <w:rPr>
          <w:rFonts w:ascii="Calibri" w:hAnsi="Calibri"/>
          <w:color w:val="000000"/>
          <w:sz w:val="16"/>
        </w:rPr>
        <w:t xml:space="preserve">7. E. G. Altmann et J. Spreer. </w:t>
      </w:r>
      <w:r>
        <w:rPr>
          <w:rFonts w:ascii="Calibri" w:hAnsi="Calibri"/>
          <w:i/>
          <w:color w:val="000000"/>
          <w:sz w:val="16"/>
        </w:rPr>
        <w:t>Sampling Triangulations of Manifolds Using Monte Carlo Methods</w:t>
      </w:r>
      <w:r>
        <w:rPr>
          <w:rFonts w:ascii="Calibri" w:hAnsi="Calibri"/>
          <w:color w:val="5F6B78"/>
          <w:sz w:val="16"/>
        </w:rPr>
        <w:t>. Experimental Mathematics (2024). https://arxiv.org/abs/2310.07372</w:t>
      </w:r>
    </w:p>
    <w:sectPr w:rsidR="00FC693F" w:rsidRPr="0006063C" w:rsidSect="00034616">
      <w:footerReference w:type="default" r:id="rId9"/>
      <w:pgSz w:w="12240" w:h="15840"/>
      <w:pgMar w:top="1238" w:right="1267" w:bottom="1238" w:left="1267"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8"/>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