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60" w:after="60"/>
      </w:pPr>
      <w:r>
        <w:rPr>
          <w:rFonts w:ascii="Calibri" w:hAnsi="Calibri"/>
          <w:b/>
          <w:color w:val="0B2545"/>
          <w:sz w:val="47"/>
        </w:rPr>
        <w:t>M2-W - Théorèmes H-LOCAL</w:t>
      </w:r>
    </w:p>
    <w:p>
      <w:pPr>
        <w:keepNext/>
        <w:spacing w:before="0" w:after="240"/>
      </w:pPr>
      <w:r>
        <w:rPr>
          <w:rFonts w:ascii="Calibri" w:hAnsi="Calibri"/>
          <w:i/>
          <w:color w:val="5F6B78"/>
          <w:sz w:val="25"/>
        </w:rPr>
        <w:t>Ce que B†B garantit, ce que son logarithme détruit, et les axiomes manquants</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H-LOCAL - localité de H = -a_t^-1 log(B†B)</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Verdict</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[FAIL logique] A0-A7 n'impliquent ni localité stricte ni localité spatiale</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Résultat positif</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[T] Quasi-localité en distance de configurations au cutoff si B est injectif</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Portée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Cutoff fini; matrice de transfert normalisée; schéma M2-W gelé</w:t>
            </w:r>
          </w:p>
        </w:tc>
      </w:tr>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line="252" w:lineRule="auto"/>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Sous les seules hypothèses A0-A7 de RP-cutoff, la proposition « B local et positif implique H=-a_t^-1 log(B†B) local » est fausse. Un contre-exemple positif, injectif et uniformément bien conditionné réfute même la localité stricte en distance de Pachner. En revanche, si B est injectif, H possède au cutoff fini une décroissance exponentielle explicite de ses éléments de matrice dans le graphe des configurations. Cette propriété n'est pas une borne de Lieb-Robinson dans l'espace physique. H-LOCAL est donc fermée [FAIL] comme implication de A0-A7, sans que M2-W soit réfuté.</w:t>
            </w:r>
          </w:p>
        </w:tc>
      </w:tr>
    </w:tbl>
    <w:p>
      <w:pPr>
        <w:keepLines w:val="0"/>
        <w:spacing w:before="0" w:after="40" w:line="264" w:lineRule="auto"/>
        <w:jc w:val="left"/>
      </w:pPr>
      <w:r>
        <w:rPr>
          <w:rFonts w:ascii="Calibri" w:hAnsi="Calibri"/>
          <w:b w:val="0"/>
          <w:i w:val="0"/>
          <w:color w:val="000000"/>
          <w:sz w:val="22"/>
        </w:rPr>
      </w:r>
    </w:p>
    <w:p>
      <w:pPr>
        <w:pStyle w:val="Heading1"/>
        <w:keepNext/>
      </w:pPr>
      <w:r>
        <w:t>Carte exacte des verdicts</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FERMÉ [FAIL]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H-STRICT-CONF</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Un B non négatif de portée un peut produire un log(B†B) non nul à toute distance de configurations.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FERMÉ [T]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H-QUASI-CONF</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Au cutoff fini et si B est injectif, une borne exponentielle explicite suit de la série de Neumann.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FERMÉ [FAIL]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H-KERNEL</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A0-A7 autorisent un noyau dont le projecteur sur l'espace physique est dense et non uniformément quasi-local.</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9B1C1C"/>
                <w:sz w:val="18"/>
              </w:rPr>
              <w:t>FERMÉ [FAIL]</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H-SPATIAL comme conséquence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La localité du support d'un mouvement ne contraint pas la dépendance spatiale de son amplitude.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OUVERT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H-CONTINUUM / LR</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Il faut une algèbre locale, un petit pas et une norme d'interaction uniforme avant toute conclusion physique.</w:t>
            </w:r>
          </w:p>
        </w:tc>
      </w:tr>
    </w:tbl>
    <w:p>
      <w:pPr>
        <w:keepLines w:val="0"/>
        <w:spacing w:before="0" w:after="40" w:line="264" w:lineRule="auto"/>
        <w:jc w:val="left"/>
      </w:pPr>
      <w:r>
        <w:rPr>
          <w:rFonts w:ascii="Calibri" w:hAnsi="Calibri"/>
          <w:b w:val="0"/>
          <w:i w:val="0"/>
          <w:color w:val="000000"/>
          <w:sz w:val="22"/>
        </w:rPr>
      </w:r>
    </w:p>
    <w:p>
      <w:pPr>
        <w:pStyle w:val="Heading1"/>
        <w:keepNext/>
      </w:pPr>
      <w:r>
        <w:t>Définitions : trois localités qui ne doivent plus être confondues</w:t>
      </w:r>
    </w:p>
    <w:p>
      <w:pPr>
        <w:keepLines w:val="0"/>
        <w:spacing w:before="0" w:after="120" w:line="264" w:lineRule="auto"/>
        <w:jc w:val="left"/>
      </w:pPr>
      <w:r>
        <w:rPr>
          <w:rFonts w:ascii="Calibri" w:hAnsi="Calibri"/>
          <w:b w:val="0"/>
          <w:i w:val="0"/>
          <w:color w:val="000000"/>
          <w:sz w:val="22"/>
        </w:rPr>
        <w:t>Fixons un cutoff fini Λ. Après absorption de la mesure 1/|Aut(Σ)| dans la base orthonormée, l'espace d'états est ℋ_Λ=ℓ²(𝒮_Λ) et le transfert est T~=B~†B~. On note d_P(Σ,Σ') la distance minimale en mouvements élémentaires dans le graphe des configurations. Un opérateur A a une portée de configuration R si</w:t>
      </w:r>
    </w:p>
    <w:p>
      <w:pPr>
        <w:keepLines/>
        <w:spacing w:before="60" w:after="140" w:line="240" w:lineRule="auto"/>
        <w:jc w:val="center"/>
      </w:pPr>
      <w:r>
        <w:rPr>
          <w:rFonts w:ascii="Cambria Math" w:hAnsi="Cambria Math"/>
          <w:color w:val="0B2545"/>
          <w:sz w:val="22"/>
        </w:rPr>
        <w:t>A_{ΣΣ'}=0 dès que d_P(Σ,Σ')&gt;R.                         (1)</w:t>
      </w:r>
    </w:p>
    <w:p>
      <w:pPr>
        <w:spacing w:before="0" w:after="120" w:line="264" w:lineRule="auto"/>
      </w:pPr>
      <w:r>
        <w:rPr>
          <w:rFonts w:ascii="Calibri" w:hAnsi="Calibri"/>
          <w:b/>
          <w:color w:val="000000"/>
          <w:sz w:val="22"/>
        </w:rPr>
        <w:t xml:space="preserve">Localité stricte de configuration. </w:t>
      </w:r>
      <w:r>
        <w:rPr>
          <w:rFonts w:ascii="Calibri" w:hAnsi="Calibri"/>
          <w:color w:val="000000"/>
          <w:sz w:val="22"/>
        </w:rPr>
        <w:t>H a une portée R_H finie et indépendante du volume.</w:t>
      </w:r>
    </w:p>
    <w:p>
      <w:pPr>
        <w:spacing w:before="0" w:after="120" w:line="264" w:lineRule="auto"/>
      </w:pPr>
      <w:r>
        <w:rPr>
          <w:rFonts w:ascii="Calibri" w:hAnsi="Calibri"/>
          <w:b/>
          <w:color w:val="000000"/>
          <w:sz w:val="22"/>
        </w:rPr>
        <w:t xml:space="preserve">Quasi-localité de configuration. </w:t>
      </w:r>
      <w:r>
        <w:rPr>
          <w:rFonts w:ascii="Calibri" w:hAnsi="Calibri"/>
          <w:color w:val="000000"/>
          <w:sz w:val="22"/>
        </w:rPr>
        <w:t>Il existe C,μ&gt;0 tels que |H_{ΣΣ'}|≤C exp[-μ d_P(Σ,Σ')], avec des constantes dont la dépendance au cutoff est explicitée.</w:t>
      </w:r>
    </w:p>
    <w:p>
      <w:pPr>
        <w:spacing w:before="0" w:after="120" w:line="264" w:lineRule="auto"/>
      </w:pPr>
      <w:r>
        <w:rPr>
          <w:rFonts w:ascii="Calibri" w:hAnsi="Calibri"/>
          <w:b/>
          <w:color w:val="000000"/>
          <w:sz w:val="22"/>
        </w:rPr>
        <w:t xml:space="preserve">Localité spatiale physique. </w:t>
      </w:r>
      <w:r>
        <w:rPr>
          <w:rFonts w:ascii="Calibri" w:hAnsi="Calibri"/>
          <w:color w:val="000000"/>
          <w:sz w:val="22"/>
        </w:rPr>
        <w:t>H se décompose en interactions Φ(X) supportées sur des régions X d'une tranche et possède une norme exponentielle finie. C'est cette notion qui permet une borne de Lieb-Robinson.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Séparation décisive. </w:t>
            </w:r>
            <w:r>
              <w:rPr>
                <w:rFonts w:ascii="Calibri" w:hAnsi="Calibri"/>
                <w:color w:val="0B2545"/>
                <w:sz w:val="22"/>
              </w:rPr>
              <w:t>Un sommet du graphe d_P représente une triangulation entière. Une décroissance entre deux sommets globaux n'est donc pas une décomposition de H en termes spatialement locaux à l'intérieur d'une triangulation.</w:t>
            </w:r>
          </w:p>
        </w:tc>
      </w:tr>
    </w:tbl>
    <w:p>
      <w:pPr>
        <w:keepLines w:val="0"/>
        <w:spacing w:before="0" w:after="40" w:line="264" w:lineRule="auto"/>
        <w:jc w:val="left"/>
      </w:pPr>
      <w:r>
        <w:rPr>
          <w:rFonts w:ascii="Calibri" w:hAnsi="Calibri"/>
          <w:b w:val="0"/>
          <w:i w:val="0"/>
          <w:color w:val="000000"/>
          <w:sz w:val="22"/>
        </w:rPr>
      </w:r>
    </w:p>
    <w:p>
      <w:pPr>
        <w:pStyle w:val="Heading1"/>
        <w:keepNext/>
      </w:pPr>
      <w:r>
        <w:t>Lemme de portée</w:t>
      </w:r>
    </w:p>
    <w:p>
      <w:pPr>
        <w:keepLines w:val="0"/>
        <w:spacing w:before="0" w:after="120" w:line="264" w:lineRule="auto"/>
        <w:jc w:val="left"/>
      </w:pPr>
      <w:r>
        <w:rPr>
          <w:rFonts w:ascii="Calibri" w:hAnsi="Calibri"/>
          <w:b w:val="0"/>
          <w:i w:val="0"/>
          <w:color w:val="000000"/>
          <w:sz w:val="22"/>
        </w:rPr>
        <w:t>Si A et C ont respectivement les portées r et s dans d_P, alors AC a une portée au plus r+s. En effet, un terme A_{ΣM}C_{MΣ'} non nul impose d_P(Σ,M)≤r et d_P(M,Σ')≤s; l'inégalité triangulaire donne d_P(Σ,Σ')≤r+s.</w:t>
      </w:r>
    </w:p>
    <w:p>
      <w:pPr>
        <w:keepLines w:val="0"/>
        <w:spacing w:before="0" w:after="120" w:line="264" w:lineRule="auto"/>
        <w:jc w:val="left"/>
      </w:pPr>
      <w:r>
        <w:rPr>
          <w:rFonts w:ascii="Calibri" w:hAnsi="Calibri"/>
          <w:b w:val="0"/>
          <w:i w:val="0"/>
          <w:color w:val="000000"/>
          <w:sz w:val="22"/>
        </w:rPr>
        <w:t>Dans M2-W, A5 impose qu'un élément non nul de B~ soit une identité ou un demi-mouvement légal. Deux états reliés par T~=B~†B~ partagent donc un canal intermédiaire et sont séparés par au plus deux mouvements. Ainsi</w:t>
      </w:r>
    </w:p>
    <w:p>
      <w:pPr>
        <w:keepLines/>
        <w:spacing w:before="60" w:after="140" w:line="240" w:lineRule="auto"/>
        <w:jc w:val="center"/>
      </w:pPr>
      <w:r>
        <w:rPr>
          <w:rFonts w:ascii="Cambria Math" w:hAnsi="Cambria Math"/>
          <w:color w:val="0B2545"/>
          <w:sz w:val="22"/>
        </w:rPr>
        <w:t>portée(T~) ≤ R=2.                                      (2)</w:t>
      </w:r>
    </w:p>
    <w:p>
      <w:pPr>
        <w:keepLines w:val="0"/>
        <w:spacing w:before="0" w:after="120" w:line="264" w:lineRule="auto"/>
        <w:jc w:val="left"/>
      </w:pPr>
      <w:r>
        <w:rPr>
          <w:rFonts w:ascii="Calibri" w:hAnsi="Calibri"/>
          <w:b w:val="0"/>
          <w:i w:val="0"/>
          <w:color w:val="000000"/>
          <w:sz w:val="22"/>
        </w:rPr>
        <w:t>Cette propriété clairsemée est exacte. La question est de savoir ce qu'elle devient sous la fonction matricielle logarithme.</w:t>
      </w:r>
    </w:p>
    <w:p>
      <w:pPr>
        <w:pStyle w:val="Heading1"/>
        <w:keepNext/>
      </w:pPr>
      <w:r>
        <w:t>Théorème H-QCONF : décroissance exacte au cutoff</w:t>
      </w:r>
    </w:p>
    <w:p>
      <w:pPr>
        <w:spacing w:before="0" w:after="120" w:line="264" w:lineRule="auto"/>
      </w:pPr>
      <w:r>
        <w:rPr>
          <w:rFonts w:ascii="Calibri" w:hAnsi="Calibri"/>
          <w:b/>
          <w:color w:val="000000"/>
          <w:sz w:val="22"/>
        </w:rPr>
        <w:t xml:space="preserve">Hypothèses. </w:t>
      </w:r>
      <w:r>
        <w:rPr>
          <w:rFonts w:ascii="Calibri" w:hAnsi="Calibri"/>
          <w:color w:val="000000"/>
          <w:sz w:val="22"/>
        </w:rPr>
        <w:t>T~=B~†B~ est injectif sur ℋ_Λ et de portée R. Posons m=λ_min(T~)&gt;0, M=λ_max(T~), T^=T~/M et q=1-m/M∈[0,1). Le Hamiltonien normalisé est H_Λ=-a_t^-1 log T^.</w:t>
      </w:r>
    </w:p>
    <w:p>
      <w:pPr>
        <w:keepLines w:val="0"/>
        <w:spacing w:before="0" w:after="120" w:line="264" w:lineRule="auto"/>
        <w:jc w:val="left"/>
      </w:pPr>
      <w:r>
        <w:rPr>
          <w:rFonts w:ascii="Calibri" w:hAnsi="Calibri"/>
          <w:b w:val="0"/>
          <w:i w:val="0"/>
          <w:color w:val="000000"/>
          <w:sz w:val="22"/>
        </w:rPr>
        <w:t>Pour deux états distincts x,y, d=d_P(x,y)&gt;0, et n₀=ceil(d/R), on a exactement</w:t>
      </w:r>
    </w:p>
    <w:p>
      <w:pPr>
        <w:keepLines/>
        <w:spacing w:before="60" w:after="140" w:line="240" w:lineRule="auto"/>
        <w:jc w:val="center"/>
      </w:pPr>
      <w:r>
        <w:rPr>
          <w:rFonts w:ascii="Cambria Math" w:hAnsi="Cambria Math"/>
          <w:color w:val="0B2545"/>
          <w:sz w:val="22"/>
        </w:rPr>
        <w:t>|(H_Λ)_{xy}| ≤ q^{n₀}/[a_t n₀(1-q)] ≤ exp(-μ_conf d)/[a_t(1-q)],                          (3)</w:t>
      </w:r>
    </w:p>
    <w:p>
      <w:pPr>
        <w:keepLines/>
        <w:spacing w:before="60" w:after="140" w:line="240" w:lineRule="auto"/>
        <w:jc w:val="center"/>
      </w:pPr>
      <w:r>
        <w:rPr>
          <w:rFonts w:ascii="Cambria Math" w:hAnsi="Cambria Math"/>
          <w:color w:val="0B2545"/>
          <w:sz w:val="22"/>
        </w:rPr>
        <w:t>μ_conf := -log(q)/R.                                      (4)</w:t>
      </w:r>
    </w:p>
    <w:p>
      <w:pPr>
        <w:keepLines w:val="0"/>
        <w:spacing w:before="0" w:after="120" w:line="264" w:lineRule="auto"/>
        <w:jc w:val="left"/>
      </w:pPr>
      <w:r>
        <w:rPr>
          <w:rFonts w:ascii="Calibri" w:hAnsi="Calibri"/>
          <w:b w:val="0"/>
          <w:i w:val="0"/>
          <w:color w:val="000000"/>
          <w:sz w:val="22"/>
        </w:rPr>
        <w:t>Si q=0, T^=I et tous les éléments hors diagonale sont nuls; l'énoncé se lit alors par continuité.</w:t>
      </w:r>
    </w:p>
    <w:p>
      <w:pPr>
        <w:pStyle w:val="Heading2"/>
        <w:keepNext/>
      </w:pPr>
      <w:r>
        <w:t>Preuve</w:t>
      </w:r>
    </w:p>
    <w:p>
      <w:pPr>
        <w:keepLines/>
        <w:spacing w:before="0" w:after="120" w:line="264" w:lineRule="auto"/>
      </w:pPr>
      <w:r>
        <w:rPr>
          <w:rFonts w:ascii="Calibri" w:hAnsi="Calibri"/>
          <w:b/>
          <w:color w:val="0B2545"/>
          <w:sz w:val="22"/>
        </w:rPr>
        <w:t xml:space="preserve">Étape 1 - Contraction. </w:t>
      </w:r>
      <w:r>
        <w:rPr>
          <w:rFonts w:ascii="Calibri" w:hAnsi="Calibri"/>
          <w:color w:val="000000"/>
          <w:sz w:val="22"/>
        </w:rPr>
        <w:t>Définir A=I-T^. Comme le spectre de T^ est contenu dans [m/M,1], A est auto-adjoint et ||A||₂=q&lt;1.</w:t>
      </w:r>
    </w:p>
    <w:p>
      <w:pPr>
        <w:keepLines/>
        <w:spacing w:before="0" w:after="120" w:line="264" w:lineRule="auto"/>
      </w:pPr>
      <w:r>
        <w:rPr>
          <w:rFonts w:ascii="Calibri" w:hAnsi="Calibri"/>
          <w:b/>
          <w:color w:val="0B2545"/>
          <w:sz w:val="22"/>
        </w:rPr>
        <w:t xml:space="preserve">Étape 2 - Série convergente. </w:t>
      </w:r>
      <w:r>
        <w:rPr>
          <w:rFonts w:ascii="Calibri" w:hAnsi="Calibri"/>
          <w:color w:val="000000"/>
          <w:sz w:val="22"/>
        </w:rPr>
        <w:t>Le calcul fonctionnel spectral donne, en norme d'opérateur, -log T^=Σ_{n≥1} A^n/n.</w:t>
      </w:r>
    </w:p>
    <w:p>
      <w:pPr>
        <w:keepLines/>
        <w:spacing w:before="0" w:after="120" w:line="264" w:lineRule="auto"/>
      </w:pPr>
      <w:r>
        <w:rPr>
          <w:rFonts w:ascii="Calibri" w:hAnsi="Calibri"/>
          <w:b/>
          <w:color w:val="0B2545"/>
          <w:sz w:val="22"/>
        </w:rPr>
        <w:t xml:space="preserve">Étape 3 - Cône de causalité combinatoire. </w:t>
      </w:r>
      <w:r>
        <w:rPr>
          <w:rFonts w:ascii="Calibri" w:hAnsi="Calibri"/>
          <w:color w:val="000000"/>
          <w:sz w:val="22"/>
        </w:rPr>
        <w:t>A a la même portée R que T^ hors diagonale. Par le lemme, A^n a une portée au plus nR. Donc (A^n)_{xy}=0 pour n&lt;n₀.</w:t>
      </w:r>
    </w:p>
    <w:p>
      <w:pPr>
        <w:keepLines/>
        <w:spacing w:before="0" w:after="120" w:line="264" w:lineRule="auto"/>
      </w:pPr>
      <w:r>
        <w:rPr>
          <w:rFonts w:ascii="Calibri" w:hAnsi="Calibri"/>
          <w:b/>
          <w:color w:val="0B2545"/>
          <w:sz w:val="22"/>
        </w:rPr>
        <w:t xml:space="preserve">Étape 4 - Queue spectrale. </w:t>
      </w:r>
      <w:r>
        <w:rPr>
          <w:rFonts w:ascii="Calibri" w:hAnsi="Calibri"/>
          <w:color w:val="000000"/>
          <w:sz w:val="22"/>
        </w:rPr>
        <w:t>|(A^n)_{xy}|≤||A^n||₂≤q^n. Par conséquent |H_{xy}|≤a_t^-1 Σ_{n≥n₀}q^n/n≤q^{n₀}/[a_t n₀(1-q)]. Enfin q^{n₀}≤q^{d/R}=exp[-μ_conf d].</w:t>
      </w:r>
    </w:p>
    <w:p>
      <w:pPr>
        <w:keepLines/>
        <w:spacing w:before="0" w:after="120" w:line="264" w:lineRule="auto"/>
      </w:pPr>
      <w:r>
        <w:rPr>
          <w:rFonts w:ascii="Calibri" w:hAnsi="Calibri"/>
          <w:b/>
          <w:color w:val="0B2545"/>
          <w:sz w:val="22"/>
        </w:rPr>
        <w:t xml:space="preserve">Conclusion. </w:t>
      </w:r>
      <w:r>
        <w:rPr>
          <w:rFonts w:ascii="Calibri" w:hAnsi="Calibri"/>
          <w:color w:val="000000"/>
          <w:sz w:val="22"/>
        </w:rPr>
        <w:t>La quasi-localité en distance de configurations est un théorème algébrique exact à tout cutoff fini injectif.</w:t>
      </w:r>
    </w:p>
    <w:p>
      <w:pPr>
        <w:pStyle w:val="Heading1"/>
        <w:keepNext/>
      </w:pPr>
      <w:r>
        <w:t>Corollaire quantitatif pour M2-W</w:t>
      </w:r>
    </w:p>
    <w:p>
      <w:pPr>
        <w:keepLines w:val="0"/>
        <w:spacing w:before="0" w:after="120" w:line="264" w:lineRule="auto"/>
        <w:jc w:val="left"/>
      </w:pPr>
      <w:r>
        <w:rPr>
          <w:rFonts w:ascii="Calibri" w:hAnsi="Calibri"/>
          <w:b w:val="0"/>
          <w:i w:val="0"/>
          <w:color w:val="000000"/>
          <w:sz w:val="22"/>
        </w:rPr>
        <w:t>Avec R≤2 et κ=M/m, la pente garantie vaut</w:t>
      </w:r>
    </w:p>
    <w:p>
      <w:pPr>
        <w:keepLines/>
        <w:spacing w:before="60" w:after="140" w:line="240" w:lineRule="auto"/>
        <w:jc w:val="center"/>
      </w:pPr>
      <w:r>
        <w:rPr>
          <w:rFonts w:ascii="Cambria Math" w:hAnsi="Cambria Math"/>
          <w:color w:val="0B2545"/>
          <w:sz w:val="22"/>
        </w:rPr>
        <w:t>μ_conf ≥ -(1/2) log(1-1/κ).                             (5)</w:t>
      </w:r>
    </w:p>
    <w:p>
      <w:pPr>
        <w:keepLines w:val="0"/>
        <w:spacing w:before="0" w:after="120" w:line="264" w:lineRule="auto"/>
        <w:jc w:val="left"/>
      </w:pPr>
      <w:r>
        <w:rPr>
          <w:rFonts w:ascii="Calibri" w:hAnsi="Calibri"/>
          <w:b w:val="0"/>
          <w:i w:val="0"/>
          <w:color w:val="000000"/>
          <w:sz w:val="22"/>
        </w:rPr>
        <w:t>Cette borne est suffisante, non nécessaire. Elle devient faible si κ diverge : μ_conf~1/(2κ). Exiger un κ uniforme sur tout l'espace UV serait toutefois excessif pour une théorie continue; le contrôle pertinent peut devoir porter sur un secteur spectral déclaré.</w:t>
      </w:r>
    </w:p>
    <w:p>
      <w:pPr>
        <w:spacing w:before="0" w:after="120" w:line="264" w:lineRule="auto"/>
      </w:pPr>
      <w:r>
        <w:rPr>
          <w:rFonts w:ascii="Calibri" w:hAnsi="Calibri"/>
          <w:b/>
          <w:color w:val="000000"/>
          <w:sz w:val="22"/>
        </w:rPr>
        <w:t xml:space="preserve">Ce qui est fermé. </w:t>
      </w:r>
      <w:r>
        <w:rPr>
          <w:rFonts w:ascii="Calibri" w:hAnsi="Calibri"/>
          <w:color w:val="000000"/>
          <w:sz w:val="22"/>
        </w:rPr>
        <w:t>Pour chaque cutoff injectif, le logarithme n'est pas arbitrairement dense : ses éléments obéissent à (3).</w:t>
      </w:r>
    </w:p>
    <w:p>
      <w:pPr>
        <w:spacing w:before="0" w:after="120" w:line="264" w:lineRule="auto"/>
      </w:pPr>
      <w:r>
        <w:rPr>
          <w:rFonts w:ascii="Calibri" w:hAnsi="Calibri"/>
          <w:b/>
          <w:color w:val="000000"/>
          <w:sz w:val="22"/>
        </w:rPr>
        <w:t xml:space="preserve">Ce qui reste ouvert. </w:t>
      </w:r>
      <w:r>
        <w:rPr>
          <w:rFonts w:ascii="Calibri" w:hAnsi="Calibri"/>
          <w:color w:val="000000"/>
          <w:sz w:val="22"/>
        </w:rPr>
        <w:t>La stabilité de μ_conf en unités physiques, la limite Λ→∞ et tout énoncé portant sur des observables spatialement séparées.</w:t>
      </w:r>
    </w:p>
    <w:p>
      <w:pPr>
        <w:pStyle w:val="Heading1"/>
        <w:keepNext/>
      </w:pPr>
      <w:r>
        <w:t>Théorème H-STRICT : contre-exemple positif et bien conditionné</w:t>
      </w:r>
    </w:p>
    <w:p>
      <w:pPr>
        <w:keepLines w:val="0"/>
        <w:spacing w:before="0" w:after="120" w:line="264" w:lineRule="auto"/>
        <w:jc w:val="left"/>
      </w:pPr>
      <w:r>
        <w:rPr>
          <w:rFonts w:ascii="Calibri" w:hAnsi="Calibri"/>
          <w:b w:val="0"/>
          <w:i w:val="0"/>
          <w:color w:val="000000"/>
          <w:sz w:val="22"/>
        </w:rPr>
        <w:t>Pour N≥2, soit A_N l'adjacence du chemin P_N et choisissons un ε fixe avec 0&lt;ε&lt;1/2. Définissons</w:t>
      </w:r>
    </w:p>
    <w:p>
      <w:pPr>
        <w:keepLines/>
        <w:spacing w:before="60" w:after="140" w:line="240" w:lineRule="auto"/>
        <w:jc w:val="center"/>
      </w:pPr>
      <w:r>
        <w:rPr>
          <w:rFonts w:ascii="Cambria Math" w:hAnsi="Cambria Math"/>
          <w:color w:val="0B2545"/>
          <w:sz w:val="22"/>
        </w:rPr>
        <w:t>T_N=I+εA_N.                                                (6)</w:t>
      </w:r>
    </w:p>
    <w:p>
      <w:pPr>
        <w:keepLines w:val="0"/>
        <w:spacing w:before="0" w:after="120" w:line="264" w:lineRule="auto"/>
        <w:jc w:val="left"/>
      </w:pPr>
      <w:r>
        <w:rPr>
          <w:rFonts w:ascii="Calibri" w:hAnsi="Calibri"/>
          <w:b w:val="0"/>
          <w:i w:val="0"/>
          <w:color w:val="000000"/>
          <w:sz w:val="22"/>
        </w:rPr>
        <w:t>Ses valeurs propres sont 1+2ε cos(kπ/(N+1)); T_N est donc strictement positif et</w:t>
      </w:r>
    </w:p>
    <w:p>
      <w:pPr>
        <w:keepLines/>
        <w:spacing w:before="60" w:after="140" w:line="240" w:lineRule="auto"/>
        <w:jc w:val="center"/>
      </w:pPr>
      <w:r>
        <w:rPr>
          <w:rFonts w:ascii="Cambria Math" w:hAnsi="Cambria Math"/>
          <w:color w:val="0B2545"/>
          <w:sz w:val="22"/>
        </w:rPr>
        <w:t>κ(T_N) &lt; (1+2ε)/(1-2ε), indépendamment de N.            (7)</w:t>
      </w:r>
    </w:p>
    <w:p>
      <w:pPr>
        <w:keepLines w:val="0"/>
        <w:spacing w:before="0" w:after="120" w:line="264" w:lineRule="auto"/>
        <w:jc w:val="left"/>
      </w:pPr>
      <w:r>
        <w:rPr>
          <w:rFonts w:ascii="Calibri" w:hAnsi="Calibri"/>
          <w:b w:val="0"/>
          <w:i w:val="0"/>
          <w:color w:val="000000"/>
          <w:sz w:val="22"/>
        </w:rPr>
        <w:t>La factorisation de Cholesky fournit T_N=B_N†B_N avec B_N triangulaire supérieur bidiagonal. Toutes ses entrées non nulles sont positives : B_N est donc un demi-transfert non négatif de portée un.</w:t>
      </w:r>
    </w:p>
    <w:p>
      <w:pPr>
        <w:pStyle w:val="Heading2"/>
        <w:keepNext/>
      </w:pPr>
      <w:r>
        <w:t>Preuve de la non-localité stricte</w:t>
      </w:r>
    </w:p>
    <w:p>
      <w:pPr>
        <w:keepLines w:val="0"/>
        <w:spacing w:before="0" w:after="120" w:line="264" w:lineRule="auto"/>
        <w:jc w:val="left"/>
      </w:pPr>
      <w:r>
        <w:rPr>
          <w:rFonts w:ascii="Calibri" w:hAnsi="Calibri"/>
          <w:b w:val="0"/>
          <w:i w:val="0"/>
          <w:color w:val="000000"/>
          <w:sz w:val="22"/>
        </w:rPr>
        <w:t>Comme ||εA_N||&lt;1, la série du logarithme converge. Posons d=N-1. Entre les extrémités du chemin,</w:t>
      </w:r>
    </w:p>
    <w:p>
      <w:pPr>
        <w:keepLines/>
        <w:spacing w:before="60" w:after="140" w:line="240" w:lineRule="auto"/>
        <w:jc w:val="center"/>
      </w:pPr>
      <w:r>
        <w:rPr>
          <w:rFonts w:ascii="Cambria Math" w:hAnsi="Cambria Math"/>
          <w:color w:val="0B2545"/>
          <w:sz w:val="22"/>
        </w:rPr>
        <w:t>(log T_N)_{1N}=Σ_{k=d}^∞ (-1)^{k+1} ε^k(A_N^k)_{1N}/k. (8)</w:t>
      </w:r>
    </w:p>
    <w:p>
      <w:pPr>
        <w:keepLines w:val="0"/>
        <w:spacing w:before="0" w:after="120" w:line="264" w:lineRule="auto"/>
        <w:jc w:val="left"/>
      </w:pPr>
      <w:r>
        <w:rPr>
          <w:rFonts w:ascii="Calibri" w:hAnsi="Calibri"/>
          <w:b w:val="0"/>
          <w:i w:val="0"/>
          <w:color w:val="000000"/>
          <w:sz w:val="22"/>
        </w:rPr>
        <w:t>Le chemin est biparti : (A_N^k)_{1N} n'est non nul que si k=d+2j. Tous les termes non nuls de (8) ont donc le même signe. Le plus court chemin est unique, donc (A_N^d)_{1N}=1 et</w:t>
      </w:r>
    </w:p>
    <w:p>
      <w:pPr>
        <w:keepLines/>
        <w:spacing w:before="60" w:after="140" w:line="240" w:lineRule="auto"/>
        <w:jc w:val="center"/>
      </w:pPr>
      <w:r>
        <w:rPr>
          <w:rFonts w:ascii="Cambria Math" w:hAnsi="Cambria Math"/>
          <w:color w:val="0B2545"/>
          <w:sz w:val="22"/>
        </w:rPr>
        <w:t>|(log T_N)_{1N}| ≥ ε^d/d &gt; 0.                           (9)</w:t>
      </w:r>
    </w:p>
    <w:p>
      <w:pPr>
        <w:keepLines w:val="0"/>
        <w:spacing w:before="0" w:after="120" w:line="264" w:lineRule="auto"/>
        <w:jc w:val="left"/>
      </w:pPr>
      <w:r>
        <w:rPr>
          <w:rFonts w:ascii="Calibri" w:hAnsi="Calibri"/>
          <w:b w:val="0"/>
          <w:i w:val="0"/>
          <w:color w:val="000000"/>
          <w:sz w:val="22"/>
        </w:rPr>
        <w:t>Diviser T_N par λ_max n'ajoute qu'un scalaire à log T_N et ne change aucun élément hors diagonale. Comme d peut être arbitrairement grand, aucune portée finie de H_N n'existe. Cela reste vrai alors que B_N est positif, local, injectif et que κ(T_N) est uniformément borné.</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Verdict H-STRICT-CONF. </w:t>
            </w:r>
            <w:r>
              <w:rPr>
                <w:rFonts w:ascii="Calibri" w:hAnsi="Calibri"/>
                <w:color w:val="0B2545"/>
                <w:sz w:val="22"/>
              </w:rPr>
              <w:t>La localité stricte de -log(B†B) est réfutée dans une classe plus favorable que A0-A7. Le meilleur énoncé universel disponible est une quasi-localité, pas une portée finie.</w:t>
            </w:r>
          </w:p>
        </w:tc>
      </w:tr>
    </w:tbl>
    <w:p>
      <w:pPr>
        <w:keepLines w:val="0"/>
        <w:spacing w:before="0" w:after="40" w:line="264" w:lineRule="auto"/>
        <w:jc w:val="left"/>
      </w:pPr>
      <w:r>
        <w:rPr>
          <w:rFonts w:ascii="Calibri" w:hAnsi="Calibri"/>
          <w:b w:val="0"/>
          <w:i w:val="0"/>
          <w:color w:val="000000"/>
          <w:sz w:val="22"/>
        </w:rPr>
      </w:r>
    </w:p>
    <w:p>
      <w:pPr>
        <w:pStyle w:val="Heading1"/>
        <w:keepNext/>
      </w:pPr>
      <w:r>
        <w:t>Théorème H-KERNEL : le quotient peut être non local</w:t>
      </w:r>
    </w:p>
    <w:p>
      <w:pPr>
        <w:keepLines w:val="0"/>
        <w:spacing w:before="0" w:after="120" w:line="264" w:lineRule="auto"/>
        <w:jc w:val="left"/>
      </w:pPr>
      <w:r>
        <w:rPr>
          <w:rFonts w:ascii="Calibri" w:hAnsi="Calibri"/>
          <w:b w:val="0"/>
          <w:i w:val="0"/>
          <w:color w:val="000000"/>
          <w:sz w:val="22"/>
        </w:rPr>
        <w:t>A0-A7 garantissent T~≥0 mais pas T~&gt;0. Considérons la matrice B_N de taille (N-1)×N définie par</w:t>
      </w:r>
    </w:p>
    <w:p>
      <w:pPr>
        <w:keepLines/>
        <w:spacing w:before="60" w:after="140" w:line="240" w:lineRule="auto"/>
        <w:jc w:val="center"/>
      </w:pPr>
      <w:r>
        <w:rPr>
          <w:rFonts w:ascii="Cambria Math" w:hAnsi="Cambria Math"/>
          <w:color w:val="0B2545"/>
          <w:sz w:val="22"/>
        </w:rPr>
        <w:t>(B_N)_{i,i}=(B_N)_{i,i+1}=1, les autres entrées étant nulles. (10)</w:t>
      </w:r>
    </w:p>
    <w:p>
      <w:pPr>
        <w:keepLines w:val="0"/>
        <w:spacing w:before="0" w:after="120" w:line="264" w:lineRule="auto"/>
        <w:jc w:val="left"/>
      </w:pPr>
      <w:r>
        <w:rPr>
          <w:rFonts w:ascii="Calibri" w:hAnsi="Calibri"/>
          <w:b w:val="0"/>
          <w:i w:val="0"/>
          <w:color w:val="000000"/>
          <w:sz w:val="22"/>
        </w:rPr>
        <w:t>Elle est non négative et de portée un. Le vecteur normalisé v_i=(-1)^i/sqrt(N) appartient à son noyau. Le projecteur sur l'espace physique Ran(B_N†) est</w:t>
      </w:r>
    </w:p>
    <w:p>
      <w:pPr>
        <w:keepLines/>
        <w:spacing w:before="60" w:after="140" w:line="240" w:lineRule="auto"/>
        <w:jc w:val="center"/>
      </w:pPr>
      <w:r>
        <w:rPr>
          <w:rFonts w:ascii="Cambria Math" w:hAnsi="Cambria Math"/>
          <w:color w:val="0B2545"/>
          <w:sz w:val="22"/>
        </w:rPr>
        <w:t>P_phys=I-vv†,   |(P_phys)_{ij}|=1/N pour i≠j.             (11)</w:t>
      </w:r>
    </w:p>
    <w:p>
      <w:pPr>
        <w:keepLines w:val="0"/>
        <w:spacing w:before="0" w:after="120" w:line="264" w:lineRule="auto"/>
        <w:jc w:val="left"/>
      </w:pPr>
      <w:r>
        <w:rPr>
          <w:rFonts w:ascii="Calibri" w:hAnsi="Calibri"/>
          <w:b w:val="0"/>
          <w:i w:val="0"/>
          <w:color w:val="000000"/>
          <w:sz w:val="22"/>
        </w:rPr>
        <w:t>Pour des extrémités à distance N-1, une borne uniforme 1/N≤C exp[-μ(N-1)] est impossible pour tous N avec C,μ&gt;0 fixes. Ainsi le simple quotient des vecteurs nuls peut introduire un projecteur dense et détruire le mécanisme de portée utilisé dans la preuve de (3).</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Verdict H-KERNEL. </w:t>
            </w:r>
            <w:r>
              <w:rPr>
                <w:rFonts w:ascii="Calibri" w:hAnsi="Calibri"/>
                <w:color w:val="0B2545"/>
                <w:sz w:val="22"/>
              </w:rPr>
              <w:t>L'injectivité de B~, ou à défaut une borne quasi-locale uniforme sur le projecteur du noyau, est une hypothèse mathématique indispensable. La positivité semi-définie ne suffit pas.</w:t>
            </w:r>
          </w:p>
        </w:tc>
      </w:tr>
    </w:tbl>
    <w:p>
      <w:pPr>
        <w:keepLines w:val="0"/>
        <w:spacing w:before="0" w:after="40" w:line="264" w:lineRule="auto"/>
        <w:jc w:val="left"/>
      </w:pPr>
      <w:r>
        <w:rPr>
          <w:rFonts w:ascii="Calibri" w:hAnsi="Calibri"/>
          <w:b w:val="0"/>
          <w:i w:val="0"/>
          <w:color w:val="000000"/>
          <w:sz w:val="22"/>
        </w:rPr>
      </w:r>
    </w:p>
    <w:p>
      <w:pPr>
        <w:pStyle w:val="Heading1"/>
        <w:keepNext/>
      </w:pPr>
      <w:r>
        <w:t>Théorème H-SPATIAL : le support du mouvement ne localise pas son amplitude</w:t>
      </w:r>
    </w:p>
    <w:p>
      <w:pPr>
        <w:keepLines w:val="0"/>
        <w:spacing w:before="0" w:after="120" w:line="264" w:lineRule="auto"/>
        <w:jc w:val="left"/>
      </w:pPr>
      <w:r>
        <w:rPr>
          <w:rFonts w:ascii="Calibri" w:hAnsi="Calibri"/>
          <w:b w:val="0"/>
          <w:i w:val="0"/>
          <w:color w:val="000000"/>
          <w:sz w:val="22"/>
        </w:rPr>
        <w:t>Plaçons deux cellules binaires x et y à une distance spatiale L arbitraire. Soient X_x l'opérateur de bascule en x, Z_y=diag(1,-1) et D_y=diag(1,2). Pour 0&lt;ε&lt;1/2, posons</w:t>
      </w:r>
    </w:p>
    <w:p>
      <w:pPr>
        <w:keepLines/>
        <w:spacing w:before="60" w:after="140" w:line="240" w:lineRule="auto"/>
        <w:jc w:val="center"/>
      </w:pPr>
      <w:r>
        <w:rPr>
          <w:rFonts w:ascii="Cambria Math" w:hAnsi="Cambria Math"/>
          <w:color w:val="0B2545"/>
          <w:sz w:val="22"/>
        </w:rPr>
        <w:t>B_L=I+ε X_x D_y.                                           (12)</w:t>
      </w:r>
    </w:p>
    <w:p>
      <w:pPr>
        <w:keepLines w:val="0"/>
        <w:spacing w:before="0" w:after="120" w:line="264" w:lineRule="auto"/>
        <w:jc w:val="left"/>
      </w:pPr>
      <w:r>
        <w:rPr>
          <w:rFonts w:ascii="Calibri" w:hAnsi="Calibri"/>
          <w:b w:val="0"/>
          <w:i w:val="0"/>
          <w:color w:val="000000"/>
          <w:sz w:val="22"/>
        </w:rPr>
        <w:t>Dans la base des configurations, B_L est réel, symétrique, strictement positif et entrée-par-entrée non négatif. Chaque transition ne modifie que x; elle satisfait donc une condition de support local du mouvement. Mais son amplitude dépend de l'état distant y.</w:t>
      </w:r>
    </w:p>
    <w:p>
      <w:pPr>
        <w:keepLines w:val="0"/>
        <w:spacing w:before="0" w:after="120" w:line="264" w:lineRule="auto"/>
        <w:jc w:val="left"/>
      </w:pPr>
      <w:r>
        <w:rPr>
          <w:rFonts w:ascii="Calibri" w:hAnsi="Calibri"/>
          <w:b w:val="0"/>
          <w:i w:val="0"/>
          <w:color w:val="000000"/>
          <w:sz w:val="22"/>
        </w:rPr>
        <w:t>Comme T_L=B_L†B_L=B_L²,</w:t>
      </w:r>
    </w:p>
    <w:p>
      <w:pPr>
        <w:keepLines/>
        <w:spacing w:before="60" w:after="140" w:line="240" w:lineRule="auto"/>
        <w:jc w:val="center"/>
      </w:pPr>
      <w:r>
        <w:rPr>
          <w:rFonts w:ascii="Cambria Math" w:hAnsi="Cambria Math"/>
          <w:color w:val="0B2545"/>
          <w:sz w:val="22"/>
        </w:rPr>
        <w:t>H_L=-log(T_L/λ_max)=-2 log B_L + (scalaire)I.           (13)</w:t>
      </w:r>
    </w:p>
    <w:p>
      <w:pPr>
        <w:keepLines w:val="0"/>
        <w:spacing w:before="0" w:after="120" w:line="264" w:lineRule="auto"/>
        <w:jc w:val="left"/>
      </w:pPr>
      <w:r>
        <w:rPr>
          <w:rFonts w:ascii="Calibri" w:hAnsi="Calibri"/>
          <w:b w:val="0"/>
          <w:i w:val="0"/>
          <w:color w:val="000000"/>
          <w:sz w:val="22"/>
        </w:rPr>
        <w:t>Dans chaque secteur propre de D_y, log(I+εdX)=a(d)I+artanh(εd)X. La décomposition de (13) contient donc</w:t>
      </w:r>
    </w:p>
    <w:p>
      <w:pPr>
        <w:keepLines/>
        <w:spacing w:before="60" w:after="140" w:line="240" w:lineRule="auto"/>
        <w:jc w:val="center"/>
      </w:pPr>
      <w:r>
        <w:rPr>
          <w:rFonts w:ascii="Cambria Math" w:hAnsi="Cambria Math"/>
          <w:color w:val="0B2545"/>
          <w:sz w:val="22"/>
        </w:rPr>
        <w:t>c_xy X_x Z_y,   c_xy=artanh(2ε)-artanh(ε)&gt;0.            (14)</w:t>
      </w:r>
    </w:p>
    <w:p>
      <w:pPr>
        <w:keepLines w:val="0"/>
        <w:spacing w:before="0" w:after="120" w:line="264" w:lineRule="auto"/>
        <w:jc w:val="left"/>
      </w:pPr>
      <w:r>
        <w:rPr>
          <w:rFonts w:ascii="Calibri" w:hAnsi="Calibri"/>
          <w:b w:val="0"/>
          <w:i w:val="0"/>
          <w:color w:val="000000"/>
          <w:sz w:val="22"/>
        </w:rPr>
        <w:t>Le coefficient c_xy est indépendant de L. Pour toute μ&gt;0, sa contribution à une norme d'interaction pondérée croît comme c_xy exp(μL). Il n'existe donc aucune borne spatiale exponentielle uniforme déduite de la seule localité du support des transitions.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Verdict H-SPATIAL. </w:t>
            </w:r>
            <w:r>
              <w:rPr>
                <w:rFonts w:ascii="Calibri" w:hAnsi="Calibri"/>
                <w:color w:val="0B2545"/>
                <w:sz w:val="22"/>
              </w:rPr>
              <w:t>A5 interdit les changements géométriques lointains dans un même mouvement, mais n'interdit pas que le taux de ce mouvement lise toute la triangulation. Il faut imposer la localité des amplitudes.</w:t>
            </w:r>
          </w:p>
        </w:tc>
      </w:tr>
    </w:tbl>
    <w:p>
      <w:pPr>
        <w:keepLines w:val="0"/>
        <w:spacing w:before="0" w:after="40" w:line="264" w:lineRule="auto"/>
        <w:jc w:val="left"/>
      </w:pPr>
      <w:r>
        <w:rPr>
          <w:rFonts w:ascii="Calibri" w:hAnsi="Calibri"/>
          <w:b w:val="0"/>
          <w:i w:val="0"/>
          <w:color w:val="000000"/>
          <w:sz w:val="22"/>
        </w:rPr>
      </w:r>
    </w:p>
    <w:p>
      <w:pPr>
        <w:pStyle w:val="Heading1"/>
        <w:keepNext/>
      </w:pPr>
      <w:r>
        <w:t>Pourquoi la passerelle « Combes-Thomas donc Lieb-Robinson » ne ferme pas la porte</w:t>
      </w:r>
    </w:p>
    <w:p>
      <w:pPr>
        <w:keepLines w:val="0"/>
        <w:spacing w:before="0" w:after="120" w:line="264" w:lineRule="auto"/>
        <w:jc w:val="left"/>
      </w:pPr>
      <w:r>
        <w:rPr>
          <w:rFonts w:ascii="Calibri" w:hAnsi="Calibri"/>
          <w:b w:val="0"/>
          <w:i w:val="0"/>
          <w:color w:val="000000"/>
          <w:sz w:val="22"/>
        </w:rPr>
        <w:t>Les théorèmes de décroissance des fonctions de matrices clairsemées justifient une conclusion du type (3) dans le graphe portant les indices de la matrice. Ici ces indices sont des géométries globales. Les bornes de Lieb-Robinson supposent au contraire une algèbre d'observables locales sur un espace métrique et une décomposition du générateur en interactions dont la norme pondérée est finie.</w:t>
      </w:r>
    </w:p>
    <w:p>
      <w:pPr>
        <w:keepLines w:val="0"/>
        <w:spacing w:before="0" w:after="120" w:line="264" w:lineRule="auto"/>
        <w:jc w:val="left"/>
      </w:pPr>
      <w:r>
        <w:rPr>
          <w:rFonts w:ascii="Calibri" w:hAnsi="Calibri"/>
          <w:b w:val="0"/>
          <w:i w:val="0"/>
          <w:color w:val="000000"/>
          <w:sz w:val="22"/>
        </w:rPr>
        <w:t>Il manque donc une application démontrée entre deux objets mathématiques différents :</w:t>
      </w:r>
    </w:p>
    <w:p>
      <w:pPr>
        <w:keepLines/>
        <w:spacing w:before="60" w:after="140" w:line="240" w:lineRule="auto"/>
        <w:jc w:val="center"/>
      </w:pPr>
      <w:r>
        <w:rPr>
          <w:rFonts w:ascii="Cambria Math" w:hAnsi="Cambria Math"/>
          <w:color w:val="0B2545"/>
          <w:sz w:val="22"/>
        </w:rPr>
        <w:t>décroissance de H_{ΣΣ'} dans d_P  ≠  décomposition H=Σ_X Φ(X) locale dans Σ.           (15)</w:t>
      </w:r>
    </w:p>
    <w:p>
      <w:pPr>
        <w:keepLines w:val="0"/>
        <w:spacing w:before="0" w:after="120" w:line="264" w:lineRule="auto"/>
        <w:jc w:val="left"/>
      </w:pPr>
      <w:r>
        <w:rPr>
          <w:rFonts w:ascii="Calibri" w:hAnsi="Calibri"/>
          <w:b w:val="0"/>
          <w:i w:val="0"/>
          <w:color w:val="000000"/>
          <w:sz w:val="22"/>
        </w:rPr>
        <w:t>Les résultats de Poulin concernent des dynamiques quantiques markoviennes dont le générateur est déjà local. Ils ne convertissent pas un générateur de chaîne de Markov sur des configurations globales en interaction spatiale. La passerelle doit être construite dans M2-W; elle ne peut pas être importée comme corollaire.</w:t>
      </w:r>
    </w:p>
    <w:p>
      <w:pPr>
        <w:pStyle w:val="Heading1"/>
        <w:keepNext/>
      </w:pPr>
      <w:r>
        <w:t>Axiomes minimaux à ajouter à la spécification</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A8</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Injectivité / noyau</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B~ injectif sur le secteur déclaré, ou projecteur P_0 uniformément quasi-local avec preuve.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A9</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Localité des amplitudes</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Le taux d'un mouvement γ dépend seulement d'un voisinage borné de son support; aucune normalisation globale cachée.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A10</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Algèbre locale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Définir 𝒜_Σ(X), la métrique, le support et leur transport lorsqu'un Pachner crée ou supprime des simplexes.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A11</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Famille petit pas</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T(a_t)=I-a_t H_0+O(a_t²) dans une norme et un secteur explicitement fixés.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A12</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Interaction</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Construire H_Λ,a=Σ_X Φ_Λ,a(X) et borner sa norme exponentielle uniformément.</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A13</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Géométrie uniforme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Contrôler degrés, croissance des boules, unités spatiales et rapport a_t/a_s dans la limite.</w:t>
            </w:r>
          </w:p>
        </w:tc>
      </w:tr>
    </w:tbl>
    <w:p>
      <w:pPr>
        <w:keepLines w:val="0"/>
        <w:spacing w:before="0" w:after="4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Une formulation cible pour A12 est : il existe μ&gt;0 et J&lt;∞, indépendants de Λ dans le secteur physique, tels que</w:t>
      </w:r>
    </w:p>
    <w:p>
      <w:pPr>
        <w:keepLines/>
        <w:spacing w:before="60" w:after="140" w:line="240" w:lineRule="auto"/>
        <w:jc w:val="center"/>
      </w:pPr>
      <w:r>
        <w:rPr>
          <w:rFonts w:ascii="Cambria Math" w:hAnsi="Cambria Math"/>
          <w:color w:val="0B2545"/>
          <w:sz w:val="22"/>
        </w:rPr>
        <w:t>sup_{Σ,x} Σ_{X∋x} |X| exp[μ diam_Σ(X)] ||Φ_Λ,a(X)|| ≤ J. (16)</w:t>
      </w:r>
    </w:p>
    <w:p>
      <w:pPr>
        <w:keepLines w:val="0"/>
        <w:spacing w:before="0" w:after="120" w:line="264" w:lineRule="auto"/>
        <w:jc w:val="left"/>
      </w:pPr>
      <w:r>
        <w:rPr>
          <w:rFonts w:ascii="Calibri" w:hAnsi="Calibri"/>
          <w:b w:val="0"/>
          <w:i w:val="0"/>
          <w:color w:val="000000"/>
          <w:sz w:val="22"/>
        </w:rPr>
        <w:t>Avec A10-A13 et des hypothèses usuelles de croissance métrique, les théorèmes de Lieb-Robinson deviennent applicables. Sans (16), un ajustement numérique d'une exponentielle ne constitue pas une preuve.</w:t>
      </w:r>
    </w:p>
    <w:p>
      <w:pPr>
        <w:pStyle w:val="Heading1"/>
        <w:keepNext/>
      </w:pPr>
      <w:r>
        <w:t>Architecture de réparation qui ferme H exactement</w:t>
      </w:r>
    </w:p>
    <w:p>
      <w:pPr>
        <w:keepLines w:val="0"/>
        <w:spacing w:before="0" w:after="120" w:line="264" w:lineRule="auto"/>
        <w:jc w:val="left"/>
      </w:pPr>
      <w:r>
        <w:rPr>
          <w:rFonts w:ascii="Calibri" w:hAnsi="Calibri"/>
          <w:b w:val="0"/>
          <w:i w:val="0"/>
          <w:color w:val="000000"/>
          <w:sz w:val="22"/>
        </w:rPr>
        <w:t>La voie la plus propre inverse à nouveau l'ordre de construction : définir d'abord un générateur continu local et réversible, puis en prendre l'exponentielle. Pour des taux locaux q_γ(Σ), poser</w:t>
      </w:r>
    </w:p>
    <w:p>
      <w:pPr>
        <w:keepLines/>
        <w:spacing w:before="60" w:after="140" w:line="240" w:lineRule="auto"/>
        <w:jc w:val="center"/>
      </w:pPr>
      <w:r>
        <w:rPr>
          <w:rFonts w:ascii="Cambria Math" w:hAnsi="Cambria Math"/>
          <w:color w:val="0B2545"/>
          <w:sz w:val="22"/>
        </w:rPr>
        <w:t>(Qf)(Σ)=Σ_γ q_γ(Σ)[f(γΣ)-f(Σ)].                        (17)</w:t>
      </w:r>
    </w:p>
    <w:p>
      <w:pPr>
        <w:keepLines w:val="0"/>
        <w:spacing w:before="0" w:after="120" w:line="264" w:lineRule="auto"/>
        <w:jc w:val="left"/>
      </w:pPr>
      <w:r>
        <w:rPr>
          <w:rFonts w:ascii="Calibri" w:hAnsi="Calibri"/>
          <w:b w:val="0"/>
          <w:i w:val="0"/>
          <w:color w:val="000000"/>
          <w:sz w:val="22"/>
        </w:rPr>
        <w:t>Imposer la balance détaillée π(Σ)q_γ(Σ)=π(γΣ)q_{γ^-1}(γΣ). Après symétrisation dans ℓ²(π), Q est auto-adjoint, Q≤0 et son semi-groupe préserve la positivité. Définir alors</w:t>
      </w:r>
    </w:p>
    <w:p>
      <w:pPr>
        <w:keepLines/>
        <w:spacing w:before="60" w:after="140" w:line="240" w:lineRule="auto"/>
        <w:jc w:val="center"/>
      </w:pPr>
      <w:r>
        <w:rPr>
          <w:rFonts w:ascii="Cambria Math" w:hAnsi="Cambria Math"/>
          <w:color w:val="0B2545"/>
          <w:sz w:val="22"/>
        </w:rPr>
        <w:t>B(a_t)=exp(a_t Q/2),   T(a_t)=B†B=exp(a_t Q),   H=-a_t^-1 log T=-Q.                                 (18)</w:t>
      </w:r>
    </w:p>
    <w:p>
      <w:pPr>
        <w:keepLines w:val="0"/>
        <w:spacing w:before="0" w:after="120" w:line="264" w:lineRule="auto"/>
        <w:jc w:val="left"/>
      </w:pPr>
      <w:r>
        <w:rPr>
          <w:rFonts w:ascii="Calibri" w:hAnsi="Calibri"/>
          <w:b w:val="0"/>
          <w:i w:val="0"/>
          <w:color w:val="000000"/>
          <w:sz w:val="22"/>
        </w:rPr>
        <w:t>Les trois propriétés deviennent exactes simultanément : RP par la forme B†B, petit pas par le semi-groupe, et localité du Hamiltonien par construction du générateur Q. Le prix est clair : B n'est plus strictement limité à un seul mouvement; il somme tous les nombres de mouvements pendant un demi-pas, avec suppression contrôlée.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2F4F7"/>
          </w:tcPr>
          <w:p>
            <w:pPr>
              <w:spacing w:before="60" w:after="60" w:line="264" w:lineRule="auto"/>
            </w:pPr>
            <w:r>
              <w:rPr>
                <w:rFonts w:ascii="Calibri" w:hAnsi="Calibri"/>
                <w:b/>
                <w:color w:val="0B2545"/>
                <w:sz w:val="22"/>
              </w:rPr>
              <w:t xml:space="preserve">Choix structurel à geler. </w:t>
            </w:r>
            <w:r>
              <w:rPr>
                <w:rFonts w:ascii="Calibri" w:hAnsi="Calibri"/>
                <w:color w:val="0B2545"/>
                <w:sz w:val="22"/>
              </w:rPr>
              <w:t>On ne peut pas exiger sans preuve que « B exactement un-mouvement » et « -log(B†B) exactement local » soient simultanément vrais. L'architecture générateur-d'abord rend H local et B quasi-local. C'est le compromis mathématiquement contrôlable.</w:t>
            </w:r>
          </w:p>
        </w:tc>
      </w:tr>
    </w:tbl>
    <w:p>
      <w:pPr>
        <w:keepLines w:val="0"/>
        <w:spacing w:before="0" w:after="40" w:line="264" w:lineRule="auto"/>
        <w:jc w:val="left"/>
      </w:pPr>
      <w:r>
        <w:rPr>
          <w:rFonts w:ascii="Calibri" w:hAnsi="Calibri"/>
          <w:b w:val="0"/>
          <w:i w:val="0"/>
          <w:color w:val="000000"/>
          <w:sz w:val="22"/>
        </w:rPr>
      </w:r>
    </w:p>
    <w:p>
      <w:pPr>
        <w:keepLines w:val="0"/>
        <w:spacing w:before="0" w:after="120" w:line="264" w:lineRule="auto"/>
        <w:jc w:val="left"/>
      </w:pPr>
      <w:r>
        <w:rPr>
          <w:rFonts w:ascii="Calibri" w:hAnsi="Calibri"/>
          <w:b w:val="0"/>
          <w:i w:val="0"/>
          <w:color w:val="000000"/>
          <w:sz w:val="22"/>
        </w:rPr>
        <w:t>Cette construction ferme la localité dans le graphe des mouvements. Pour fermer la localité spatiale physique, il reste indispensable de réaliser Q comme somme d'opérateurs sur l'algèbre A10 et de prouver (16), malgré la géométrie fluctuante.</w:t>
      </w:r>
    </w:p>
    <w:p>
      <w:pPr>
        <w:pStyle w:val="Heading1"/>
        <w:keepNext/>
      </w:pPr>
      <w:r>
        <w:t>Certificat indépendant</w:t>
      </w:r>
    </w:p>
    <w:p>
      <w:pPr>
        <w:keepLines w:val="0"/>
        <w:spacing w:before="0" w:after="120" w:line="264" w:lineRule="auto"/>
        <w:jc w:val="left"/>
      </w:pPr>
      <w:r>
        <w:rPr>
          <w:rFonts w:ascii="Calibri" w:hAnsi="Calibri"/>
          <w:b w:val="0"/>
          <w:i w:val="0"/>
          <w:color w:val="000000"/>
          <w:sz w:val="22"/>
        </w:rPr>
        <w:t>Le script verify_m2w_hlocal.py reconstruit les trois familles ci-dessus sans utiliser les fonctions du code de simulation M2-W. Les preuves sont analytiques; le calcul contrôle les signes, les facteurs et la mise en œuvre.</w:t>
      </w:r>
    </w:p>
    <w:tbl>
      <w:tblPr>
        <w:tblW w:type="dxa" w:w="9360"/>
        <w:tblLayout w:type="fixed"/>
        <w:tblLook w:firstColumn="1" w:firstRow="1" w:lastColumn="0" w:lastRow="0" w:noHBand="0" w:noVBand="1" w:val="04A0"/>
        <w:jc w:val="left"/>
        <w:tblInd w:w="120" w:type="dxa"/>
      </w:tblPr>
      <w:tblGrid>
        <w:gridCol w:w="4050"/>
        <w:gridCol w:w="5310"/>
      </w:tblGrid>
      <w:tr>
        <w:trPr>
          <w:tblHeader w:val="true"/>
        </w:trPr>
        <w:tc>
          <w:tcPr>
            <w:tcW w:type="dxa" w:w="4050"/>
            <w:tcMar>
              <w:top w:w="80" w:type="dxa"/>
              <w:start w:w="120" w:type="dxa"/>
              <w:bottom w:w="80" w:type="dxa"/>
              <w:end w:w="120" w:type="dxa"/>
            </w:tcMar>
            <w:vAlign w:val="center"/>
            <w:shd w:fill="E8EEF5"/>
          </w:tcPr>
          <w:p>
            <w:pPr>
              <w:spacing w:after="0"/>
              <w:jc w:val="left"/>
            </w:pPr>
            <w:r>
              <w:rPr>
                <w:rFonts w:ascii="Calibri" w:hAnsi="Calibri"/>
                <w:b/>
                <w:color w:val="0B2545"/>
                <w:sz w:val="18"/>
              </w:rPr>
              <w:t>Contrôle</w:t>
            </w:r>
          </w:p>
        </w:tc>
        <w:tc>
          <w:tcPr>
            <w:tcW w:type="dxa" w:w="5310"/>
            <w:tcMar>
              <w:top w:w="80" w:type="dxa"/>
              <w:start w:w="120" w:type="dxa"/>
              <w:bottom w:w="80" w:type="dxa"/>
              <w:end w:w="120" w:type="dxa"/>
            </w:tcMar>
            <w:vAlign w:val="center"/>
            <w:shd w:fill="E8EEF5"/>
          </w:tcPr>
          <w:p>
            <w:pPr>
              <w:spacing w:after="0"/>
              <w:jc w:val="left"/>
            </w:pPr>
            <w:r>
              <w:rPr>
                <w:rFonts w:ascii="Calibri" w:hAnsi="Calibri"/>
                <w:b/>
                <w:color w:val="0B2545"/>
                <w:sz w:val="18"/>
              </w:rPr>
              <w:t>Valeur certifiée</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ε du chemin</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0,2</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κ(T_N), N=3...12</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1,788789 ... 2,269987</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Distance extrême</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11</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Élément H extrême</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-2,760752680879791·10^-9</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Borne chemin minimal</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1,861818181818183·10^-9</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Rapport max à la borne (3)</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0,260659 &lt; 1</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Erreur série de Neumann</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1,305·10^-15</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Projecteur dense à distance 11</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1/12 = 0,083333333333333</w:t>
            </w:r>
          </w:p>
        </w:tc>
      </w:tr>
      <w:tr>
        <w:tc>
          <w:tcPr>
            <w:tcW w:type="dxa" w:w="4050"/>
            <w:vAlign w:val="center"/>
            <w:tcMar>
              <w:top w:w="80" w:type="dxa"/>
              <w:start w:w="120" w:type="dxa"/>
              <w:bottom w:w="80" w:type="dxa"/>
              <w:end w:w="120" w:type="dxa"/>
            </w:tcMar>
          </w:tcPr>
          <w:p>
            <w:pPr>
              <w:spacing w:after="0" w:line="252" w:lineRule="auto"/>
              <w:jc w:val="left"/>
            </w:pPr>
            <w:r>
              <w:rPr>
                <w:rFonts w:ascii="Calibri" w:hAnsi="Calibri"/>
                <w:color w:val="000000"/>
                <w:sz w:val="18"/>
              </w:rPr>
              <w:t>Coefficient bilocal, ε=0,2</w:t>
            </w:r>
          </w:p>
        </w:tc>
        <w:tc>
          <w:tcPr>
            <w:tcW w:type="dxa" w:w="5310"/>
            <w:vAlign w:val="center"/>
            <w:tcMar>
              <w:top w:w="80" w:type="dxa"/>
              <w:start w:w="120" w:type="dxa"/>
              <w:bottom w:w="80" w:type="dxa"/>
              <w:end w:w="120" w:type="dxa"/>
            </w:tcMar>
          </w:tcPr>
          <w:p>
            <w:pPr>
              <w:spacing w:after="0" w:line="252" w:lineRule="auto"/>
              <w:jc w:val="left"/>
            </w:pPr>
            <w:r>
              <w:rPr>
                <w:rFonts w:ascii="Calibri" w:hAnsi="Calibri"/>
                <w:color w:val="000000"/>
                <w:sz w:val="18"/>
              </w:rPr>
              <w:t>0,220916376139519</w:t>
            </w:r>
          </w:p>
        </w:tc>
      </w:tr>
    </w:tbl>
    <w:p>
      <w:pPr>
        <w:keepLines w:val="0"/>
        <w:spacing w:before="0" w:after="40" w:line="264" w:lineRule="auto"/>
        <w:jc w:val="left"/>
      </w:pPr>
      <w:r>
        <w:rPr>
          <w:rFonts w:ascii="Calibri" w:hAnsi="Calibri"/>
          <w:b w:val="0"/>
          <w:i w:val="0"/>
          <w:color w:val="000000"/>
          <w:sz w:val="22"/>
        </w:rPr>
      </w:r>
    </w:p>
    <w:p>
      <w:pPr>
        <w:keepLines/>
        <w:spacing w:before="60" w:after="140" w:line="240" w:lineRule="auto"/>
        <w:jc w:val="center"/>
      </w:pPr>
      <w:r>
        <w:rPr>
          <w:rFonts w:ascii="Cambria Math" w:hAnsi="Cambria Math"/>
          <w:color w:val="0B2545"/>
          <w:sz w:val="22"/>
        </w:rPr>
        <w:t>Sortie exigée : ALL CHECKS PASSED.</w:t>
      </w:r>
    </w:p>
    <w:p>
      <w:r>
        <w:br w:type="page"/>
      </w:r>
    </w:p>
    <w:p>
      <w:pPr>
        <w:pStyle w:val="Heading1"/>
        <w:keepNext/>
      </w:pPr>
      <w:r>
        <w:t>Critères de fermeture pré-enregistrés</w:t>
      </w:r>
    </w:p>
    <w:p>
      <w:pPr>
        <w:spacing w:before="0" w:after="120" w:line="264" w:lineRule="auto"/>
      </w:pPr>
      <w:r>
        <w:rPr>
          <w:rFonts w:ascii="Calibri" w:hAnsi="Calibri"/>
          <w:b/>
          <w:color w:val="000000"/>
          <w:sz w:val="22"/>
        </w:rPr>
        <w:t xml:space="preserve">PASS H-QCONF. </w:t>
      </w:r>
      <w:r>
        <w:rPr>
          <w:rFonts w:ascii="Calibri" w:hAnsi="Calibri"/>
          <w:color w:val="000000"/>
          <w:sz w:val="22"/>
        </w:rPr>
        <w:t>B~ est injectif sur le secteur choisi et (3) est évaluée avec m(Λ), M(Λ), R(Λ) mesurés; toute restriction spectrale est annoncée avant l'ajustement.</w:t>
      </w:r>
    </w:p>
    <w:p>
      <w:pPr>
        <w:spacing w:before="0" w:after="120" w:line="264" w:lineRule="auto"/>
      </w:pPr>
      <w:r>
        <w:rPr>
          <w:rFonts w:ascii="Calibri" w:hAnsi="Calibri"/>
          <w:b/>
          <w:color w:val="000000"/>
          <w:sz w:val="22"/>
        </w:rPr>
        <w:t xml:space="preserve">PASS H-SPATIAL. </w:t>
      </w:r>
      <w:r>
        <w:rPr>
          <w:rFonts w:ascii="Calibri" w:hAnsi="Calibri"/>
          <w:color w:val="000000"/>
          <w:sz w:val="22"/>
        </w:rPr>
        <w:t>A8-A13 sont définis et (16) est démontrée avec des constantes uniformes dans la suite de cutoffs. Une simple matrice clairsemée ou une pente numérique ne suffit pas.</w:t>
      </w:r>
    </w:p>
    <w:p>
      <w:pPr>
        <w:spacing w:before="0" w:after="120" w:line="264" w:lineRule="auto"/>
      </w:pPr>
      <w:r>
        <w:rPr>
          <w:rFonts w:ascii="Calibri" w:hAnsi="Calibri"/>
          <w:b/>
          <w:color w:val="000000"/>
          <w:sz w:val="22"/>
        </w:rPr>
        <w:t xml:space="preserve">FAIL H-SPATIAL. </w:t>
      </w:r>
      <w:r>
        <w:rPr>
          <w:rFonts w:ascii="Calibri" w:hAnsi="Calibri"/>
          <w:color w:val="000000"/>
          <w:sz w:val="22"/>
        </w:rPr>
        <w:t>Un taux local dépend d'une observable située à distance arbitraire avec un coefficient non décroissant, ou le projecteur physique viole toute borne uniforme.</w:t>
      </w:r>
    </w:p>
    <w:p>
      <w:pPr>
        <w:spacing w:before="0" w:after="120" w:line="264" w:lineRule="auto"/>
      </w:pPr>
      <w:r>
        <w:rPr>
          <w:rFonts w:ascii="Calibri" w:hAnsi="Calibri"/>
          <w:b/>
          <w:color w:val="000000"/>
          <w:sz w:val="22"/>
        </w:rPr>
        <w:t xml:space="preserve">FAIL H-CONTINUUM. </w:t>
      </w:r>
      <w:r>
        <w:rPr>
          <w:rFonts w:ascii="Calibri" w:hAnsi="Calibri"/>
          <w:color w:val="000000"/>
          <w:sz w:val="22"/>
        </w:rPr>
        <w:t>Après conversion en unités physiques, aucune fenêtre μ&gt;0 et aucun J&lt;∞ communs ne subsistent dans le secteur pré-enregistré.</w:t>
      </w:r>
    </w:p>
    <w:p>
      <w:pPr>
        <w:pStyle w:val="Heading1"/>
        <w:keepNext/>
      </w:pPr>
      <w:r>
        <w:t>Registre mis à jour</w:t>
      </w:r>
    </w:p>
    <w:tbl>
      <w:tblPr>
        <w:tblW w:type="dxa" w:w="9360"/>
        <w:tblLayout w:type="fixed"/>
        <w:tblLook w:firstColumn="1" w:firstRow="1" w:lastColumn="0" w:lastRow="0" w:noHBand="0" w:noVBand="1" w:val="04A0"/>
        <w:jc w:val="left"/>
        <w:tblInd w:w="120" w:type="dxa"/>
      </w:tblPr>
      <w:tblGrid>
        <w:gridCol w:w="2350"/>
        <w:gridCol w:w="2600"/>
        <w:gridCol w:w="4410"/>
      </w:tblGrid>
      <w:tr>
        <w:trPr>
          <w:tblHeader w:val="true"/>
        </w:trPr>
        <w:tc>
          <w:tcPr>
            <w:tcW w:type="dxa" w:w="2350"/>
            <w:tcMar>
              <w:top w:w="80" w:type="dxa"/>
              <w:start w:w="120" w:type="dxa"/>
              <w:bottom w:w="80" w:type="dxa"/>
              <w:end w:w="120" w:type="dxa"/>
            </w:tcMar>
            <w:vAlign w:val="center"/>
            <w:shd w:fill="E8EEF5"/>
          </w:tcPr>
          <w:p>
            <w:pPr>
              <w:spacing w:after="0"/>
              <w:jc w:val="left"/>
            </w:pPr>
            <w:r>
              <w:rPr>
                <w:rFonts w:ascii="Calibri" w:hAnsi="Calibri"/>
                <w:b/>
                <w:color w:val="0B2545"/>
                <w:sz w:val="18"/>
              </w:rPr>
              <w:t>Porte</w:t>
            </w:r>
          </w:p>
        </w:tc>
        <w:tc>
          <w:tcPr>
            <w:tcW w:type="dxa" w:w="2600"/>
            <w:tcMar>
              <w:top w:w="80" w:type="dxa"/>
              <w:start w:w="120" w:type="dxa"/>
              <w:bottom w:w="80" w:type="dxa"/>
              <w:end w:w="120" w:type="dxa"/>
            </w:tcMar>
            <w:vAlign w:val="center"/>
            <w:shd w:fill="E8EEF5"/>
          </w:tcPr>
          <w:p>
            <w:pPr>
              <w:spacing w:after="0"/>
              <w:jc w:val="left"/>
            </w:pPr>
            <w:r>
              <w:rPr>
                <w:rFonts w:ascii="Calibri" w:hAnsi="Calibri"/>
                <w:b/>
                <w:color w:val="0B2545"/>
                <w:sz w:val="18"/>
              </w:rPr>
              <w:t>Verdict</w:t>
            </w:r>
          </w:p>
        </w:tc>
        <w:tc>
          <w:tcPr>
            <w:tcW w:type="dxa" w:w="4410"/>
            <w:tcMar>
              <w:top w:w="80" w:type="dxa"/>
              <w:start w:w="120" w:type="dxa"/>
              <w:bottom w:w="80" w:type="dxa"/>
              <w:end w:w="120" w:type="dxa"/>
            </w:tcMar>
            <w:vAlign w:val="center"/>
            <w:shd w:fill="E8EEF5"/>
          </w:tcPr>
          <w:p>
            <w:pPr>
              <w:spacing w:after="0"/>
              <w:jc w:val="left"/>
            </w:pPr>
            <w:r>
              <w:rPr>
                <w:rFonts w:ascii="Calibri" w:hAnsi="Calibri"/>
                <w:b/>
                <w:color w:val="0B2545"/>
                <w:sz w:val="18"/>
              </w:rPr>
              <w:t>Portée exacte</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RP-cutoff</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Sous A0-A7</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TOP-KIN</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Topologie T3; cible asymptotique</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PAR-RANK</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Identifiabilité μ/b</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RG-1CELL</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edge-only non fermé sous R_z</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RG-RAY</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rayon nu non invariant sous R_z</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H-STRICT-CONF</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contre-exemple exact</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H-QUASI-CONF</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[T|injectif]</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cutoff fini, borne (3)</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H-KERNEL</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A0-A7 insuffisantes</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H-SPATIAL/LR</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FERMÉE [FAIL logique]</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non déductible de A0-A7</w:t>
            </w:r>
          </w:p>
        </w:tc>
      </w:tr>
      <w:tr>
        <w:tc>
          <w:tcPr>
            <w:tcW w:type="dxa" w:w="2350"/>
            <w:vAlign w:val="center"/>
            <w:tcMar>
              <w:top w:w="80" w:type="dxa"/>
              <w:start w:w="120" w:type="dxa"/>
              <w:bottom w:w="80" w:type="dxa"/>
              <w:end w:w="120" w:type="dxa"/>
            </w:tcMar>
          </w:tcPr>
          <w:p>
            <w:pPr>
              <w:spacing w:after="0" w:line="252" w:lineRule="auto"/>
              <w:jc w:val="left"/>
            </w:pPr>
            <w:r>
              <w:rPr>
                <w:rFonts w:ascii="Calibri" w:hAnsi="Calibri"/>
                <w:color w:val="000000"/>
                <w:sz w:val="17"/>
              </w:rPr>
              <w:t>H-CONTINUUM</w:t>
            </w:r>
          </w:p>
        </w:tc>
        <w:tc>
          <w:tcPr>
            <w:tcW w:type="dxa" w:w="2600"/>
            <w:vAlign w:val="center"/>
            <w:tcMar>
              <w:top w:w="80" w:type="dxa"/>
              <w:start w:w="120" w:type="dxa"/>
              <w:bottom w:w="80" w:type="dxa"/>
              <w:end w:w="120" w:type="dxa"/>
            </w:tcMar>
          </w:tcPr>
          <w:p>
            <w:pPr>
              <w:spacing w:after="0" w:line="252" w:lineRule="auto"/>
              <w:jc w:val="left"/>
            </w:pPr>
            <w:r>
              <w:rPr>
                <w:rFonts w:ascii="Calibri" w:hAnsi="Calibri"/>
                <w:color w:val="000000"/>
                <w:sz w:val="17"/>
              </w:rPr>
              <w:t>OUVERTE</w:t>
            </w:r>
          </w:p>
        </w:tc>
        <w:tc>
          <w:tcPr>
            <w:tcW w:type="dxa" w:w="4410"/>
            <w:vAlign w:val="center"/>
            <w:tcMar>
              <w:top w:w="80" w:type="dxa"/>
              <w:start w:w="120" w:type="dxa"/>
              <w:bottom w:w="80" w:type="dxa"/>
              <w:end w:w="120" w:type="dxa"/>
            </w:tcMar>
          </w:tcPr>
          <w:p>
            <w:pPr>
              <w:spacing w:after="0" w:line="252" w:lineRule="auto"/>
              <w:jc w:val="left"/>
            </w:pPr>
            <w:r>
              <w:rPr>
                <w:rFonts w:ascii="Calibri" w:hAnsi="Calibri"/>
                <w:color w:val="000000"/>
                <w:sz w:val="17"/>
              </w:rPr>
              <w:t>requiert A8-A13</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Prochaine porte rationnelle. </w:t>
            </w:r>
            <w:r>
              <w:rPr>
                <w:rFonts w:ascii="Calibri" w:hAnsi="Calibri"/>
                <w:color w:val="0B2545"/>
                <w:sz w:val="22"/>
              </w:rPr>
              <w:t>Geler A9-A11 sous une forme constructive : générateur local, balance détaillée, contrôle du volume et famille de petit pas. La prochaine preuve ne doit plus chercher la localité dans le logarithme d'un B choisi arbitrairement; elle doit la placer dans Q avant l'exponentiation.</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w:t>
      </w:r>
    </w:p>
    <w:p>
      <w:pPr>
        <w:keepLines/>
        <w:spacing w:after="20" w:line="240" w:lineRule="auto"/>
        <w:ind w:left="360" w:hanging="360"/>
      </w:pPr>
      <w:r>
        <w:rPr>
          <w:rFonts w:ascii="Calibri" w:hAnsi="Calibri"/>
          <w:color w:val="000000"/>
          <w:sz w:val="16"/>
        </w:rPr>
        <w:t xml:space="preserve">1. M. Benzi, P. Boito et N. Razouk. </w:t>
      </w:r>
      <w:r>
        <w:rPr>
          <w:rFonts w:ascii="Calibri" w:hAnsi="Calibri"/>
          <w:i/>
          <w:color w:val="000000"/>
          <w:sz w:val="16"/>
        </w:rPr>
        <w:t>Decay Properties of Spectral Projectors with Applications to Electronic Structure</w:t>
      </w:r>
      <w:r>
        <w:rPr>
          <w:rFonts w:ascii="Calibri" w:hAnsi="Calibri"/>
          <w:color w:val="5F6B78"/>
          <w:sz w:val="16"/>
        </w:rPr>
        <w:t>. SIAM Review 55 (2013), 3-64. https://arxiv.org/abs/1203.3953</w:t>
      </w:r>
    </w:p>
    <w:p>
      <w:pPr>
        <w:keepLines/>
        <w:spacing w:after="20" w:line="240" w:lineRule="auto"/>
        <w:ind w:left="360" w:hanging="360"/>
      </w:pPr>
      <w:r>
        <w:rPr>
          <w:rFonts w:ascii="Calibri" w:hAnsi="Calibri"/>
          <w:color w:val="000000"/>
          <w:sz w:val="16"/>
        </w:rPr>
        <w:t xml:space="preserve">2. B. Nachtergaele et R. Sims. </w:t>
      </w:r>
      <w:r>
        <w:rPr>
          <w:rFonts w:ascii="Calibri" w:hAnsi="Calibri"/>
          <w:i/>
          <w:color w:val="000000"/>
          <w:sz w:val="16"/>
        </w:rPr>
        <w:t>Lieb-Robinson Bounds and the Exponential Clustering Theorem</w:t>
      </w:r>
      <w:r>
        <w:rPr>
          <w:rFonts w:ascii="Calibri" w:hAnsi="Calibri"/>
          <w:color w:val="5F6B78"/>
          <w:sz w:val="16"/>
        </w:rPr>
        <w:t>. Communications in Mathematical Physics 265 (2006), 119-130. https://arxiv.org/abs/math-ph/0506030</w:t>
      </w:r>
    </w:p>
    <w:p>
      <w:pPr>
        <w:keepLines/>
        <w:spacing w:after="20" w:line="240" w:lineRule="auto"/>
        <w:ind w:left="360" w:hanging="360"/>
      </w:pPr>
      <w:r>
        <w:rPr>
          <w:rFonts w:ascii="Calibri" w:hAnsi="Calibri"/>
          <w:color w:val="000000"/>
          <w:sz w:val="16"/>
        </w:rPr>
        <w:t xml:space="preserve">3. B. Nachtergaele, Y. Ogata et R. Sims. </w:t>
      </w:r>
      <w:r>
        <w:rPr>
          <w:rFonts w:ascii="Calibri" w:hAnsi="Calibri"/>
          <w:i/>
          <w:color w:val="000000"/>
          <w:sz w:val="16"/>
        </w:rPr>
        <w:t>Propagation of Correlations in Quantum Lattice Systems</w:t>
      </w:r>
      <w:r>
        <w:rPr>
          <w:rFonts w:ascii="Calibri" w:hAnsi="Calibri"/>
          <w:color w:val="5F6B78"/>
          <w:sz w:val="16"/>
        </w:rPr>
        <w:t>. Journal of Statistical Physics 124 (2006), 1-13. https://arxiv.org/abs/math-ph/0603064</w:t>
      </w:r>
    </w:p>
    <w:p>
      <w:pPr>
        <w:keepLines/>
        <w:spacing w:after="20" w:line="240" w:lineRule="auto"/>
        <w:ind w:left="360" w:hanging="360"/>
      </w:pPr>
      <w:r>
        <w:rPr>
          <w:rFonts w:ascii="Calibri" w:hAnsi="Calibri"/>
          <w:color w:val="000000"/>
          <w:sz w:val="16"/>
        </w:rPr>
        <w:t xml:space="preserve">4. D. Poulin. </w:t>
      </w:r>
      <w:r>
        <w:rPr>
          <w:rFonts w:ascii="Calibri" w:hAnsi="Calibri"/>
          <w:i/>
          <w:color w:val="000000"/>
          <w:sz w:val="16"/>
        </w:rPr>
        <w:t>Lieb-Robinson Bound and Locality for General Markovian Quantum Dynamics</w:t>
      </w:r>
      <w:r>
        <w:rPr>
          <w:rFonts w:ascii="Calibri" w:hAnsi="Calibri"/>
          <w:color w:val="5F6B78"/>
          <w:sz w:val="16"/>
        </w:rPr>
        <w:t>. Physical Review Letters 104 (2010), 190401. https://journals.aps.org/prl/abstract/10.1103/PhysRevLett.104.190401</w:t>
      </w:r>
    </w:p>
    <w:sectPr w:rsidR="00FC693F" w:rsidRPr="0006063C" w:rsidSect="00034616">
      <w:footerReference w:type="default" r:id="rId9"/>
      <w:pgSz w:w="12240" w:h="15840"/>
      <w:pgMar w:top="1238" w:right="1267" w:bottom="1238" w:left="1267"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