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0B2545"/>
          <w:sz w:val="47"/>
        </w:rPr>
        <w:t>M2-W - Théorème Q-TIME</w:t>
      </w:r>
    </w:p>
    <w:p>
      <w:pPr>
        <w:keepNext/>
        <w:spacing w:before="0" w:after="240"/>
      </w:pPr>
      <w:r>
        <w:rPr>
          <w:rFonts w:ascii="Calibri" w:hAnsi="Calibri"/>
          <w:i/>
          <w:color w:val="5F6B78"/>
          <w:sz w:val="25"/>
        </w:rPr>
        <w:t>La mesure fixe le vide, pas le Hamiltonien : fermeture de la liberté cinétique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Programme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Blob Principle - Modèle M2-W</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Porte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Q-TIME / DYN-UNIQUENESS - le temps et le Hamiltonien sont-ils dérivés ?</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Verdict principal</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[T/FAIL] π + graphe de Pachner + balance détaillée ne déterminent pas Q</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Résultat positif</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[T] Une classe dynamique universelle est contrôlée par ellipticité uniforme</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Réparation</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Séparer Q_samp de Q_phys et geler une métrique cinétique de Pachner</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Date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27 juillet 2026</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Décision. </w:t>
            </w:r>
            <w:r>
              <w:rPr>
                <w:rFonts w:ascii="Calibri" w:hAnsi="Calibri"/>
                <w:color w:val="0B2545"/>
                <w:sz w:val="22"/>
              </w:rPr>
              <w:t>La construction Q local puis B=exp(a_t Q/2) ferme bien RP, positivité, petit pas et localité de configuration. Mais la mesure π et la balance détaillée ne sélectionnent aucun Q unique : elles laissent une amplitude positive indépendante sur chaque canal de Pachner. Le spectre, le gap et le ralentissement critique peuvent donc varier sans modifier le vide ni l'action. La phrase « prendre des taux de type Metropolis, donc immédiat » ne définit pas encore une physique. Q-TIME est fermée [FAIL] pour la dérivation depuis π seule, et réparée par une séparation Q_samp/Q_phys plus un axiome cinétique explicite.</w:t>
            </w:r>
          </w:p>
        </w:tc>
      </w:tr>
    </w:tbl>
    <w:p>
      <w:pPr>
        <w:keepLines w:val="0"/>
        <w:spacing w:before="0" w:after="40" w:line="264" w:lineRule="auto"/>
        <w:jc w:val="left"/>
      </w:pPr>
      <w:r>
        <w:rPr>
          <w:rFonts w:ascii="Calibri" w:hAnsi="Calibri"/>
          <w:b w:val="0"/>
          <w:i w:val="0"/>
          <w:color w:val="000000"/>
          <w:sz w:val="22"/>
        </w:rPr>
      </w:r>
    </w:p>
    <w:p>
      <w:pPr>
        <w:pStyle w:val="Heading1"/>
        <w:keepNext/>
      </w:pPr>
      <w:r>
        <w:t>Carte des verdicts</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Q-PARAM</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Tous les générateurs réversibles sont paramétrés par des conductances symétriques positives.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FERMÉ [FAIL]</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Q-FROM-π</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La mesure stationnaire et le graphe des moves ne fixent ni les amplitudes cinétiques ni le spectre.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Q-COMPARE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Une ellipticité uniforme compare exactement formes de Dirichlet et gaps.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CORRIGÉ</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Vide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vecteur fondamental est sqrt(π); sa probabilité de Born est π.</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CORRIGÉ</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Gap / graviton</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gap global est un taux L2; seule une fermeture du secteur spin 2 peut porter une masse de graviton.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FERMÉ [FAIL]</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Parisi-Wu automatique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temps stochastique standard est auxiliaire; son spectre n'est pas automatiquement le spectre physique.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OUVERT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KIN-RG / SPIN-2</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Fixer la métrique cinétique, son flot RG et les projecteurs de secteurs physiques.</w:t>
            </w:r>
          </w:p>
        </w:tc>
      </w:tr>
    </w:tbl>
    <w:p>
      <w:pPr>
        <w:keepLines w:val="0"/>
        <w:spacing w:before="0" w:after="40" w:line="264" w:lineRule="auto"/>
        <w:jc w:val="left"/>
      </w:pPr>
      <w:r>
        <w:rPr>
          <w:rFonts w:ascii="Calibri" w:hAnsi="Calibri"/>
          <w:b w:val="0"/>
          <w:i w:val="0"/>
          <w:color w:val="000000"/>
          <w:sz w:val="22"/>
        </w:rPr>
      </w:r>
    </w:p>
    <w:p>
      <w:pPr>
        <w:pStyle w:val="Heading1"/>
        <w:keepNext/>
      </w:pPr>
      <w:r>
        <w:t>Cadre exact : canaux de Pachner distincts</w:t>
      </w:r>
    </w:p>
    <w:p>
      <w:pPr>
        <w:keepLines w:val="0"/>
        <w:spacing w:before="0" w:after="120" w:line="264" w:lineRule="auto"/>
        <w:jc w:val="left"/>
      </w:pPr>
      <w:r>
        <w:rPr>
          <w:rFonts w:ascii="Calibri" w:hAnsi="Calibri"/>
          <w:b w:val="0"/>
          <w:i w:val="0"/>
          <w:color w:val="000000"/>
          <w:sz w:val="22"/>
        </w:rPr>
        <w:t>À cutoff fini Λ, soit Ω_Λ l'ensemble des triangulations retenues et π_x&gt;0 une probabilité sur Ω_Λ. Les embeddings de moves ne sont pas fusionnés : un canal orienté γ:x→y possède un inverse bar(γ):y→x. Un générateur continu local s'écrit</w:t>
      </w:r>
    </w:p>
    <w:p>
      <w:pPr>
        <w:keepLines/>
        <w:spacing w:before="60" w:after="140" w:line="240" w:lineRule="auto"/>
        <w:jc w:val="center"/>
      </w:pPr>
      <w:r>
        <w:rPr>
          <w:rFonts w:ascii="Cambria Math" w:hAnsi="Cambria Math"/>
          <w:color w:val="0B2545"/>
          <w:sz w:val="22"/>
        </w:rPr>
        <w:t>(Qf)(x)=Σ_{γ:x→y} q_γ(x)[f(y)-f(x)].                   (1)</w:t>
      </w:r>
    </w:p>
    <w:p>
      <w:pPr>
        <w:keepLines w:val="0"/>
        <w:spacing w:before="0" w:after="120" w:line="264" w:lineRule="auto"/>
        <w:jc w:val="left"/>
      </w:pPr>
      <w:r>
        <w:rPr>
          <w:rFonts w:ascii="Calibri" w:hAnsi="Calibri"/>
          <w:b w:val="0"/>
          <w:i w:val="0"/>
          <w:color w:val="000000"/>
          <w:sz w:val="22"/>
        </w:rPr>
        <w:t>La balance détaillée canal par canal est</w:t>
      </w:r>
    </w:p>
    <w:p>
      <w:pPr>
        <w:keepLines/>
        <w:spacing w:before="60" w:after="140" w:line="240" w:lineRule="auto"/>
        <w:jc w:val="center"/>
      </w:pPr>
      <w:r>
        <w:rPr>
          <w:rFonts w:ascii="Cambria Math" w:hAnsi="Cambria Math"/>
          <w:color w:val="0B2545"/>
          <w:sz w:val="22"/>
        </w:rPr>
        <w:t>π_x q_γ(x)=π_y q_bar(γ)(y).                            (2)</w:t>
      </w:r>
    </w:p>
    <w:p>
      <w:pPr>
        <w:keepLines w:val="0"/>
        <w:spacing w:before="0" w:after="120" w:line="264" w:lineRule="auto"/>
        <w:jc w:val="left"/>
      </w:pPr>
      <w:r>
        <w:rPr>
          <w:rFonts w:ascii="Calibri" w:hAnsi="Calibri"/>
          <w:b w:val="0"/>
          <w:i w:val="0"/>
          <w:color w:val="000000"/>
          <w:sz w:val="22"/>
        </w:rPr>
        <w:t>Cette formulation respecte l'hypothèse A2 de RP-cutoff : deux embeddings conduisant aux mêmes classes d'états restent deux canaux cinétiques distincts.</w:t>
      </w:r>
    </w:p>
    <w:p>
      <w:pPr>
        <w:pStyle w:val="Heading1"/>
        <w:keepNext/>
      </w:pPr>
      <w:r>
        <w:t>Théorème Q-PARAM - classification complète</w:t>
      </w:r>
    </w:p>
    <w:p>
      <w:pPr>
        <w:keepLines w:val="0"/>
        <w:spacing w:before="0" w:after="120" w:line="264" w:lineRule="auto"/>
        <w:jc w:val="left"/>
      </w:pPr>
      <w:r>
        <w:rPr>
          <w:rFonts w:ascii="Calibri" w:hAnsi="Calibri"/>
          <w:b w:val="0"/>
          <w:i w:val="0"/>
          <w:color w:val="000000"/>
          <w:sz w:val="22"/>
        </w:rPr>
        <w:t>Pour chaque paire γ,bar(γ), les taux strictement positifs vérifient (2) si et seulement s'il existe une amplitude cinétique a_γ=a_bar(γ)&gt;0 telle que</w:t>
      </w:r>
    </w:p>
    <w:p>
      <w:pPr>
        <w:keepLines/>
        <w:spacing w:before="60" w:after="140" w:line="240" w:lineRule="auto"/>
        <w:jc w:val="center"/>
      </w:pPr>
      <w:r>
        <w:rPr>
          <w:rFonts w:ascii="Cambria Math" w:hAnsi="Cambria Math"/>
          <w:color w:val="0B2545"/>
          <w:sz w:val="22"/>
        </w:rPr>
        <w:t>q_γ(x)=a_γ sqrt(π_y/π_x),   q_bar(γ)(y)=a_γ sqrt(π_x/π_y).                      (3)</w:t>
      </w:r>
    </w:p>
    <w:p>
      <w:pPr>
        <w:pStyle w:val="Heading2"/>
        <w:keepNext/>
      </w:pPr>
      <w:r>
        <w:t>Preuve</w:t>
      </w:r>
    </w:p>
    <w:p>
      <w:pPr>
        <w:keepLines/>
        <w:spacing w:before="0" w:after="120" w:line="264" w:lineRule="auto"/>
      </w:pPr>
      <w:r>
        <w:rPr>
          <w:rFonts w:ascii="Calibri" w:hAnsi="Calibri"/>
          <w:b/>
          <w:color w:val="0B2545"/>
          <w:sz w:val="22"/>
        </w:rPr>
        <w:t xml:space="preserve">Nécessité. </w:t>
      </w:r>
      <w:r>
        <w:rPr>
          <w:rFonts w:ascii="Calibri" w:hAnsi="Calibri"/>
          <w:color w:val="000000"/>
          <w:sz w:val="22"/>
        </w:rPr>
        <w:t>Par (2), q_γ/q_bar(γ)=π_y/π_x. Poser a_γ=sqrt(q_γ q_bar(γ)); la première identité (3) suit, puis la seconde.</w:t>
      </w:r>
    </w:p>
    <w:p>
      <w:pPr>
        <w:keepLines/>
        <w:spacing w:before="0" w:after="120" w:line="264" w:lineRule="auto"/>
      </w:pPr>
      <w:r>
        <w:rPr>
          <w:rFonts w:ascii="Calibri" w:hAnsi="Calibri"/>
          <w:b/>
          <w:color w:val="0B2545"/>
          <w:sz w:val="22"/>
        </w:rPr>
        <w:t xml:space="preserve">Suffisance. </w:t>
      </w:r>
      <w:r>
        <w:rPr>
          <w:rFonts w:ascii="Calibri" w:hAnsi="Calibri"/>
          <w:color w:val="000000"/>
          <w:sz w:val="22"/>
        </w:rPr>
        <w:t>En substituant (3), les deux membres de (2) valent a_γ sqrt(π_x π_y).</w:t>
      </w:r>
    </w:p>
    <w:p>
      <w:pPr>
        <w:keepLines/>
        <w:spacing w:before="0" w:after="120" w:line="264" w:lineRule="auto"/>
      </w:pPr>
      <w:r>
        <w:rPr>
          <w:rFonts w:ascii="Calibri" w:hAnsi="Calibri"/>
          <w:b/>
          <w:color w:val="0B2545"/>
          <w:sz w:val="22"/>
        </w:rPr>
        <w:t xml:space="preserve">Conclusion. </w:t>
      </w:r>
      <w:r>
        <w:rPr>
          <w:rFonts w:ascii="Calibri" w:hAnsi="Calibri"/>
          <w:color w:val="000000"/>
          <w:sz w:val="22"/>
        </w:rPr>
        <w:t>π fixe le rapport avant/arrière mais laisse libre leur moyenne géométrique a_γ. Il reste une direction cinétique positive par canal non orienté.</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Conséquence structurelle. </w:t>
            </w:r>
            <w:r>
              <w:rPr>
                <w:rFonts w:ascii="Calibri" w:hAnsi="Calibri"/>
                <w:color w:val="0B2545"/>
                <w:sz w:val="22"/>
              </w:rPr>
              <w:t>Même après localité, réversibilité et choix des mouvements 1↔4 et 2↔3, la liberté n'est pas réduite à deux nombres : a_γ peut être toute fonction positive de l'environnement local du move. Si les coordinations ne sont pas bornées, cet espace de fonctions croît avec le cutoff.</w:t>
            </w:r>
          </w:p>
        </w:tc>
      </w:tr>
    </w:tbl>
    <w:p>
      <w:pPr>
        <w:keepLines w:val="0"/>
        <w:spacing w:before="0" w:after="40" w:line="264" w:lineRule="auto"/>
        <w:jc w:val="left"/>
      </w:pPr>
      <w:r>
        <w:rPr>
          <w:rFonts w:ascii="Calibri" w:hAnsi="Calibri"/>
          <w:b w:val="0"/>
          <w:i w:val="0"/>
          <w:color w:val="000000"/>
          <w:sz w:val="22"/>
        </w:rPr>
      </w:r>
    </w:p>
    <w:p>
      <w:pPr>
        <w:pStyle w:val="Heading1"/>
        <w:keepNext/>
      </w:pPr>
      <w:r>
        <w:t>Forme du Hamiltonien et correction du vide</w:t>
      </w:r>
    </w:p>
    <w:p>
      <w:pPr>
        <w:keepLines w:val="0"/>
        <w:spacing w:before="0" w:after="120" w:line="264" w:lineRule="auto"/>
        <w:jc w:val="left"/>
      </w:pPr>
      <w:r>
        <w:rPr>
          <w:rFonts w:ascii="Calibri" w:hAnsi="Calibri"/>
          <w:b w:val="0"/>
          <w:i w:val="0"/>
          <w:color w:val="000000"/>
          <w:sz w:val="22"/>
        </w:rPr>
        <w:t>Dans ℓ²(π), Q est symétrique. Passons à la base orthonormée de comptage avec U f=sqrt(π)f et posons H=-UQU^-1. Pour x≠y, (3) donne</w:t>
      </w:r>
    </w:p>
    <w:p>
      <w:pPr>
        <w:keepLines/>
        <w:spacing w:before="60" w:after="140" w:line="240" w:lineRule="auto"/>
        <w:jc w:val="center"/>
      </w:pPr>
      <w:r>
        <w:rPr>
          <w:rFonts w:ascii="Cambria Math" w:hAnsi="Cambria Math"/>
          <w:color w:val="0B2545"/>
          <w:sz w:val="22"/>
        </w:rPr>
        <w:t>H_xy=-sqrt(π_x/π_y) q(x,y)=-Σ_{γ:x→y} a_γ.            (4)</w:t>
      </w:r>
    </w:p>
    <w:p>
      <w:pPr>
        <w:keepLines w:val="0"/>
        <w:spacing w:before="0" w:after="120" w:line="264" w:lineRule="auto"/>
        <w:jc w:val="left"/>
      </w:pPr>
      <w:r>
        <w:rPr>
          <w:rFonts w:ascii="Calibri" w:hAnsi="Calibri"/>
          <w:b w:val="0"/>
          <w:i w:val="0"/>
          <w:color w:val="000000"/>
          <w:sz w:val="22"/>
        </w:rPr>
        <w:t>Les amplitudes a_γ sont donc littéralement les éléments cinétiques hors diagonale du Hamiltonien. De plus</w:t>
      </w:r>
    </w:p>
    <w:p>
      <w:pPr>
        <w:keepLines/>
        <w:spacing w:before="60" w:after="140" w:line="240" w:lineRule="auto"/>
        <w:jc w:val="center"/>
      </w:pPr>
      <w:r>
        <w:rPr>
          <w:rFonts w:ascii="Cambria Math" w:hAnsi="Cambria Math"/>
          <w:color w:val="0B2545"/>
          <w:sz w:val="22"/>
        </w:rPr>
        <w:t>H psi_0=0,   psi_0(x)=sqrt(π_x),   |psi_0(x)|²=π_x.    (5)</w:t>
      </w:r>
    </w:p>
    <w:p>
      <w:pPr>
        <w:spacing w:before="0" w:after="120" w:line="264" w:lineRule="auto"/>
      </w:pPr>
      <w:r>
        <w:rPr>
          <w:rFonts w:ascii="Calibri" w:hAnsi="Calibri"/>
          <w:b/>
          <w:color w:val="000000"/>
          <w:sz w:val="22"/>
        </w:rPr>
        <w:t xml:space="preserve">Correction exacte. </w:t>
      </w:r>
      <w:r>
        <w:rPr>
          <w:rFonts w:ascii="Calibri" w:hAnsi="Calibri"/>
          <w:color w:val="000000"/>
          <w:sz w:val="22"/>
        </w:rPr>
        <w:t>Le vide n'est pas le vecteur π. Dans ℓ²(π), le fondamental est la fonction constante 1; dans la base de comptage, il est sqrt(π). C'est sa distribution de Born qui vaut π.</w:t>
      </w:r>
    </w:p>
    <w:p>
      <w:pPr>
        <w:spacing w:before="0" w:after="120" w:line="264" w:lineRule="auto"/>
      </w:pPr>
      <w:r>
        <w:rPr>
          <w:rFonts w:ascii="Calibri" w:hAnsi="Calibri"/>
          <w:b/>
          <w:color w:val="000000"/>
          <w:sz w:val="22"/>
        </w:rPr>
        <w:t xml:space="preserve">Unicité. </w:t>
      </w:r>
      <w:r>
        <w:rPr>
          <w:rFonts w:ascii="Calibri" w:hAnsi="Calibri"/>
          <w:color w:val="000000"/>
          <w:sz w:val="22"/>
        </w:rPr>
        <w:t>Si le graphe des moves est connexe et tous les a_γ sont strictement positifs, le noyau de H est de dimension un.</w:t>
      </w:r>
    </w:p>
    <w:p>
      <w:pPr>
        <w:pStyle w:val="Heading1"/>
        <w:keepNext/>
      </w:pPr>
      <w:r>
        <w:t>Théorème Q-NONUNIQUE - même vide, spectres incompatibles</w:t>
      </w:r>
    </w:p>
    <w:p>
      <w:pPr>
        <w:keepLines w:val="0"/>
        <w:spacing w:before="0" w:after="120" w:line="264" w:lineRule="auto"/>
        <w:jc w:val="left"/>
      </w:pPr>
      <w:r>
        <w:rPr>
          <w:rFonts w:ascii="Calibri" w:hAnsi="Calibri"/>
          <w:b w:val="0"/>
          <w:i w:val="0"/>
          <w:color w:val="000000"/>
          <w:sz w:val="22"/>
        </w:rPr>
        <w:t>Prenons trois états en chemin 1-2-3, π=(1/3,1/3,1/3), un taux unitaire sur 1↔2 et un taux ε&gt;0 sur 2↔3. Alors H=-Q vaut</w:t>
      </w:r>
    </w:p>
    <w:p>
      <w:pPr>
        <w:keepLines/>
        <w:spacing w:before="60" w:after="140" w:line="240" w:lineRule="auto"/>
        <w:jc w:val="center"/>
      </w:pPr>
      <w:r>
        <w:rPr>
          <w:rFonts w:ascii="Cambria Math" w:hAnsi="Cambria Math"/>
          <w:color w:val="0B2545"/>
          <w:sz w:val="22"/>
        </w:rPr>
        <w:t>H_ε=[[1,-1,0],[-1,1+ε,-ε],[0,-ε,ε]].                  (6)</w:t>
      </w:r>
    </w:p>
    <w:p>
      <w:pPr>
        <w:keepLines w:val="0"/>
        <w:spacing w:before="0" w:after="120" w:line="264" w:lineRule="auto"/>
        <w:jc w:val="left"/>
      </w:pPr>
      <w:r>
        <w:rPr>
          <w:rFonts w:ascii="Calibri" w:hAnsi="Calibri"/>
          <w:b w:val="0"/>
          <w:i w:val="0"/>
          <w:color w:val="000000"/>
          <w:sz w:val="22"/>
        </w:rPr>
        <w:t>Il est local, réversible, positif et possède le même vide uniforme pour tout ε. Son spectre est cependant</w:t>
      </w:r>
    </w:p>
    <w:p>
      <w:pPr>
        <w:keepLines/>
        <w:spacing w:before="60" w:after="140" w:line="240" w:lineRule="auto"/>
        <w:jc w:val="center"/>
      </w:pPr>
      <w:r>
        <w:rPr>
          <w:rFonts w:ascii="Cambria Math" w:hAnsi="Cambria Math"/>
          <w:color w:val="0B2545"/>
          <w:sz w:val="22"/>
        </w:rPr>
        <w:t>spec(H_ε)={0, 1+ε-sqrt(1-ε+ε²), 1+ε+sqrt(1-ε+ε²)}.                                   (7)</w:t>
      </w:r>
    </w:p>
    <w:p>
      <w:pPr>
        <w:keepLines/>
        <w:spacing w:before="60" w:after="140" w:line="240" w:lineRule="auto"/>
        <w:jc w:val="center"/>
      </w:pPr>
      <w:r>
        <w:rPr>
          <w:rFonts w:ascii="Cambria Math" w:hAnsi="Cambria Math"/>
          <w:color w:val="0B2545"/>
          <w:sz w:val="22"/>
        </w:rPr>
        <w:t>gap(H_ε)=(3/2)ε+O(ε²) → 0.                            (8)</w:t>
      </w:r>
    </w:p>
    <w:p>
      <w:pPr>
        <w:keepLines w:val="0"/>
        <w:spacing w:before="0" w:after="120" w:line="264" w:lineRule="auto"/>
        <w:jc w:val="left"/>
      </w:pPr>
      <w:r>
        <w:rPr>
          <w:rFonts w:ascii="Calibri" w:hAnsi="Calibri"/>
          <w:b w:val="0"/>
          <w:i w:val="0"/>
          <w:color w:val="000000"/>
          <w:sz w:val="22"/>
        </w:rPr>
        <w:t>Le second niveau reste proche de 2 : ce changement n'est donc pas une simple conversion globale d'unités. Indépendamment, Q→cQ conserve π et tous les vecteurs propres mais multiplie toutes les énergies par c. La mesure d'équilibre ne fixe ni la forme relative du spectre ni l'horloge globale.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Verdict Q-FROM-π. </w:t>
            </w:r>
            <w:r>
              <w:rPr>
                <w:rFonts w:ascii="Calibri" w:hAnsi="Calibri"/>
                <w:color w:val="0B2545"/>
                <w:sz w:val="22"/>
              </w:rPr>
              <w:t>Le gap 0,086678 obtenu pour un choix de taux est exactement le trou spectral de ce Q, mais pas une prédiction de la mesure de viabilité. Un autre Q local et réversible, avec le même π, peut avoir un autre gap.</w:t>
            </w:r>
          </w:p>
        </w:tc>
      </w:tr>
    </w:tbl>
    <w:p>
      <w:pPr>
        <w:keepLines w:val="0"/>
        <w:spacing w:before="0" w:after="40" w:line="264" w:lineRule="auto"/>
        <w:jc w:val="left"/>
      </w:pPr>
      <w:r>
        <w:rPr>
          <w:rFonts w:ascii="Calibri" w:hAnsi="Calibri"/>
          <w:b w:val="0"/>
          <w:i w:val="0"/>
          <w:color w:val="000000"/>
          <w:sz w:val="22"/>
        </w:rPr>
      </w:r>
    </w:p>
    <w:p>
      <w:pPr>
        <w:pStyle w:val="Heading1"/>
        <w:keepNext/>
      </w:pPr>
      <w:r>
        <w:t>Forme de Dirichlet et définition exacte du temps de relaxation</w:t>
      </w:r>
    </w:p>
    <w:p>
      <w:pPr>
        <w:keepLines w:val="0"/>
        <w:spacing w:before="0" w:after="120" w:line="264" w:lineRule="auto"/>
        <w:jc w:val="left"/>
      </w:pPr>
      <w:r>
        <w:rPr>
          <w:rFonts w:ascii="Calibri" w:hAnsi="Calibri"/>
          <w:b w:val="0"/>
          <w:i w:val="0"/>
          <w:color w:val="000000"/>
          <w:sz w:val="22"/>
        </w:rPr>
        <w:t>Pour f de moyenne π nulle, la forme de Dirichlet est</w:t>
      </w:r>
    </w:p>
    <w:p>
      <w:pPr>
        <w:keepLines/>
        <w:spacing w:before="60" w:after="140" w:line="240" w:lineRule="auto"/>
        <w:jc w:val="center"/>
      </w:pPr>
      <w:r>
        <w:rPr>
          <w:rFonts w:ascii="Cambria Math" w:hAnsi="Cambria Math"/>
          <w:color w:val="0B2545"/>
          <w:sz w:val="22"/>
        </w:rPr>
        <w:t>E_Q(f,f)=1/2 Σ_{x,y} π_x q(x,y)|f(y)-f(x)|².           (9)</w:t>
      </w:r>
    </w:p>
    <w:p>
      <w:pPr>
        <w:keepLines w:val="0"/>
        <w:spacing w:before="0" w:after="120" w:line="264" w:lineRule="auto"/>
        <w:jc w:val="left"/>
      </w:pPr>
      <w:r>
        <w:rPr>
          <w:rFonts w:ascii="Calibri" w:hAnsi="Calibri"/>
          <w:b w:val="0"/>
          <w:i w:val="0"/>
          <w:color w:val="000000"/>
          <w:sz w:val="22"/>
        </w:rPr>
        <w:t>Le gap réversible vérifie le principe variationnel</w:t>
      </w:r>
    </w:p>
    <w:p>
      <w:pPr>
        <w:keepLines/>
        <w:spacing w:before="60" w:after="140" w:line="240" w:lineRule="auto"/>
        <w:jc w:val="center"/>
      </w:pPr>
      <w:r>
        <w:rPr>
          <w:rFonts w:ascii="Cambria Math" w:hAnsi="Cambria Math"/>
          <w:color w:val="0B2545"/>
          <w:sz w:val="22"/>
        </w:rPr>
        <w:t>λ_1(Q)=inf_{Var_π(f)&gt;0} E_Q(f,f)/Var_π(f).             (10)</w:t>
      </w:r>
    </w:p>
    <w:p>
      <w:pPr>
        <w:keepLines w:val="0"/>
        <w:spacing w:before="0" w:after="120" w:line="264" w:lineRule="auto"/>
        <w:jc w:val="left"/>
      </w:pPr>
      <w:r>
        <w:rPr>
          <w:rFonts w:ascii="Calibri" w:hAnsi="Calibri"/>
          <w:b w:val="0"/>
          <w:i w:val="0"/>
          <w:color w:val="000000"/>
          <w:sz w:val="22"/>
        </w:rPr>
        <w:t>Le semi-groupe contracte alors la composante orthogonale au vide comme exp(-λ_1 t) en norme L². Ainsi 1/λ_1 est le temps de relaxation spectral L². Il ne coïncide pas automatiquement avec le temps de mélange total, le temps d'autocorrélation intégré de toute observable ou une masse de particule.</w:t>
      </w:r>
    </w:p>
    <w:p>
      <w:pPr>
        <w:pStyle w:val="Heading1"/>
        <w:keepNext/>
      </w:pPr>
      <w:r>
        <w:t>Théorème Q-COMPARE - classe cinétique uniformément elliptique</w:t>
      </w:r>
    </w:p>
    <w:p>
      <w:pPr>
        <w:keepLines w:val="0"/>
        <w:spacing w:before="0" w:after="120" w:line="264" w:lineRule="auto"/>
        <w:jc w:val="left"/>
      </w:pPr>
      <w:r>
        <w:rPr>
          <w:rFonts w:ascii="Calibri" w:hAnsi="Calibri"/>
          <w:b w:val="0"/>
          <w:i w:val="0"/>
          <w:color w:val="000000"/>
          <w:sz w:val="22"/>
        </w:rPr>
        <w:t>Soient Q et Q' deux générateurs réversibles sur le même graphe et la même π, de conductances c_xy=π_x q_xy et c'_xy=π_x q'_xy. Supposons</w:t>
      </w:r>
    </w:p>
    <w:p>
      <w:pPr>
        <w:keepLines/>
        <w:spacing w:before="60" w:after="140" w:line="240" w:lineRule="auto"/>
        <w:jc w:val="center"/>
      </w:pPr>
      <w:r>
        <w:rPr>
          <w:rFonts w:ascii="Cambria Math" w:hAnsi="Cambria Math"/>
          <w:color w:val="0B2545"/>
          <w:sz w:val="22"/>
        </w:rPr>
        <w:t>0&lt;α≤c'_xy/c_xy≤β&lt;∞ sur chaque canal,                 (11)</w:t>
      </w:r>
    </w:p>
    <w:p>
      <w:pPr>
        <w:keepLines w:val="0"/>
        <w:spacing w:before="0" w:after="120" w:line="264" w:lineRule="auto"/>
        <w:jc w:val="left"/>
      </w:pPr>
      <w:r>
        <w:rPr>
          <w:rFonts w:ascii="Calibri" w:hAnsi="Calibri"/>
          <w:b w:val="0"/>
          <w:i w:val="0"/>
          <w:color w:val="000000"/>
          <w:sz w:val="22"/>
        </w:rPr>
        <w:t>avec α et β indépendants du cutoff. Alors, pour tout f,</w:t>
      </w:r>
    </w:p>
    <w:p>
      <w:pPr>
        <w:keepLines/>
        <w:spacing w:before="60" w:after="140" w:line="240" w:lineRule="auto"/>
        <w:jc w:val="center"/>
      </w:pPr>
      <w:r>
        <w:rPr>
          <w:rFonts w:ascii="Cambria Math" w:hAnsi="Cambria Math"/>
          <w:color w:val="0B2545"/>
          <w:sz w:val="22"/>
        </w:rPr>
        <w:t>α E_Q(f,f)≤E_Q'(f,f)≤β E_Q(f,f),                      (12)</w:t>
      </w:r>
    </w:p>
    <w:p>
      <w:pPr>
        <w:keepLines/>
        <w:spacing w:before="60" w:after="140" w:line="240" w:lineRule="auto"/>
        <w:jc w:val="center"/>
      </w:pPr>
      <w:r>
        <w:rPr>
          <w:rFonts w:ascii="Cambria Math" w:hAnsi="Cambria Math"/>
          <w:color w:val="0B2545"/>
          <w:sz w:val="22"/>
        </w:rPr>
        <w:t>α λ_1(Q)≤λ_1(Q')≤β λ_1(Q).                            (13)</w:t>
      </w:r>
    </w:p>
    <w:p>
      <w:pPr>
        <w:keepLines w:val="0"/>
        <w:spacing w:before="0" w:after="120" w:line="264" w:lineRule="auto"/>
        <w:jc w:val="left"/>
      </w:pPr>
      <w:r>
        <w:rPr>
          <w:rFonts w:ascii="Calibri" w:hAnsi="Calibri"/>
          <w:b w:val="0"/>
          <w:i w:val="0"/>
          <w:color w:val="000000"/>
          <w:sz w:val="22"/>
        </w:rPr>
        <w:t>La preuve de (12) est terme à terme; (13) suit immédiatement du principe variationnel (10). Le même argument vaut dans tout sous-espace commun invariant.</w:t>
      </w:r>
    </w:p>
    <w:p>
      <w:pPr>
        <w:spacing w:before="0" w:after="120" w:line="264" w:lineRule="auto"/>
      </w:pPr>
      <w:r>
        <w:rPr>
          <w:rFonts w:ascii="Calibri" w:hAnsi="Calibri"/>
          <w:b/>
          <w:color w:val="000000"/>
          <w:sz w:val="22"/>
        </w:rPr>
        <w:t xml:space="preserve">Domino positif. </w:t>
      </w:r>
      <w:r>
        <w:rPr>
          <w:rFonts w:ascii="Calibri" w:hAnsi="Calibri"/>
          <w:color w:val="000000"/>
          <w:sz w:val="22"/>
        </w:rPr>
        <w:t>Une fermeture ou non-fermeture du gap et un exposant de puissance z sont invariants dans une famille dont α,β restent strictement bornés avec Λ. Les amplitudes non universelles ne le sont pas.</w:t>
      </w:r>
    </w:p>
    <w:p>
      <w:pPr>
        <w:spacing w:before="0" w:after="120" w:line="264" w:lineRule="auto"/>
      </w:pPr>
      <w:r>
        <w:rPr>
          <w:rFonts w:ascii="Calibri" w:hAnsi="Calibri"/>
          <w:b/>
          <w:color w:val="000000"/>
          <w:sz w:val="22"/>
        </w:rPr>
        <w:t xml:space="preserve">Critère de mort. </w:t>
      </w:r>
      <w:r>
        <w:rPr>
          <w:rFonts w:ascii="Calibri" w:hAnsi="Calibri"/>
          <w:color w:val="000000"/>
          <w:sz w:val="22"/>
        </w:rPr>
        <w:t>Si α_Λ→0 ou β_Λ→∞, la comparaison ne protège plus ni le gap ni z; un ralentissement peut être fabriqué par la métrique cinétique.</w:t>
      </w:r>
    </w:p>
    <w:p>
      <w:pPr>
        <w:pStyle w:val="Heading1"/>
        <w:keepNext/>
      </w:pPr>
      <w:r>
        <w:t>Corollaire exact : Metropolis et Barker sont comparables</w:t>
      </w:r>
    </w:p>
    <w:p>
      <w:pPr>
        <w:keepLines w:val="0"/>
        <w:spacing w:before="0" w:after="120" w:line="264" w:lineRule="auto"/>
        <w:jc w:val="left"/>
      </w:pPr>
      <w:r>
        <w:rPr>
          <w:rFonts w:ascii="Calibri" w:hAnsi="Calibri"/>
          <w:b w:val="0"/>
          <w:i w:val="0"/>
          <w:color w:val="000000"/>
          <w:sz w:val="22"/>
        </w:rPr>
        <w:t>Pour des tentatives symétriques ρ_xy=ρ_yx,</w:t>
      </w:r>
    </w:p>
    <w:p>
      <w:pPr>
        <w:keepLines/>
        <w:spacing w:before="60" w:after="140" w:line="240" w:lineRule="auto"/>
        <w:jc w:val="center"/>
      </w:pPr>
      <w:r>
        <w:rPr>
          <w:rFonts w:ascii="Cambria Math" w:hAnsi="Cambria Math"/>
          <w:color w:val="0B2545"/>
          <w:sz w:val="22"/>
        </w:rPr>
        <w:t>q_M(x,y)=ρ_xy min(1,π_y/π_x),                          (14)</w:t>
      </w:r>
    </w:p>
    <w:p>
      <w:pPr>
        <w:keepLines/>
        <w:spacing w:before="60" w:after="140" w:line="240" w:lineRule="auto"/>
        <w:jc w:val="center"/>
      </w:pPr>
      <w:r>
        <w:rPr>
          <w:rFonts w:ascii="Cambria Math" w:hAnsi="Cambria Math"/>
          <w:color w:val="0B2545"/>
          <w:sz w:val="22"/>
        </w:rPr>
        <w:t>q_B(x,y)=ρ_xy π_y/(π_x+π_y).                           (15)</w:t>
      </w:r>
    </w:p>
    <w:p>
      <w:pPr>
        <w:keepLines w:val="0"/>
        <w:spacing w:before="0" w:after="120" w:line="264" w:lineRule="auto"/>
        <w:jc w:val="left"/>
      </w:pPr>
      <w:r>
        <w:rPr>
          <w:rFonts w:ascii="Calibri" w:hAnsi="Calibri"/>
          <w:b w:val="0"/>
          <w:i w:val="0"/>
          <w:color w:val="000000"/>
          <w:sz w:val="22"/>
        </w:rPr>
        <w:t>Leurs conductances sont c_M=ρ min(π_x,π_y) et c_B=ρ π_xπ_y/(π_x+π_y). En posant a=min(π_x,π_y), b=max(π_x,π_y),</w:t>
      </w:r>
    </w:p>
    <w:p>
      <w:pPr>
        <w:keepLines/>
        <w:spacing w:before="60" w:after="140" w:line="240" w:lineRule="auto"/>
        <w:jc w:val="center"/>
      </w:pPr>
      <w:r>
        <w:rPr>
          <w:rFonts w:ascii="Cambria Math" w:hAnsi="Cambria Math"/>
          <w:color w:val="0B2545"/>
          <w:sz w:val="22"/>
        </w:rPr>
        <w:t>c_B/c_M=b/(a+b) ∈ [1/2,1).                            (16)</w:t>
      </w:r>
    </w:p>
    <w:p>
      <w:pPr>
        <w:keepLines/>
        <w:spacing w:before="60" w:after="140" w:line="240" w:lineRule="auto"/>
        <w:jc w:val="center"/>
      </w:pPr>
      <w:r>
        <w:rPr>
          <w:rFonts w:ascii="Cambria Math" w:hAnsi="Cambria Math"/>
          <w:color w:val="0B2545"/>
          <w:sz w:val="22"/>
        </w:rPr>
        <w:t>(1/2)λ_1(Q_M)≤λ_1(Q_B)≤λ_1(Q_M).                     (17)</w:t>
      </w:r>
    </w:p>
    <w:p>
      <w:pPr>
        <w:keepLines w:val="0"/>
        <w:spacing w:before="0" w:after="120" w:line="264" w:lineRule="auto"/>
        <w:jc w:val="left"/>
      </w:pPr>
      <w:r>
        <w:rPr>
          <w:rFonts w:ascii="Calibri" w:hAnsi="Calibri"/>
          <w:b w:val="0"/>
          <w:i w:val="0"/>
          <w:color w:val="000000"/>
          <w:sz w:val="22"/>
        </w:rPr>
        <w:t>Le choix Metropolis versus Barker ne peut donc changer la présence d'un gap ni un exposant asymptotique, à tentatives identiques. En revanche, des poids de moves qui s'annulent avec le cutoff sortent de cette classe.</w:t>
      </w:r>
    </w:p>
    <w:p>
      <w:pPr>
        <w:pStyle w:val="Heading1"/>
        <w:keepNext/>
      </w:pPr>
      <w:r>
        <w:t>Axiome KIN-FLAT - sélection minimale d'un Q physique</w:t>
      </w:r>
    </w:p>
    <w:p>
      <w:pPr>
        <w:keepLines w:val="0"/>
        <w:spacing w:before="0" w:after="120" w:line="264" w:lineRule="auto"/>
        <w:jc w:val="left"/>
      </w:pPr>
      <w:r>
        <w:rPr>
          <w:rFonts w:ascii="Calibri" w:hAnsi="Calibri"/>
          <w:b w:val="0"/>
          <w:i w:val="0"/>
          <w:color w:val="000000"/>
          <w:sz w:val="22"/>
        </w:rPr>
        <w:t>Une sélection naturelle est d'exiger qu'en base de comptage tout canal élémentaire d'un même type m porte la même amplitude hamiltonienne -ρ_m, indépendamment de l'action locale. Par (4), cette exigence équivaut de façon unique à</w:t>
      </w:r>
    </w:p>
    <w:p>
      <w:pPr>
        <w:keepLines/>
        <w:spacing w:before="60" w:after="140" w:line="240" w:lineRule="auto"/>
        <w:jc w:val="center"/>
      </w:pPr>
      <w:r>
        <w:rPr>
          <w:rFonts w:ascii="Cambria Math" w:hAnsi="Cambria Math"/>
          <w:color w:val="0B2545"/>
          <w:sz w:val="22"/>
        </w:rPr>
        <w:t>a_γ=ρ_m,   q_phys,γ(x)=ρ_m sqrt(π_y/π_x).                      (18)</w:t>
      </w:r>
    </w:p>
    <w:p>
      <w:pPr>
        <w:keepLines w:val="0"/>
        <w:spacing w:before="0" w:after="120" w:line="264" w:lineRule="auto"/>
        <w:jc w:val="left"/>
      </w:pPr>
      <w:r>
        <w:rPr>
          <w:rFonts w:ascii="Calibri" w:hAnsi="Calibri"/>
          <w:b w:val="0"/>
          <w:i w:val="0"/>
          <w:color w:val="000000"/>
          <w:sz w:val="22"/>
        </w:rPr>
        <w:t>C'est la règle « racine carrée ». Elle est l'unique générateur réversible à hopping plat par type de Pachner. Elle transforme une liberté fonctionnelle en deux constantes ρ_14 et ρ_23; une constante globale fixe l'unité de temps, leur rapport reste un couplage cinétique à tester sous RG.</w:t>
      </w:r>
    </w:p>
    <w:p>
      <w:pPr>
        <w:keepLines w:val="0"/>
        <w:spacing w:before="0" w:after="120" w:line="264" w:lineRule="auto"/>
        <w:jc w:val="left"/>
      </w:pPr>
      <w:r>
        <w:rPr>
          <w:rFonts w:ascii="Calibri" w:hAnsi="Calibri"/>
          <w:b w:val="0"/>
          <w:i w:val="0"/>
          <w:color w:val="000000"/>
          <w:sz w:val="22"/>
        </w:rPr>
        <w:t>Cette sélection n'est pas automatiquement dans la classe uniforme de Metropolis. À tentative commune ρ, ses conductances vérifient</w:t>
      </w:r>
    </w:p>
    <w:p>
      <w:pPr>
        <w:keepLines/>
        <w:spacing w:before="60" w:after="140" w:line="240" w:lineRule="auto"/>
        <w:jc w:val="center"/>
      </w:pPr>
      <w:r>
        <w:rPr>
          <w:rFonts w:ascii="Cambria Math" w:hAnsi="Cambria Math"/>
          <w:color w:val="0B2545"/>
          <w:sz w:val="22"/>
        </w:rPr>
        <w:t>c_flat=ρ sqrt(π_x π_y),   c_flat/c_M=sqrt(max(π_x,π_y)/min(π_x,π_y)).         (19)</w:t>
      </w:r>
    </w:p>
    <w:p>
      <w:pPr>
        <w:keepLines w:val="0"/>
        <w:spacing w:before="0" w:after="120" w:line="264" w:lineRule="auto"/>
        <w:jc w:val="left"/>
      </w:pPr>
      <w:r>
        <w:rPr>
          <w:rFonts w:ascii="Calibri" w:hAnsi="Calibri"/>
          <w:b w:val="0"/>
          <w:i w:val="0"/>
          <w:color w:val="000000"/>
          <w:sz w:val="22"/>
        </w:rPr>
        <w:t>Le rapport est au moins un, mais peut diverger avec le cutoff. On obtient seulement λ_flat≥λ_M par comparaison unilatérale; aucune borne supérieure uniforme, donc aucune identité de z, ne suit sans borne uniforme sur les rapports locaux π_y/π_x.</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Limite déclarée. </w:t>
            </w:r>
            <w:r>
              <w:rPr>
                <w:rFonts w:ascii="Calibri" w:hAnsi="Calibri"/>
                <w:color w:val="0B2545"/>
                <w:sz w:val="22"/>
              </w:rPr>
              <w:t>KIN-FLAT est un axiome cinétique, pas une conséquence de la viabilité. Ses taux peuvent devenir grands lorsque π_y/π_x est grand. De plus, si π contient 1/|Aut(Σ)|, le rapport de poids fait intervenir une donnée globale qu'un taux local ne peut lire naïvement. Une réalisation par états étiquetés ou groupoïde de canaux doit démontrer qu'elle redonne exactement la mesure quotient. Normalisabilité, fermeture de la forme de Dirichlet, compatibilité avec les automorphismes et non-explosion au volume infini constituent la prochaine porte GEN-WELLPOSED.</w:t>
            </w:r>
          </w:p>
        </w:tc>
      </w:tr>
    </w:tbl>
    <w:p>
      <w:pPr>
        <w:keepLines w:val="0"/>
        <w:spacing w:before="0" w:after="40" w:line="264" w:lineRule="auto"/>
        <w:jc w:val="left"/>
      </w:pPr>
      <w:r>
        <w:rPr>
          <w:rFonts w:ascii="Calibri" w:hAnsi="Calibri"/>
          <w:b w:val="0"/>
          <w:i w:val="0"/>
          <w:color w:val="000000"/>
          <w:sz w:val="22"/>
        </w:rPr>
      </w:r>
    </w:p>
    <w:p>
      <w:pPr>
        <w:pStyle w:val="Heading1"/>
        <w:keepNext/>
      </w:pPr>
      <w:r>
        <w:t>Le fork temporel : échantillonneur ou temps physique</w:t>
      </w:r>
    </w:p>
    <w:tbl>
      <w:tblPr>
        <w:tblW w:type="dxa" w:w="9360"/>
        <w:tblLayout w:type="fixed"/>
        <w:tblLook w:firstColumn="1" w:firstRow="1" w:lastColumn="0" w:lastRow="0" w:noHBand="0" w:noVBand="1" w:val="04A0"/>
        <w:jc w:val="left"/>
        <w:tblInd w:w="120" w:type="dxa"/>
      </w:tblPr>
      <w:tblGrid>
        <w:gridCol w:w="1800"/>
        <w:gridCol w:w="3680"/>
        <w:gridCol w:w="3880"/>
      </w:tblGrid>
      <w:tr>
        <w:trPr>
          <w:tblHeader w:val="true"/>
        </w:trPr>
        <w:tc>
          <w:tcPr>
            <w:tcW w:type="dxa" w:w="1800"/>
            <w:tcMar>
              <w:top w:w="80" w:type="dxa"/>
              <w:start w:w="120" w:type="dxa"/>
              <w:bottom w:w="80" w:type="dxa"/>
              <w:end w:w="120" w:type="dxa"/>
            </w:tcMar>
            <w:vAlign w:val="center"/>
            <w:shd w:fill="E8EEF5"/>
          </w:tcPr>
          <w:p>
            <w:pPr>
              <w:spacing w:after="0"/>
              <w:jc w:val="left"/>
            </w:pPr>
            <w:r>
              <w:rPr>
                <w:rFonts w:ascii="Calibri" w:hAnsi="Calibri"/>
                <w:b/>
                <w:color w:val="0B2545"/>
                <w:sz w:val="18"/>
              </w:rPr>
              <w:t>Objet</w:t>
            </w:r>
          </w:p>
        </w:tc>
        <w:tc>
          <w:tcPr>
            <w:tcW w:type="dxa" w:w="3680"/>
            <w:tcMar>
              <w:top w:w="80" w:type="dxa"/>
              <w:start w:w="120" w:type="dxa"/>
              <w:bottom w:w="80" w:type="dxa"/>
              <w:end w:w="120" w:type="dxa"/>
            </w:tcMar>
            <w:vAlign w:val="center"/>
            <w:shd w:fill="E8EEF5"/>
          </w:tcPr>
          <w:p>
            <w:pPr>
              <w:spacing w:after="0"/>
              <w:jc w:val="left"/>
            </w:pPr>
            <w:r>
              <w:rPr>
                <w:rFonts w:ascii="Calibri" w:hAnsi="Calibri"/>
                <w:b/>
                <w:color w:val="0B2545"/>
                <w:sz w:val="18"/>
              </w:rPr>
              <w:t>Q_samp</w:t>
            </w:r>
          </w:p>
        </w:tc>
        <w:tc>
          <w:tcPr>
            <w:tcW w:type="dxa" w:w="3880"/>
            <w:tcMar>
              <w:top w:w="80" w:type="dxa"/>
              <w:start w:w="120" w:type="dxa"/>
              <w:bottom w:w="80" w:type="dxa"/>
              <w:end w:w="120" w:type="dxa"/>
            </w:tcMar>
            <w:vAlign w:val="center"/>
            <w:shd w:fill="E8EEF5"/>
          </w:tcPr>
          <w:p>
            <w:pPr>
              <w:spacing w:after="0"/>
              <w:jc w:val="left"/>
            </w:pPr>
            <w:r>
              <w:rPr>
                <w:rFonts w:ascii="Calibri" w:hAnsi="Calibri"/>
                <w:b/>
                <w:color w:val="0B2545"/>
                <w:sz w:val="18"/>
              </w:rPr>
              <w:t>Q_phys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Fonction</w:t>
            </w:r>
          </w:p>
        </w:tc>
        <w:tc>
          <w:tcPr>
            <w:tcW w:type="dxa" w:w="3680"/>
            <w:vAlign w:val="center"/>
            <w:tcMar>
              <w:top w:w="80" w:type="dxa"/>
              <w:start w:w="120" w:type="dxa"/>
              <w:bottom w:w="80" w:type="dxa"/>
              <w:end w:w="120" w:type="dxa"/>
            </w:tcMar>
          </w:tcPr>
          <w:p>
            <w:pPr>
              <w:spacing w:after="0" w:line="252" w:lineRule="auto"/>
              <w:jc w:val="left"/>
            </w:pPr>
            <w:r>
              <w:rPr>
                <w:rFonts w:ascii="Calibri" w:hAnsi="Calibri"/>
                <w:color w:val="000000"/>
                <w:sz w:val="17"/>
              </w:rPr>
              <w:t>Échantillonner π efficacement</w:t>
            </w:r>
          </w:p>
        </w:tc>
        <w:tc>
          <w:tcPr>
            <w:tcW w:type="dxa" w:w="3880"/>
            <w:vAlign w:val="center"/>
            <w:tcMar>
              <w:top w:w="80" w:type="dxa"/>
              <w:start w:w="120" w:type="dxa"/>
              <w:bottom w:w="80" w:type="dxa"/>
              <w:end w:w="120" w:type="dxa"/>
            </w:tcMar>
          </w:tcPr>
          <w:p>
            <w:pPr>
              <w:spacing w:after="0" w:line="252" w:lineRule="auto"/>
              <w:jc w:val="left"/>
            </w:pPr>
            <w:r>
              <w:rPr>
                <w:rFonts w:ascii="Calibri" w:hAnsi="Calibri"/>
                <w:color w:val="000000"/>
                <w:sz w:val="17"/>
              </w:rPr>
              <w:t>Définir T, H et les corrélations temporelles</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Choix</w:t>
            </w:r>
          </w:p>
        </w:tc>
        <w:tc>
          <w:tcPr>
            <w:tcW w:type="dxa" w:w="3680"/>
            <w:vAlign w:val="center"/>
            <w:tcMar>
              <w:top w:w="80" w:type="dxa"/>
              <w:start w:w="120" w:type="dxa"/>
              <w:bottom w:w="80" w:type="dxa"/>
              <w:end w:w="120" w:type="dxa"/>
            </w:tcMar>
          </w:tcPr>
          <w:p>
            <w:pPr>
              <w:spacing w:after="0" w:line="252" w:lineRule="auto"/>
              <w:jc w:val="left"/>
            </w:pPr>
            <w:r>
              <w:rPr>
                <w:rFonts w:ascii="Calibri" w:hAnsi="Calibri"/>
                <w:color w:val="000000"/>
                <w:sz w:val="17"/>
              </w:rPr>
              <w:t>Metropolis, Barker, cluster, accélérations</w:t>
            </w:r>
          </w:p>
        </w:tc>
        <w:tc>
          <w:tcPr>
            <w:tcW w:type="dxa" w:w="3880"/>
            <w:vAlign w:val="center"/>
            <w:tcMar>
              <w:top w:w="80" w:type="dxa"/>
              <w:start w:w="120" w:type="dxa"/>
              <w:bottom w:w="80" w:type="dxa"/>
              <w:end w:w="120" w:type="dxa"/>
            </w:tcMar>
          </w:tcPr>
          <w:p>
            <w:pPr>
              <w:spacing w:after="0" w:line="252" w:lineRule="auto"/>
              <w:jc w:val="left"/>
            </w:pPr>
            <w:r>
              <w:rPr>
                <w:rFonts w:ascii="Calibri" w:hAnsi="Calibri"/>
                <w:color w:val="000000"/>
                <w:sz w:val="17"/>
              </w:rPr>
              <w:t>Loi cinétique gelée; aucune optimisation a posteriori</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Spectre</w:t>
            </w:r>
          </w:p>
        </w:tc>
        <w:tc>
          <w:tcPr>
            <w:tcW w:type="dxa" w:w="3680"/>
            <w:vAlign w:val="center"/>
            <w:tcMar>
              <w:top w:w="80" w:type="dxa"/>
              <w:start w:w="120" w:type="dxa"/>
              <w:bottom w:w="80" w:type="dxa"/>
              <w:end w:w="120" w:type="dxa"/>
            </w:tcMar>
          </w:tcPr>
          <w:p>
            <w:pPr>
              <w:spacing w:after="0" w:line="252" w:lineRule="auto"/>
              <w:jc w:val="left"/>
            </w:pPr>
            <w:r>
              <w:rPr>
                <w:rFonts w:ascii="Calibri" w:hAnsi="Calibri"/>
                <w:color w:val="000000"/>
                <w:sz w:val="17"/>
              </w:rPr>
              <w:t>Performance algorithmique</w:t>
            </w:r>
          </w:p>
        </w:tc>
        <w:tc>
          <w:tcPr>
            <w:tcW w:type="dxa" w:w="3880"/>
            <w:vAlign w:val="center"/>
            <w:tcMar>
              <w:top w:w="80" w:type="dxa"/>
              <w:start w:w="120" w:type="dxa"/>
              <w:bottom w:w="80" w:type="dxa"/>
              <w:end w:w="120" w:type="dxa"/>
            </w:tcMar>
          </w:tcPr>
          <w:p>
            <w:pPr>
              <w:spacing w:after="0" w:line="252" w:lineRule="auto"/>
              <w:jc w:val="left"/>
            </w:pPr>
            <w:r>
              <w:rPr>
                <w:rFonts w:ascii="Calibri" w:hAnsi="Calibri"/>
                <w:color w:val="000000"/>
                <w:sz w:val="17"/>
              </w:rPr>
              <w:t>Candidat au spectre physique après reconstruction</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Temps</w:t>
            </w:r>
          </w:p>
        </w:tc>
        <w:tc>
          <w:tcPr>
            <w:tcW w:type="dxa" w:w="3680"/>
            <w:vAlign w:val="center"/>
            <w:tcMar>
              <w:top w:w="80" w:type="dxa"/>
              <w:start w:w="120" w:type="dxa"/>
              <w:bottom w:w="80" w:type="dxa"/>
              <w:end w:w="120" w:type="dxa"/>
            </w:tcMar>
          </w:tcPr>
          <w:p>
            <w:pPr>
              <w:spacing w:after="0" w:line="252" w:lineRule="auto"/>
              <w:jc w:val="left"/>
            </w:pPr>
            <w:r>
              <w:rPr>
                <w:rFonts w:ascii="Calibri" w:hAnsi="Calibri"/>
                <w:color w:val="000000"/>
                <w:sz w:val="17"/>
              </w:rPr>
              <w:t>Temps Monte-Carlo auxiliaire</w:t>
            </w:r>
          </w:p>
        </w:tc>
        <w:tc>
          <w:tcPr>
            <w:tcW w:type="dxa" w:w="3880"/>
            <w:vAlign w:val="center"/>
            <w:tcMar>
              <w:top w:w="80" w:type="dxa"/>
              <w:start w:w="120" w:type="dxa"/>
              <w:bottom w:w="80" w:type="dxa"/>
              <w:end w:w="120" w:type="dxa"/>
            </w:tcMar>
          </w:tcPr>
          <w:p>
            <w:pPr>
              <w:spacing w:after="0" w:line="252" w:lineRule="auto"/>
              <w:jc w:val="left"/>
            </w:pPr>
            <w:r>
              <w:rPr>
                <w:rFonts w:ascii="Calibri" w:hAnsi="Calibri"/>
                <w:color w:val="000000"/>
                <w:sz w:val="17"/>
              </w:rPr>
              <w:t>Temps euclidien à calibrer et à justifier</w:t>
            </w:r>
          </w:p>
        </w:tc>
      </w:tr>
      <w:tr>
        <w:tc>
          <w:tcPr>
            <w:tcW w:type="dxa" w:w="1800"/>
            <w:vAlign w:val="center"/>
            <w:tcMar>
              <w:top w:w="80" w:type="dxa"/>
              <w:start w:w="120" w:type="dxa"/>
              <w:bottom w:w="80" w:type="dxa"/>
              <w:end w:w="120" w:type="dxa"/>
            </w:tcMar>
          </w:tcPr>
          <w:p>
            <w:pPr>
              <w:spacing w:after="0" w:line="252" w:lineRule="auto"/>
              <w:jc w:val="left"/>
            </w:pPr>
            <w:r>
              <w:rPr>
                <w:rFonts w:ascii="Calibri" w:hAnsi="Calibri"/>
                <w:color w:val="000000"/>
                <w:sz w:val="17"/>
              </w:rPr>
              <w:t>Doit partager</w:t>
            </w:r>
          </w:p>
        </w:tc>
        <w:tc>
          <w:tcPr>
            <w:tcW w:type="dxa" w:w="3680"/>
            <w:vAlign w:val="center"/>
            <w:tcMar>
              <w:top w:w="80" w:type="dxa"/>
              <w:start w:w="120" w:type="dxa"/>
              <w:bottom w:w="80" w:type="dxa"/>
              <w:end w:w="120" w:type="dxa"/>
            </w:tcMar>
          </w:tcPr>
          <w:p>
            <w:pPr>
              <w:spacing w:after="0" w:line="252" w:lineRule="auto"/>
              <w:jc w:val="left"/>
            </w:pPr>
            <w:r>
              <w:rPr>
                <w:rFonts w:ascii="Calibri" w:hAnsi="Calibri"/>
                <w:color w:val="000000"/>
                <w:sz w:val="17"/>
              </w:rPr>
              <w:t>La mesure stationnaire π</w:t>
            </w:r>
          </w:p>
        </w:tc>
        <w:tc>
          <w:tcPr>
            <w:tcW w:type="dxa" w:w="3880"/>
            <w:vAlign w:val="center"/>
            <w:tcMar>
              <w:top w:w="80" w:type="dxa"/>
              <w:start w:w="120" w:type="dxa"/>
              <w:bottom w:w="80" w:type="dxa"/>
              <w:end w:w="120" w:type="dxa"/>
            </w:tcMar>
          </w:tcPr>
          <w:p>
            <w:pPr>
              <w:spacing w:after="0" w:line="252" w:lineRule="auto"/>
              <w:jc w:val="left"/>
            </w:pPr>
            <w:r>
              <w:rPr>
                <w:rFonts w:ascii="Calibri" w:hAnsi="Calibri"/>
                <w:color w:val="000000"/>
                <w:sz w:val="17"/>
              </w:rPr>
              <w:t>La même π comme |psi_0|²</w:t>
            </w:r>
          </w:p>
        </w:tc>
      </w:tr>
    </w:tbl>
    <w:p>
      <w:pPr>
        <w:keepLines w:val="0"/>
        <w:spacing w:before="0" w:after="4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000000"/>
          <w:sz w:val="22"/>
        </w:rPr>
        <w:t>Dans la quantification stochastique standard de Parisi-Wu, le temps de Langevin est fictif et les corrélations de la QFT sont obtenues à l'équilibre. Identifier ce temps au temps physique est une hypothèse supplémentaire. Le master lui-même avait déjà noté que la relaxation MCMC ne réalise pas une rotation de Wick.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Règle de protocole. </w:t>
            </w:r>
            <w:r>
              <w:rPr>
                <w:rFonts w:ascii="Calibri" w:hAnsi="Calibri"/>
                <w:color w:val="0B2545"/>
                <w:sz w:val="22"/>
              </w:rPr>
              <w:t>Le code Monte-Carlo peut utiliser Q_samp sans modifier la théorie. Toute mesure de masse, de z ou de causalité doit être calculée avec Q_phys. Les deux générateurs ne peuvent être confondus que si un théorème d'identification temporelle est fourni.</w:t>
            </w:r>
          </w:p>
        </w:tc>
      </w:tr>
    </w:tbl>
    <w:p>
      <w:pPr>
        <w:keepLines w:val="0"/>
        <w:spacing w:before="0" w:after="40" w:line="264" w:lineRule="auto"/>
        <w:jc w:val="left"/>
      </w:pPr>
      <w:r>
        <w:rPr>
          <w:rFonts w:ascii="Calibri" w:hAnsi="Calibri"/>
          <w:b w:val="0"/>
          <w:i w:val="0"/>
          <w:color w:val="000000"/>
          <w:sz w:val="22"/>
        </w:rPr>
      </w:r>
    </w:p>
    <w:p>
      <w:pPr>
        <w:pStyle w:val="Heading1"/>
        <w:keepNext/>
      </w:pPr>
      <w:r>
        <w:t>Correction du critère « graviton sans masse »</w:t>
      </w:r>
    </w:p>
    <w:p>
      <w:pPr>
        <w:keepLines w:val="0"/>
        <w:spacing w:before="0" w:after="120" w:line="264" w:lineRule="auto"/>
        <w:jc w:val="left"/>
      </w:pPr>
      <w:r>
        <w:rPr>
          <w:rFonts w:ascii="Calibri" w:hAnsi="Calibri"/>
          <w:b w:val="0"/>
          <w:i w:val="0"/>
          <w:color w:val="000000"/>
          <w:sz w:val="22"/>
        </w:rPr>
        <w:t>Pour une observable f, la corrélation stationnaire possède la décomposition spectrale</w:t>
      </w:r>
    </w:p>
    <w:p>
      <w:pPr>
        <w:keepLines/>
        <w:spacing w:before="60" w:after="140" w:line="240" w:lineRule="auto"/>
        <w:jc w:val="center"/>
      </w:pPr>
      <w:r>
        <w:rPr>
          <w:rFonts w:ascii="Cambria Math" w:hAnsi="Cambria Math"/>
          <w:color w:val="0B2545"/>
          <w:sz w:val="22"/>
        </w:rPr>
        <w:t>C_f(t)=Σ_{k≥1} exp(-λ_k t)|&lt;f,phi_k&gt;_π|².              (20)</w:t>
      </w:r>
    </w:p>
    <w:p>
      <w:pPr>
        <w:keepLines w:val="0"/>
        <w:spacing w:before="0" w:after="120" w:line="264" w:lineRule="auto"/>
        <w:jc w:val="left"/>
      </w:pPr>
      <w:r>
        <w:rPr>
          <w:rFonts w:ascii="Calibri" w:hAnsi="Calibri"/>
          <w:b w:val="0"/>
          <w:i w:val="0"/>
          <w:color w:val="000000"/>
          <w:sz w:val="22"/>
        </w:rPr>
        <w:t>Le temps long est gouverné par le premier λ_k auquel f se couple. Par conséquent, un gap global qui s'annule peut provenir du volume, d'un goulot d'étranglement, d'un mode scalaire ou d'un mode de jauge.</w:t>
      </w:r>
    </w:p>
    <w:p>
      <w:pPr>
        <w:spacing w:before="0" w:after="120" w:line="264" w:lineRule="auto"/>
      </w:pPr>
      <w:r>
        <w:rPr>
          <w:rFonts w:ascii="Calibri" w:hAnsi="Calibri"/>
          <w:b/>
          <w:color w:val="000000"/>
          <w:sz w:val="22"/>
        </w:rPr>
        <w:t xml:space="preserve">Énoncé admissible. </w:t>
      </w:r>
      <w:r>
        <w:rPr>
          <w:rFonts w:ascii="Calibri" w:hAnsi="Calibri"/>
          <w:color w:val="000000"/>
          <w:sz w:val="22"/>
        </w:rPr>
        <w:t>Si Q_phys définit le temps euclidien, si un secteur transverse-trace nul ℋ_TT est construit et invariant, et si l'étalonnage temporel possède une limite, alors un graviton sans masse exige λ_TT→0 et implique τ_TT→∞.</w:t>
      </w:r>
    </w:p>
    <w:p>
      <w:pPr>
        <w:spacing w:before="0" w:after="120" w:line="264" w:lineRule="auto"/>
      </w:pPr>
      <w:r>
        <w:rPr>
          <w:rFonts w:ascii="Calibri" w:hAnsi="Calibri"/>
          <w:b/>
          <w:color w:val="000000"/>
          <w:sz w:val="22"/>
        </w:rPr>
        <w:t xml:space="preserve">Énoncé interdit. </w:t>
      </w:r>
      <w:r>
        <w:rPr>
          <w:rFonts w:ascii="Calibri" w:hAnsi="Calibri"/>
          <w:color w:val="000000"/>
          <w:sz w:val="22"/>
        </w:rPr>
        <w:t>λ_1(Q_samp)→0 n'implique pas à lui seul un graviton sans masse.</w:t>
      </w:r>
    </w:p>
    <w:p>
      <w:pPr>
        <w:keepLines/>
        <w:spacing w:before="60" w:after="140" w:line="240" w:lineRule="auto"/>
        <w:jc w:val="center"/>
      </w:pPr>
      <w:r>
        <w:rPr>
          <w:rFonts w:ascii="Cambria Math" w:hAnsi="Cambria Math"/>
          <w:color w:val="0B2545"/>
          <w:sz w:val="22"/>
        </w:rPr>
        <w:t>τ_TT ~ ξ^z  seulement pour la classe dynamique de Q_phys.          (21)</w:t>
      </w:r>
    </w:p>
    <w:p>
      <w:pPr>
        <w:keepLines w:val="0"/>
        <w:spacing w:before="0" w:after="120" w:line="264" w:lineRule="auto"/>
        <w:jc w:val="left"/>
      </w:pPr>
      <w:r>
        <w:rPr>
          <w:rFonts w:ascii="Calibri" w:hAnsi="Calibri"/>
          <w:b w:val="0"/>
          <w:i w:val="0"/>
          <w:color w:val="000000"/>
          <w:sz w:val="22"/>
        </w:rPr>
        <w:t>L'exposant z est une donnée de dynamique critique : il dépend des variables conservées et de la classe cinétique, pas seulement de la mesure statique π.</w:t>
      </w:r>
    </w:p>
    <w:p>
      <w:pPr>
        <w:pStyle w:val="Heading1"/>
        <w:keepNext/>
      </w:pPr>
      <w:r>
        <w:t>Axiomes A14-A19 à geler</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A14</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Deux générateurs</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Distinguer explicitement Q_samp et Q_phys dans le code, les tables et les conclusions.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A15</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Métrique cinétique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Fixer a_γ comme fonction locale pré-enregistrée; KIN-FLAT est le candidat minimal.</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A16</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Horloge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Fixer l'échelle globale de ρ par une condition physique, non par le nombre de pas Monte-Carlo.</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A17</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Ellipticité</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Déclarer le secteur où les comparaisons possèdent des bornes α,β indépendantes du cutoff.</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A18</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Secteurs</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Construire les projecteurs scalaire, spin 1, spin 2-TT et chiral, puis tester leur invariance sous H.</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A19</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RG dynamique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Inclure ρ_14/ρ_23 et les opérateurs cinétiques engendrés dans le flot; mesurer z par secteur.</w:t>
            </w:r>
          </w:p>
        </w:tc>
      </w:tr>
    </w:tbl>
    <w:p>
      <w:pPr>
        <w:keepLines w:val="0"/>
        <w:spacing w:before="0" w:after="40" w:line="264" w:lineRule="auto"/>
        <w:jc w:val="left"/>
      </w:pPr>
      <w:r>
        <w:rPr>
          <w:rFonts w:ascii="Calibri" w:hAnsi="Calibri"/>
          <w:b w:val="0"/>
          <w:i w:val="0"/>
          <w:color w:val="000000"/>
          <w:sz w:val="22"/>
        </w:rPr>
      </w:r>
    </w:p>
    <w:p>
      <w:pPr>
        <w:pStyle w:val="Heading1"/>
        <w:keepNext/>
      </w:pPr>
      <w:r>
        <w:t>Cascade rendue possible</w:t>
      </w:r>
    </w:p>
    <w:tbl>
      <w:tblPr>
        <w:tblW w:type="dxa" w:w="9360"/>
        <w:tblLayout w:type="fixed"/>
        <w:tblLook w:firstColumn="1" w:firstRow="1" w:lastColumn="0" w:lastRow="0" w:noHBand="0" w:noVBand="1" w:val="04A0"/>
        <w:jc w:val="left"/>
        <w:tblInd w:w="120" w:type="dxa"/>
      </w:tblPr>
      <w:tblGrid>
        <w:gridCol w:w="900"/>
        <w:gridCol w:w="2200"/>
        <w:gridCol w:w="6260"/>
      </w:tblGrid>
      <w:tr>
        <w:trPr>
          <w:tblHeader w:val="true"/>
        </w:trPr>
        <w:tc>
          <w:tcPr>
            <w:tcW w:type="dxa" w:w="900"/>
            <w:tcMar>
              <w:top w:w="80" w:type="dxa"/>
              <w:start w:w="120" w:type="dxa"/>
              <w:bottom w:w="80" w:type="dxa"/>
              <w:end w:w="120" w:type="dxa"/>
            </w:tcMar>
            <w:vAlign w:val="center"/>
            <w:shd w:fill="E8EEF5"/>
          </w:tcPr>
          <w:p>
            <w:pPr>
              <w:spacing w:after="0"/>
              <w:jc w:val="center"/>
            </w:pPr>
            <w:r>
              <w:rPr>
                <w:rFonts w:ascii="Calibri" w:hAnsi="Calibri"/>
                <w:b/>
                <w:color w:val="0B2545"/>
                <w:sz w:val="18"/>
              </w:rPr>
              <w:t>Ordre</w:t>
            </w:r>
          </w:p>
        </w:tc>
        <w:tc>
          <w:tcPr>
            <w:tcW w:type="dxa" w:w="2200"/>
            <w:tcMar>
              <w:top w:w="80" w:type="dxa"/>
              <w:start w:w="120" w:type="dxa"/>
              <w:bottom w:w="80" w:type="dxa"/>
              <w:end w:w="120" w:type="dxa"/>
            </w:tcMar>
            <w:vAlign w:val="center"/>
            <w:shd w:fill="E8EEF5"/>
          </w:tcPr>
          <w:p>
            <w:pPr>
              <w:spacing w:after="0"/>
              <w:jc w:val="left"/>
            </w:pPr>
            <w:r>
              <w:rPr>
                <w:rFonts w:ascii="Calibri" w:hAnsi="Calibri"/>
                <w:b/>
                <w:color w:val="0B2545"/>
                <w:sz w:val="18"/>
              </w:rPr>
              <w:t>Porte</w:t>
            </w:r>
          </w:p>
        </w:tc>
        <w:tc>
          <w:tcPr>
            <w:tcW w:type="dxa" w:w="6260"/>
            <w:tcMar>
              <w:top w:w="80" w:type="dxa"/>
              <w:start w:w="120" w:type="dxa"/>
              <w:bottom w:w="80" w:type="dxa"/>
              <w:end w:w="120" w:type="dxa"/>
            </w:tcMar>
            <w:vAlign w:val="center"/>
            <w:shd w:fill="E8EEF5"/>
          </w:tcPr>
          <w:p>
            <w:pPr>
              <w:spacing w:after="0"/>
              <w:jc w:val="left"/>
            </w:pPr>
            <w:r>
              <w:rPr>
                <w:rFonts w:ascii="Calibri" w:hAnsi="Calibri"/>
                <w:b/>
                <w:color w:val="0B2545"/>
                <w:sz w:val="18"/>
              </w:rPr>
              <w:t>Effet domino</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1</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Q-TIME [présente]</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Sépare la mesure, le sampler, la cinétique et le temps.</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2</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GEN-WELLPOSED</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Normalisabilité de π, non-explosion et domaine auto-adjoint.</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3</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VOL-CTRL</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Stabilité grand-canonique et suppression des modes de volume.</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4</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KIN-RG</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Fixe ou rend irrélevant le rapport ρ_14/ρ_23.</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5</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SPIN-SECTORS</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Permet de définir λ_TT, λ_1, chiral et scalaire.</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6</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LR-PHYS</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Localité spatiale et vitesse causale en unités physiques.</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7</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SPECTRUM</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Masses et contenus de particules deviennent testables.</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Pourquoi cette porte porte le reste. </w:t>
            </w:r>
            <w:r>
              <w:rPr>
                <w:rFonts w:ascii="Calibri" w:hAnsi="Calibri"/>
                <w:color w:val="0B2545"/>
                <w:sz w:val="22"/>
              </w:rPr>
              <w:t>Avant Q-TIME, toute valeur propre pouvait être changée en changeant l'algorithme. Après A14-A19, les calculs statiques peuvent être accélérés librement avec Q_samp, tandis que chaque prédiction dynamique est rattachée à un Q_phys gelé et auditable.</w:t>
            </w:r>
          </w:p>
        </w:tc>
      </w:tr>
    </w:tbl>
    <w:p>
      <w:pPr>
        <w:keepLines w:val="0"/>
        <w:spacing w:before="0" w:after="40" w:line="264" w:lineRule="auto"/>
        <w:jc w:val="left"/>
      </w:pPr>
      <w:r>
        <w:rPr>
          <w:rFonts w:ascii="Calibri" w:hAnsi="Calibri"/>
          <w:b w:val="0"/>
          <w:i w:val="0"/>
          <w:color w:val="000000"/>
          <w:sz w:val="22"/>
        </w:rPr>
      </w:r>
    </w:p>
    <w:p>
      <w:pPr>
        <w:pStyle w:val="Heading1"/>
        <w:keepNext/>
      </w:pPr>
      <w:r>
        <w:t>Certificat indépendant</w:t>
      </w:r>
    </w:p>
    <w:p>
      <w:pPr>
        <w:keepLines w:val="0"/>
        <w:spacing w:before="0" w:after="120" w:line="264" w:lineRule="auto"/>
        <w:jc w:val="left"/>
      </w:pPr>
      <w:r>
        <w:rPr>
          <w:rFonts w:ascii="Calibri" w:hAnsi="Calibri"/>
          <w:b w:val="0"/>
          <w:i w:val="0"/>
          <w:color w:val="000000"/>
          <w:sz w:val="22"/>
        </w:rPr>
        <w:t>Le script verify_m2w_qtime.py reconstruit les théorèmes sur des matrices indépendantes du code M2-W.</w:t>
      </w:r>
    </w:p>
    <w:tbl>
      <w:tblPr>
        <w:tblW w:type="dxa" w:w="9360"/>
        <w:tblLayout w:type="fixed"/>
        <w:tblLook w:firstColumn="1" w:firstRow="1" w:lastColumn="0" w:lastRow="0" w:noHBand="0" w:noVBand="1" w:val="04A0"/>
        <w:jc w:val="left"/>
        <w:tblInd w:w="120" w:type="dxa"/>
      </w:tblPr>
      <w:tblGrid>
        <w:gridCol w:w="4300"/>
        <w:gridCol w:w="5060"/>
      </w:tblGrid>
      <w:tr>
        <w:trPr>
          <w:tblHeader w:val="true"/>
        </w:trPr>
        <w:tc>
          <w:tcPr>
            <w:tcW w:type="dxa" w:w="4300"/>
            <w:tcMar>
              <w:top w:w="80" w:type="dxa"/>
              <w:start w:w="120" w:type="dxa"/>
              <w:bottom w:w="80" w:type="dxa"/>
              <w:end w:w="120" w:type="dxa"/>
            </w:tcMar>
            <w:vAlign w:val="center"/>
            <w:shd w:fill="E8EEF5"/>
          </w:tcPr>
          <w:p>
            <w:pPr>
              <w:spacing w:after="0"/>
              <w:jc w:val="left"/>
            </w:pPr>
            <w:r>
              <w:rPr>
                <w:rFonts w:ascii="Calibri" w:hAnsi="Calibri"/>
                <w:b/>
                <w:color w:val="0B2545"/>
                <w:sz w:val="18"/>
              </w:rPr>
              <w:t>Contrôle</w:t>
            </w:r>
          </w:p>
        </w:tc>
        <w:tc>
          <w:tcPr>
            <w:tcW w:type="dxa" w:w="5060"/>
            <w:tcMar>
              <w:top w:w="80" w:type="dxa"/>
              <w:start w:w="120" w:type="dxa"/>
              <w:bottom w:w="80" w:type="dxa"/>
              <w:end w:w="120" w:type="dxa"/>
            </w:tcMar>
            <w:vAlign w:val="center"/>
            <w:shd w:fill="E8EEF5"/>
          </w:tcPr>
          <w:p>
            <w:pPr>
              <w:spacing w:after="0"/>
              <w:jc w:val="left"/>
            </w:pPr>
            <w:r>
              <w:rPr>
                <w:rFonts w:ascii="Calibri" w:hAnsi="Calibri"/>
                <w:b/>
                <w:color w:val="0B2545"/>
                <w:sz w:val="18"/>
              </w:rPr>
              <w:t>Valeur certifiée</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Balance détaillée</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1,110·10^-16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Symétrie de H en base de comptage</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2,937·10^-16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Erreur H sqrt(π)=0</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4,538·10^-16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Erreur des amplitudes H_xy=-a_xy</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2,220·10^-16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Contre-exemple ε</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10^-6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Gap exact</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1,499999624950722·10^-6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Gap/ε</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1,499999624951</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Rapport gap Barker/Metropolis</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0,634848995506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Rapports de conductance B/M</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0,511628 ... 0,914286</w:t>
            </w:r>
          </w:p>
        </w:tc>
      </w:tr>
      <w:tr>
        <w:tc>
          <w:tcPr>
            <w:tcW w:type="dxa" w:w="4300"/>
            <w:vAlign w:val="center"/>
            <w:tcMar>
              <w:top w:w="80" w:type="dxa"/>
              <w:start w:w="120" w:type="dxa"/>
              <w:bottom w:w="80" w:type="dxa"/>
              <w:end w:w="120" w:type="dxa"/>
            </w:tcMar>
          </w:tcPr>
          <w:p>
            <w:pPr>
              <w:spacing w:after="0" w:line="252" w:lineRule="auto"/>
              <w:jc w:val="left"/>
            </w:pPr>
            <w:r>
              <w:rPr>
                <w:rFonts w:ascii="Calibri" w:hAnsi="Calibri"/>
                <w:color w:val="000000"/>
                <w:sz w:val="17"/>
              </w:rPr>
              <w:t>Rapports flat/Metropolis testés</w:t>
            </w:r>
          </w:p>
        </w:tc>
        <w:tc>
          <w:tcPr>
            <w:tcW w:type="dxa" w:w="5060"/>
            <w:vAlign w:val="center"/>
            <w:tcMar>
              <w:top w:w="80" w:type="dxa"/>
              <w:start w:w="120" w:type="dxa"/>
              <w:bottom w:w="80" w:type="dxa"/>
              <w:end w:w="120" w:type="dxa"/>
            </w:tcMar>
          </w:tcPr>
          <w:p>
            <w:pPr>
              <w:spacing w:after="0" w:line="252" w:lineRule="auto"/>
              <w:jc w:val="left"/>
            </w:pPr>
            <w:r>
              <w:rPr>
                <w:rFonts w:ascii="Calibri" w:hAnsi="Calibri"/>
                <w:color w:val="000000"/>
                <w:sz w:val="17"/>
              </w:rPr>
              <w:t>1 ... 10^6 (non bornés)</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2"/>
        </w:rPr>
        <w:t>Sortie exigée : ALL CHECKS PASSED.</w:t>
      </w:r>
    </w:p>
    <w:p>
      <w:pPr>
        <w:pStyle w:val="Heading1"/>
        <w:keepNext/>
      </w:pPr>
      <w:r>
        <w:t>Registre mis à jour</w:t>
      </w:r>
    </w:p>
    <w:tbl>
      <w:tblPr>
        <w:tblW w:type="dxa" w:w="9360"/>
        <w:tblLayout w:type="fixed"/>
        <w:tblLook w:firstColumn="1" w:firstRow="1" w:lastColumn="0" w:lastRow="0" w:noHBand="0" w:noVBand="1" w:val="04A0"/>
        <w:jc w:val="left"/>
        <w:tblInd w:w="120" w:type="dxa"/>
      </w:tblPr>
      <w:tblGrid>
        <w:gridCol w:w="2480"/>
        <w:gridCol w:w="2760"/>
        <w:gridCol w:w="4120"/>
      </w:tblGrid>
      <w:tr>
        <w:trPr>
          <w:tblHeader w:val="true"/>
        </w:trPr>
        <w:tc>
          <w:tcPr>
            <w:tcW w:type="dxa" w:w="2480"/>
            <w:tcMar>
              <w:top w:w="80" w:type="dxa"/>
              <w:start w:w="120" w:type="dxa"/>
              <w:bottom w:w="80" w:type="dxa"/>
              <w:end w:w="120" w:type="dxa"/>
            </w:tcMar>
            <w:vAlign w:val="center"/>
            <w:shd w:fill="E8EEF5"/>
          </w:tcPr>
          <w:p>
            <w:pPr>
              <w:spacing w:after="0"/>
              <w:jc w:val="left"/>
            </w:pPr>
            <w:r>
              <w:rPr>
                <w:rFonts w:ascii="Calibri" w:hAnsi="Calibri"/>
                <w:b/>
                <w:color w:val="0B2545"/>
                <w:sz w:val="18"/>
              </w:rPr>
              <w:t>Porte</w:t>
            </w:r>
          </w:p>
        </w:tc>
        <w:tc>
          <w:tcPr>
            <w:tcW w:type="dxa" w:w="2760"/>
            <w:tcMar>
              <w:top w:w="80" w:type="dxa"/>
              <w:start w:w="120" w:type="dxa"/>
              <w:bottom w:w="80" w:type="dxa"/>
              <w:end w:w="120" w:type="dxa"/>
            </w:tcMar>
            <w:vAlign w:val="center"/>
            <w:shd w:fill="E8EEF5"/>
          </w:tcPr>
          <w:p>
            <w:pPr>
              <w:spacing w:after="0"/>
              <w:jc w:val="left"/>
            </w:pPr>
            <w:r>
              <w:rPr>
                <w:rFonts w:ascii="Calibri" w:hAnsi="Calibri"/>
                <w:b/>
                <w:color w:val="0B2545"/>
                <w:sz w:val="18"/>
              </w:rPr>
              <w:t>Verdict</w:t>
            </w:r>
          </w:p>
        </w:tc>
        <w:tc>
          <w:tcPr>
            <w:tcW w:type="dxa" w:w="4120"/>
            <w:tcMar>
              <w:top w:w="80" w:type="dxa"/>
              <w:start w:w="120" w:type="dxa"/>
              <w:bottom w:w="80" w:type="dxa"/>
              <w:end w:w="120" w:type="dxa"/>
            </w:tcMar>
            <w:vAlign w:val="center"/>
            <w:shd w:fill="E8EEF5"/>
          </w:tcPr>
          <w:p>
            <w:pPr>
              <w:spacing w:after="0"/>
              <w:jc w:val="left"/>
            </w:pPr>
            <w:r>
              <w:rPr>
                <w:rFonts w:ascii="Calibri" w:hAnsi="Calibri"/>
                <w:b/>
                <w:color w:val="0B2545"/>
                <w:sz w:val="18"/>
              </w:rPr>
              <w:t>Portée exacte</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RP-cutoff</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Sous A0-A7</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RG-1CELL / RG-RAY</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FERMÉES [FAIL]</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base d'action à élargir</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H-STRICT-CONF</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FERMÉE [FAIL]</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log d'un B local non strictement local</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H-QUASI-CONF</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FERMÉE [T|injectif]</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cutoff fini</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Q-PARAM</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classification de tous les Q réversibles</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Q-FROM-π</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FERMÉE [FAIL]</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π ne fixe pas la cinétique</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Q-COMPARE</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sous ellipticité uniforme</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Q-TIME</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RÉPARATION SPÉCIFIÉE</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A14-A19 et fork samp/phys</w:t>
            </w:r>
          </w:p>
        </w:tc>
      </w:tr>
      <w:tr>
        <w:tc>
          <w:tcPr>
            <w:tcW w:type="dxa" w:w="2480"/>
            <w:vAlign w:val="center"/>
            <w:tcMar>
              <w:top w:w="80" w:type="dxa"/>
              <w:start w:w="120" w:type="dxa"/>
              <w:bottom w:w="80" w:type="dxa"/>
              <w:end w:w="120" w:type="dxa"/>
            </w:tcMar>
          </w:tcPr>
          <w:p>
            <w:pPr>
              <w:spacing w:after="0" w:line="252" w:lineRule="auto"/>
              <w:jc w:val="left"/>
            </w:pPr>
            <w:r>
              <w:rPr>
                <w:rFonts w:ascii="Calibri" w:hAnsi="Calibri"/>
                <w:color w:val="000000"/>
                <w:sz w:val="17"/>
              </w:rPr>
              <w:t>GEN-WELLPOSED</w:t>
            </w:r>
          </w:p>
        </w:tc>
        <w:tc>
          <w:tcPr>
            <w:tcW w:type="dxa" w:w="2760"/>
            <w:vAlign w:val="center"/>
            <w:tcMar>
              <w:top w:w="80" w:type="dxa"/>
              <w:start w:w="120" w:type="dxa"/>
              <w:bottom w:w="80" w:type="dxa"/>
              <w:end w:w="120" w:type="dxa"/>
            </w:tcMar>
          </w:tcPr>
          <w:p>
            <w:pPr>
              <w:spacing w:after="0" w:line="252" w:lineRule="auto"/>
              <w:jc w:val="left"/>
            </w:pPr>
            <w:r>
              <w:rPr>
                <w:rFonts w:ascii="Calibri" w:hAnsi="Calibri"/>
                <w:color w:val="000000"/>
                <w:sz w:val="17"/>
              </w:rPr>
              <w:t>PROCHAINE</w:t>
            </w:r>
          </w:p>
        </w:tc>
        <w:tc>
          <w:tcPr>
            <w:tcW w:type="dxa" w:w="4120"/>
            <w:vAlign w:val="center"/>
            <w:tcMar>
              <w:top w:w="80" w:type="dxa"/>
              <w:start w:w="120" w:type="dxa"/>
              <w:bottom w:w="80" w:type="dxa"/>
              <w:end w:w="120" w:type="dxa"/>
            </w:tcMar>
          </w:tcPr>
          <w:p>
            <w:pPr>
              <w:spacing w:after="0" w:line="252" w:lineRule="auto"/>
              <w:jc w:val="left"/>
            </w:pPr>
            <w:r>
              <w:rPr>
                <w:rFonts w:ascii="Calibri" w:hAnsi="Calibri"/>
                <w:color w:val="000000"/>
                <w:sz w:val="17"/>
              </w:rPr>
              <w:t>volume infini et domaine de H</w:t>
            </w:r>
          </w:p>
        </w:tc>
      </w:tr>
    </w:tbl>
    <w:p>
      <w:pPr>
        <w:keepLines w:val="0"/>
        <w:spacing w:before="0" w:after="40" w:line="264" w:lineRule="auto"/>
        <w:jc w:val="left"/>
      </w:pPr>
      <w:r>
        <w:rPr>
          <w:rFonts w:ascii="Calibri" w:hAnsi="Calibri"/>
          <w:b w:val="0"/>
          <w:i w:val="0"/>
          <w:color w:val="000000"/>
          <w:sz w:val="22"/>
        </w:rPr>
      </w:r>
    </w:p>
    <w:p>
      <w:pPr>
        <w:pStyle w:val="Heading1"/>
        <w:keepNext/>
      </w:pPr>
      <w:r>
        <w:t>Références primaires</w:t>
      </w:r>
    </w:p>
    <w:p>
      <w:pPr>
        <w:keepLines/>
        <w:spacing w:after="20" w:line="240" w:lineRule="auto"/>
        <w:ind w:left="360" w:hanging="360"/>
      </w:pPr>
      <w:r>
        <w:rPr>
          <w:rFonts w:ascii="Calibri" w:hAnsi="Calibri"/>
          <w:color w:val="000000"/>
          <w:sz w:val="16"/>
        </w:rPr>
        <w:t xml:space="preserve">1. G. Parisi et Y.-S. Wu. </w:t>
      </w:r>
      <w:r>
        <w:rPr>
          <w:rFonts w:ascii="Calibri" w:hAnsi="Calibri"/>
          <w:i/>
          <w:color w:val="000000"/>
          <w:sz w:val="16"/>
        </w:rPr>
        <w:t>Perturbation Theory Without Gauge Fixing</w:t>
      </w:r>
      <w:r>
        <w:rPr>
          <w:rFonts w:ascii="Calibri" w:hAnsi="Calibri"/>
          <w:color w:val="5F6B78"/>
          <w:sz w:val="16"/>
        </w:rPr>
        <w:t>. Scientia Sinica 24 (1981), 483-496. https://cds.cern.ch/record/124815</w:t>
      </w:r>
    </w:p>
    <w:p>
      <w:pPr>
        <w:keepLines/>
        <w:spacing w:after="20" w:line="240" w:lineRule="auto"/>
        <w:ind w:left="360" w:hanging="360"/>
      </w:pPr>
      <w:r>
        <w:rPr>
          <w:rFonts w:ascii="Calibri" w:hAnsi="Calibri"/>
          <w:color w:val="000000"/>
          <w:sz w:val="16"/>
        </w:rPr>
        <w:t xml:space="preserve">2. P. H. Damgaard et H. Hüffel. </w:t>
      </w:r>
      <w:r>
        <w:rPr>
          <w:rFonts w:ascii="Calibri" w:hAnsi="Calibri"/>
          <w:i/>
          <w:color w:val="000000"/>
          <w:sz w:val="16"/>
        </w:rPr>
        <w:t>Stochastic Quantization</w:t>
      </w:r>
      <w:r>
        <w:rPr>
          <w:rFonts w:ascii="Calibri" w:hAnsi="Calibri"/>
          <w:color w:val="5F6B78"/>
          <w:sz w:val="16"/>
        </w:rPr>
        <w:t>. Physics Reports 152 (1987), 227-398. https://doi.org/10.1016/0370-1573(87)90144-X</w:t>
      </w:r>
    </w:p>
    <w:p>
      <w:pPr>
        <w:keepLines/>
        <w:spacing w:after="20" w:line="240" w:lineRule="auto"/>
        <w:ind w:left="360" w:hanging="360"/>
      </w:pPr>
      <w:r>
        <w:rPr>
          <w:rFonts w:ascii="Calibri" w:hAnsi="Calibri"/>
          <w:color w:val="000000"/>
          <w:sz w:val="16"/>
        </w:rPr>
        <w:t xml:space="preserve">3. P. C. Hohenberg et B. I. Halperin. </w:t>
      </w:r>
      <w:r>
        <w:rPr>
          <w:rFonts w:ascii="Calibri" w:hAnsi="Calibri"/>
          <w:i/>
          <w:color w:val="000000"/>
          <w:sz w:val="16"/>
        </w:rPr>
        <w:t>Theory of Dynamic Critical Phenomena</w:t>
      </w:r>
      <w:r>
        <w:rPr>
          <w:rFonts w:ascii="Calibri" w:hAnsi="Calibri"/>
          <w:color w:val="5F6B78"/>
          <w:sz w:val="16"/>
        </w:rPr>
        <w:t>. Reviews of Modern Physics 49 (1977), 435. https://doi.org/10.1103/RevModPhys.49.435</w:t>
      </w:r>
    </w:p>
    <w:p>
      <w:pPr>
        <w:keepLines/>
        <w:spacing w:after="20" w:line="240" w:lineRule="auto"/>
        <w:ind w:left="360" w:hanging="360"/>
      </w:pPr>
      <w:r>
        <w:rPr>
          <w:rFonts w:ascii="Calibri" w:hAnsi="Calibri"/>
          <w:color w:val="000000"/>
          <w:sz w:val="16"/>
        </w:rPr>
        <w:t xml:space="preserve">4. P. Diaconis et L. Saloff-Coste. </w:t>
      </w:r>
      <w:r>
        <w:rPr>
          <w:rFonts w:ascii="Calibri" w:hAnsi="Calibri"/>
          <w:i/>
          <w:color w:val="000000"/>
          <w:sz w:val="16"/>
        </w:rPr>
        <w:t>Comparison Theorems for Reversible Markov Chains</w:t>
      </w:r>
      <w:r>
        <w:rPr>
          <w:rFonts w:ascii="Calibri" w:hAnsi="Calibri"/>
          <w:color w:val="5F6B78"/>
          <w:sz w:val="16"/>
        </w:rPr>
        <w:t>. Stanford Technical Report (1992). https://statistics.stanford.edu/technical-reports/comparison-theorems-reversible-markov-chains</w:t>
      </w:r>
    </w:p>
    <w:sectPr w:rsidR="00FC693F" w:rsidRPr="0006063C" w:rsidSect="00034616">
      <w:footerReference w:type="default" r:id="rId9"/>
      <w:pgSz w:w="12240" w:h="15840"/>
      <w:pgMar w:top="1238" w:right="1267" w:bottom="1238" w:left="126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